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theme/themeOverride1.xml" ContentType="application/vnd.openxmlformats-officedocument.themeOverride+xml"/>
  <Override PartName="/word/charts/chart22.xml" ContentType="application/vnd.openxmlformats-officedocument.drawingml.chart+xml"/>
  <Override PartName="/word/theme/themeOverride2.xml" ContentType="application/vnd.openxmlformats-officedocument.themeOverride+xml"/>
  <Override PartName="/word/charts/chart23.xml" ContentType="application/vnd.openxmlformats-officedocument.drawingml.chart+xml"/>
  <Override PartName="/word/theme/themeOverride3.xml" ContentType="application/vnd.openxmlformats-officedocument.themeOverride+xml"/>
  <Override PartName="/word/charts/chart24.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5.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6.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7.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8.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9.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0.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1.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2.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3.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4.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5.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6.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7.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8.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9.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40.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41.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2.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3.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4.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5.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6.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7.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8.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9.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50.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1.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2.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3.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4.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5.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4.xml" ContentType="application/vnd.openxmlformats-officedocument.themeOverride+xml"/>
  <Override PartName="/word/charts/chart56.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7.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8.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9.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60.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61.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2.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3.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4.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5.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6.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7.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8.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9.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70.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71.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2.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3.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4.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5.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6.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7.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8.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9.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80.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81.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82.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3.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4.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85.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86.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87.xml" ContentType="application/vnd.openxmlformats-officedocument.drawingml.chart+xml"/>
  <Override PartName="/word/charts/style84.xml" ContentType="application/vnd.ms-office.chartstyle+xml"/>
  <Override PartName="/word/charts/colors84.xml" ContentType="application/vnd.ms-office.chartcolorstyle+xml"/>
  <Override PartName="/word/charts/chart88.xml" ContentType="application/vnd.openxmlformats-officedocument.drawingml.chart+xml"/>
  <Override PartName="/word/charts/style85.xml" ContentType="application/vnd.ms-office.chartstyle+xml"/>
  <Override PartName="/word/charts/colors85.xml" ContentType="application/vnd.ms-office.chartcolorstyle+xml"/>
  <Override PartName="/word/charts/chart89.xml" ContentType="application/vnd.openxmlformats-officedocument.drawingml.chart+xml"/>
  <Override PartName="/word/charts/style86.xml" ContentType="application/vnd.ms-office.chartstyle+xml"/>
  <Override PartName="/word/charts/colors86.xml" ContentType="application/vnd.ms-office.chartcolorstyle+xml"/>
  <Override PartName="/word/charts/chart90.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91.xml" ContentType="application/vnd.openxmlformats-officedocument.drawingml.chart+xml"/>
  <Override PartName="/word/charts/style88.xml" ContentType="application/vnd.ms-office.chartstyle+xml"/>
  <Override PartName="/word/charts/colors88.xml" ContentType="application/vnd.ms-office.chartcolorstyle+xml"/>
  <Override PartName="/word/charts/chart92.xml" ContentType="application/vnd.openxmlformats-officedocument.drawingml.chart+xml"/>
  <Override PartName="/word/charts/style89.xml" ContentType="application/vnd.ms-office.chartstyle+xml"/>
  <Override PartName="/word/charts/colors89.xml" ContentType="application/vnd.ms-office.chartcolorstyle+xml"/>
  <Override PartName="/word/charts/chart93.xml" ContentType="application/vnd.openxmlformats-officedocument.drawingml.chart+xml"/>
  <Override PartName="/word/charts/style90.xml" ContentType="application/vnd.ms-office.chartstyle+xml"/>
  <Override PartName="/word/charts/colors90.xml" ContentType="application/vnd.ms-office.chartcolorstyle+xml"/>
  <Override PartName="/word/charts/chart94.xml" ContentType="application/vnd.openxmlformats-officedocument.drawingml.chart+xml"/>
  <Override PartName="/word/charts/style91.xml" ContentType="application/vnd.ms-office.chartstyle+xml"/>
  <Override PartName="/word/charts/colors91.xml" ContentType="application/vnd.ms-office.chartcolorstyle+xml"/>
  <Override PartName="/word/charts/chart95.xml" ContentType="application/vnd.openxmlformats-officedocument.drawingml.chart+xml"/>
  <Override PartName="/word/charts/style92.xml" ContentType="application/vnd.ms-office.chartstyle+xml"/>
  <Override PartName="/word/charts/colors92.xml" ContentType="application/vnd.ms-office.chartcolorstyle+xml"/>
  <Override PartName="/word/charts/chart96.xml" ContentType="application/vnd.openxmlformats-officedocument.drawingml.chart+xml"/>
  <Override PartName="/word/charts/style93.xml" ContentType="application/vnd.ms-office.chartstyle+xml"/>
  <Override PartName="/word/charts/colors93.xml" ContentType="application/vnd.ms-office.chartcolorstyle+xml"/>
  <Override PartName="/word/charts/chart97.xml" ContentType="application/vnd.openxmlformats-officedocument.drawingml.chart+xml"/>
  <Override PartName="/word/charts/style94.xml" ContentType="application/vnd.ms-office.chartstyle+xml"/>
  <Override PartName="/word/charts/colors94.xml" ContentType="application/vnd.ms-office.chartcolorstyle+xml"/>
  <Override PartName="/word/charts/chart98.xml" ContentType="application/vnd.openxmlformats-officedocument.drawingml.chart+xml"/>
  <Override PartName="/word/charts/style95.xml" ContentType="application/vnd.ms-office.chartstyle+xml"/>
  <Override PartName="/word/charts/colors95.xml" ContentType="application/vnd.ms-office.chartcolorstyle+xml"/>
  <Override PartName="/word/charts/chart99.xml" ContentType="application/vnd.openxmlformats-officedocument.drawingml.chart+xml"/>
  <Override PartName="/word/charts/style96.xml" ContentType="application/vnd.ms-office.chartstyle+xml"/>
  <Override PartName="/word/charts/colors96.xml" ContentType="application/vnd.ms-office.chartcolorstyle+xml"/>
  <Override PartName="/word/charts/chart100.xml" ContentType="application/vnd.openxmlformats-officedocument.drawingml.chart+xml"/>
  <Override PartName="/word/charts/style97.xml" ContentType="application/vnd.ms-office.chartstyle+xml"/>
  <Override PartName="/word/charts/colors97.xml" ContentType="application/vnd.ms-office.chartcolorstyle+xml"/>
  <Override PartName="/word/charts/chart101.xml" ContentType="application/vnd.openxmlformats-officedocument.drawingml.chart+xml"/>
  <Override PartName="/word/charts/style98.xml" ContentType="application/vnd.ms-office.chartstyle+xml"/>
  <Override PartName="/word/charts/colors98.xml" ContentType="application/vnd.ms-office.chartcolorstyle+xml"/>
  <Override PartName="/word/charts/chart102.xml" ContentType="application/vnd.openxmlformats-officedocument.drawingml.chart+xml"/>
  <Override PartName="/word/charts/style99.xml" ContentType="application/vnd.ms-office.chartstyle+xml"/>
  <Override PartName="/word/charts/colors99.xml" ContentType="application/vnd.ms-office.chartcolorstyle+xml"/>
  <Override PartName="/word/charts/chart103.xml" ContentType="application/vnd.openxmlformats-officedocument.drawingml.chart+xml"/>
  <Override PartName="/word/charts/style100.xml" ContentType="application/vnd.ms-office.chartstyle+xml"/>
  <Override PartName="/word/charts/colors100.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AD1659" w14:textId="4B01833C" w:rsidR="007F6CFE" w:rsidRDefault="007F6CFE" w:rsidP="007F6CFE">
      <w:pPr>
        <w:jc w:val="center"/>
        <w:rPr>
          <w:b/>
          <w:color w:val="1F4E79" w:themeColor="accent1" w:themeShade="80"/>
          <w:sz w:val="40"/>
          <w:szCs w:val="40"/>
        </w:rPr>
      </w:pPr>
      <w:r>
        <w:rPr>
          <w:noProof/>
          <w:lang w:eastAsia="pl-PL"/>
        </w:rPr>
        <w:drawing>
          <wp:anchor distT="0" distB="0" distL="114300" distR="114300" simplePos="0" relativeHeight="251658243" behindDoc="1" locked="0" layoutInCell="1" allowOverlap="1" wp14:anchorId="15A83D88" wp14:editId="29DB80BF">
            <wp:simplePos x="0" y="0"/>
            <wp:positionH relativeFrom="margin">
              <wp:posOffset>118533</wp:posOffset>
            </wp:positionH>
            <wp:positionV relativeFrom="paragraph">
              <wp:posOffset>65193</wp:posOffset>
            </wp:positionV>
            <wp:extent cx="1219200" cy="643890"/>
            <wp:effectExtent l="0" t="0" r="0" b="3810"/>
            <wp:wrapSquare wrapText="bothSides"/>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19200" cy="643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7E7E6B" w14:textId="77777777" w:rsidR="007F6CFE" w:rsidRDefault="007F6CFE" w:rsidP="007F6CFE">
      <w:pPr>
        <w:jc w:val="center"/>
        <w:rPr>
          <w:b/>
          <w:color w:val="1F4E79" w:themeColor="accent1" w:themeShade="80"/>
          <w:sz w:val="40"/>
          <w:szCs w:val="40"/>
        </w:rPr>
      </w:pPr>
    </w:p>
    <w:p w14:paraId="3C4DB7AE" w14:textId="77777777" w:rsidR="007F6CFE" w:rsidRDefault="007F6CFE" w:rsidP="007F6CFE">
      <w:pPr>
        <w:jc w:val="center"/>
        <w:rPr>
          <w:b/>
          <w:color w:val="1F4E79" w:themeColor="accent1" w:themeShade="80"/>
          <w:sz w:val="40"/>
          <w:szCs w:val="40"/>
        </w:rPr>
      </w:pPr>
    </w:p>
    <w:p w14:paraId="0E56021F" w14:textId="77777777" w:rsidR="007F6CFE" w:rsidRDefault="007F6CFE" w:rsidP="007F6CFE">
      <w:pPr>
        <w:jc w:val="center"/>
        <w:rPr>
          <w:b/>
          <w:color w:val="1F4E79" w:themeColor="accent1" w:themeShade="80"/>
          <w:sz w:val="40"/>
          <w:szCs w:val="40"/>
        </w:rPr>
      </w:pPr>
    </w:p>
    <w:p w14:paraId="31E0C805" w14:textId="77777777" w:rsidR="007F6CFE" w:rsidRDefault="007F6CFE" w:rsidP="007F6CFE">
      <w:pPr>
        <w:jc w:val="center"/>
        <w:rPr>
          <w:b/>
          <w:color w:val="1F4E79" w:themeColor="accent1" w:themeShade="80"/>
          <w:sz w:val="40"/>
          <w:szCs w:val="40"/>
        </w:rPr>
      </w:pPr>
    </w:p>
    <w:p w14:paraId="49E5F0B6" w14:textId="77777777" w:rsidR="007F6CFE" w:rsidRDefault="007F6CFE" w:rsidP="007F6CFE">
      <w:pPr>
        <w:jc w:val="center"/>
        <w:rPr>
          <w:b/>
          <w:color w:val="1F4E79" w:themeColor="accent1" w:themeShade="80"/>
          <w:sz w:val="40"/>
          <w:szCs w:val="40"/>
        </w:rPr>
      </w:pPr>
    </w:p>
    <w:p w14:paraId="380902A3" w14:textId="77777777" w:rsidR="007F6CFE" w:rsidRDefault="007F6CFE" w:rsidP="007F6CFE">
      <w:pPr>
        <w:jc w:val="center"/>
        <w:rPr>
          <w:b/>
          <w:color w:val="1F4E79" w:themeColor="accent1" w:themeShade="80"/>
          <w:sz w:val="40"/>
          <w:szCs w:val="40"/>
        </w:rPr>
      </w:pPr>
    </w:p>
    <w:p w14:paraId="539E840F" w14:textId="1E76362C" w:rsidR="007F6CFE" w:rsidRPr="007F6CFE" w:rsidRDefault="007F6CFE" w:rsidP="007F6CFE">
      <w:pPr>
        <w:jc w:val="center"/>
        <w:rPr>
          <w:b/>
          <w:color w:val="1F4E79" w:themeColor="accent1" w:themeShade="80"/>
          <w:sz w:val="40"/>
          <w:szCs w:val="40"/>
        </w:rPr>
      </w:pPr>
      <w:r w:rsidRPr="007F6CFE">
        <w:rPr>
          <w:b/>
          <w:color w:val="1F4E79" w:themeColor="accent1" w:themeShade="80"/>
          <w:sz w:val="40"/>
          <w:szCs w:val="40"/>
        </w:rPr>
        <w:t>Diagnoza</w:t>
      </w:r>
    </w:p>
    <w:p w14:paraId="3B699C0E" w14:textId="650E1A3C" w:rsidR="007F6CFE" w:rsidRPr="007F6CFE" w:rsidRDefault="007F6CFE" w:rsidP="007F6CFE">
      <w:pPr>
        <w:jc w:val="center"/>
        <w:rPr>
          <w:b/>
          <w:color w:val="1F4E79" w:themeColor="accent1" w:themeShade="80"/>
          <w:sz w:val="40"/>
          <w:szCs w:val="40"/>
        </w:rPr>
      </w:pPr>
      <w:r w:rsidRPr="007F6CFE">
        <w:rPr>
          <w:b/>
          <w:color w:val="1F4E79" w:themeColor="accent1" w:themeShade="80"/>
          <w:sz w:val="40"/>
          <w:szCs w:val="40"/>
        </w:rPr>
        <w:t>sytuacji społecznej</w:t>
      </w:r>
      <w:r w:rsidR="00191AA6">
        <w:rPr>
          <w:b/>
          <w:color w:val="1F4E79" w:themeColor="accent1" w:themeShade="80"/>
          <w:sz w:val="40"/>
          <w:szCs w:val="40"/>
        </w:rPr>
        <w:t xml:space="preserve">, </w:t>
      </w:r>
      <w:r w:rsidRPr="007F6CFE">
        <w:rPr>
          <w:b/>
          <w:color w:val="1F4E79" w:themeColor="accent1" w:themeShade="80"/>
          <w:sz w:val="40"/>
          <w:szCs w:val="40"/>
        </w:rPr>
        <w:t>gospodarczej</w:t>
      </w:r>
      <w:r w:rsidR="00191AA6">
        <w:rPr>
          <w:b/>
          <w:color w:val="1F4E79" w:themeColor="accent1" w:themeShade="80"/>
          <w:sz w:val="40"/>
          <w:szCs w:val="40"/>
        </w:rPr>
        <w:t xml:space="preserve"> i przestrzennej</w:t>
      </w:r>
    </w:p>
    <w:p w14:paraId="0C342A1F" w14:textId="10FC303A" w:rsidR="007F6CFE" w:rsidRDefault="007F6CFE" w:rsidP="007F6CFE">
      <w:pPr>
        <w:jc w:val="center"/>
        <w:rPr>
          <w:b/>
          <w:color w:val="1F4E79" w:themeColor="accent1" w:themeShade="80"/>
          <w:sz w:val="40"/>
          <w:szCs w:val="40"/>
        </w:rPr>
      </w:pPr>
      <w:r w:rsidRPr="007F6CFE">
        <w:rPr>
          <w:b/>
          <w:color w:val="1F4E79" w:themeColor="accent1" w:themeShade="80"/>
          <w:sz w:val="40"/>
          <w:szCs w:val="40"/>
        </w:rPr>
        <w:t>Olsztyna za lata 2013</w:t>
      </w:r>
      <w:r w:rsidR="00800FAB">
        <w:rPr>
          <w:b/>
          <w:color w:val="1F4E79" w:themeColor="accent1" w:themeShade="80"/>
          <w:sz w:val="40"/>
          <w:szCs w:val="40"/>
        </w:rPr>
        <w:t>-2019</w:t>
      </w:r>
    </w:p>
    <w:p w14:paraId="4882E6E3" w14:textId="60E07106" w:rsidR="001C5778" w:rsidRDefault="001C5778" w:rsidP="007F6CFE">
      <w:pPr>
        <w:jc w:val="center"/>
        <w:rPr>
          <w:b/>
          <w:color w:val="1F4E79" w:themeColor="accent1" w:themeShade="80"/>
          <w:sz w:val="40"/>
          <w:szCs w:val="40"/>
        </w:rPr>
      </w:pPr>
    </w:p>
    <w:p w14:paraId="1D5CD5DD" w14:textId="169C8B5F" w:rsidR="001C5778" w:rsidRPr="001C5778" w:rsidRDefault="001C5778" w:rsidP="007F6CFE">
      <w:pPr>
        <w:jc w:val="center"/>
        <w:rPr>
          <w:b/>
          <w:color w:val="1F4E79" w:themeColor="accent1" w:themeShade="80"/>
          <w:sz w:val="24"/>
          <w:szCs w:val="24"/>
        </w:rPr>
      </w:pPr>
      <w:r w:rsidRPr="001C5778">
        <w:rPr>
          <w:b/>
          <w:color w:val="1F4E79" w:themeColor="accent1" w:themeShade="80"/>
          <w:sz w:val="24"/>
          <w:szCs w:val="24"/>
        </w:rPr>
        <w:t>(materiał roboczy*)</w:t>
      </w:r>
    </w:p>
    <w:p w14:paraId="21BA8774" w14:textId="77777777" w:rsidR="007F6CFE" w:rsidRDefault="007F6CFE" w:rsidP="002D6EA9">
      <w:pPr>
        <w:rPr>
          <w:color w:val="1F4E79" w:themeColor="accent1" w:themeShade="80"/>
          <w:sz w:val="32"/>
          <w:szCs w:val="32"/>
        </w:rPr>
      </w:pPr>
    </w:p>
    <w:p w14:paraId="09F467D1" w14:textId="355C8223" w:rsidR="007F6CFE" w:rsidRDefault="007F6CFE">
      <w:pPr>
        <w:rPr>
          <w:color w:val="1F4E79" w:themeColor="accent1" w:themeShade="80"/>
          <w:sz w:val="32"/>
          <w:szCs w:val="32"/>
        </w:rPr>
      </w:pPr>
    </w:p>
    <w:p w14:paraId="79596743" w14:textId="77777777" w:rsidR="007F6CFE" w:rsidRDefault="007F6CFE" w:rsidP="007F6CFE">
      <w:pPr>
        <w:jc w:val="center"/>
        <w:rPr>
          <w:color w:val="1F4E79" w:themeColor="accent1" w:themeShade="80"/>
          <w:sz w:val="32"/>
          <w:szCs w:val="32"/>
        </w:rPr>
      </w:pPr>
    </w:p>
    <w:p w14:paraId="31B38989" w14:textId="77777777" w:rsidR="007F6CFE" w:rsidRDefault="007F6CFE" w:rsidP="007F6CFE">
      <w:pPr>
        <w:jc w:val="center"/>
        <w:rPr>
          <w:color w:val="1F4E79" w:themeColor="accent1" w:themeShade="80"/>
          <w:sz w:val="32"/>
          <w:szCs w:val="32"/>
        </w:rPr>
      </w:pPr>
    </w:p>
    <w:p w14:paraId="3AEB05C7" w14:textId="77777777" w:rsidR="007F6CFE" w:rsidRDefault="007F6CFE" w:rsidP="007F6CFE">
      <w:pPr>
        <w:jc w:val="center"/>
        <w:rPr>
          <w:color w:val="1F4E79" w:themeColor="accent1" w:themeShade="80"/>
          <w:sz w:val="32"/>
          <w:szCs w:val="32"/>
        </w:rPr>
      </w:pPr>
    </w:p>
    <w:p w14:paraId="61DFF3B7" w14:textId="77777777" w:rsidR="007F6CFE" w:rsidRDefault="007F6CFE" w:rsidP="007F6CFE">
      <w:pPr>
        <w:jc w:val="center"/>
        <w:rPr>
          <w:color w:val="1F4E79" w:themeColor="accent1" w:themeShade="80"/>
          <w:sz w:val="32"/>
          <w:szCs w:val="32"/>
        </w:rPr>
      </w:pPr>
    </w:p>
    <w:p w14:paraId="19C7C907" w14:textId="77777777" w:rsidR="007F6CFE" w:rsidRDefault="007F6CFE" w:rsidP="007F6CFE">
      <w:pPr>
        <w:jc w:val="center"/>
        <w:rPr>
          <w:color w:val="1F4E79" w:themeColor="accent1" w:themeShade="80"/>
          <w:sz w:val="32"/>
          <w:szCs w:val="32"/>
        </w:rPr>
      </w:pPr>
    </w:p>
    <w:p w14:paraId="784C03BD" w14:textId="25085D11" w:rsidR="007F6CFE" w:rsidRPr="008252DF" w:rsidRDefault="001C5778" w:rsidP="007F6CFE">
      <w:pPr>
        <w:jc w:val="center"/>
        <w:rPr>
          <w:color w:val="1F4E79" w:themeColor="accent1" w:themeShade="80"/>
          <w:sz w:val="18"/>
          <w:szCs w:val="18"/>
        </w:rPr>
      </w:pPr>
      <w:r w:rsidRPr="008252DF">
        <w:rPr>
          <w:color w:val="1F4E79" w:themeColor="accent1" w:themeShade="80"/>
          <w:sz w:val="18"/>
          <w:szCs w:val="18"/>
        </w:rPr>
        <w:t xml:space="preserve">* roboczy charakter opracowania wynika z faktu, iż </w:t>
      </w:r>
      <w:r w:rsidR="00946C8F" w:rsidRPr="008252DF">
        <w:rPr>
          <w:color w:val="1F4E79" w:themeColor="accent1" w:themeShade="80"/>
          <w:sz w:val="18"/>
          <w:szCs w:val="18"/>
        </w:rPr>
        <w:t xml:space="preserve">diagnoza będzie uzupełniana w trakcie realizacji procesu budowania Strategii, w szczególności o zagadnienia, które będą traktowane jako kluczowe dla rozwoju miasta i </w:t>
      </w:r>
      <w:r w:rsidR="00835DA9" w:rsidRPr="008252DF">
        <w:rPr>
          <w:color w:val="1F4E79" w:themeColor="accent1" w:themeShade="80"/>
          <w:sz w:val="18"/>
          <w:szCs w:val="18"/>
        </w:rPr>
        <w:t>które będą wymagały szerszego opisu. W ten sposób Diagnoza staje się dokumentem „żywym”, który będzie sfinalizowany dopiero po</w:t>
      </w:r>
      <w:r w:rsidR="008252DF" w:rsidRPr="008252DF">
        <w:rPr>
          <w:color w:val="1F4E79" w:themeColor="accent1" w:themeShade="80"/>
          <w:sz w:val="18"/>
          <w:szCs w:val="18"/>
        </w:rPr>
        <w:t xml:space="preserve"> ewaluacji ex-ante projektu Strategii Olsztyn 2030+</w:t>
      </w:r>
    </w:p>
    <w:p w14:paraId="55362AE2" w14:textId="77777777" w:rsidR="008252DF" w:rsidRPr="001C5778" w:rsidRDefault="008252DF" w:rsidP="007F6CFE">
      <w:pPr>
        <w:jc w:val="center"/>
        <w:rPr>
          <w:color w:val="1F4E79" w:themeColor="accent1" w:themeShade="80"/>
        </w:rPr>
      </w:pPr>
    </w:p>
    <w:p w14:paraId="071A76EE" w14:textId="6C64AA74" w:rsidR="007F6CFE" w:rsidRPr="007F6CFE" w:rsidRDefault="007F6CFE" w:rsidP="007F6CFE">
      <w:pPr>
        <w:jc w:val="center"/>
        <w:rPr>
          <w:color w:val="1F4E79" w:themeColor="accent1" w:themeShade="80"/>
          <w:sz w:val="24"/>
          <w:szCs w:val="24"/>
        </w:rPr>
      </w:pPr>
      <w:r w:rsidRPr="007F6CFE">
        <w:rPr>
          <w:color w:val="1F4E79" w:themeColor="accent1" w:themeShade="80"/>
          <w:sz w:val="24"/>
          <w:szCs w:val="24"/>
        </w:rPr>
        <w:t xml:space="preserve">Olsztyn, </w:t>
      </w:r>
      <w:r w:rsidR="004C4C03">
        <w:rPr>
          <w:color w:val="1F4E79" w:themeColor="accent1" w:themeShade="80"/>
          <w:sz w:val="24"/>
          <w:szCs w:val="24"/>
        </w:rPr>
        <w:t>czerwiec</w:t>
      </w:r>
      <w:r w:rsidR="00B85EFF">
        <w:rPr>
          <w:color w:val="1F4E79" w:themeColor="accent1" w:themeShade="80"/>
          <w:sz w:val="24"/>
          <w:szCs w:val="24"/>
        </w:rPr>
        <w:t xml:space="preserve"> 2021</w:t>
      </w:r>
    </w:p>
    <w:p w14:paraId="3B2936CC" w14:textId="28E6D7B5" w:rsidR="002D6EA9" w:rsidRPr="00FD0BF3" w:rsidRDefault="002D6EA9" w:rsidP="002D6EA9">
      <w:pPr>
        <w:rPr>
          <w:color w:val="FF0000"/>
          <w:sz w:val="32"/>
          <w:szCs w:val="32"/>
        </w:rPr>
      </w:pPr>
      <w:r w:rsidRPr="00AC5511">
        <w:rPr>
          <w:color w:val="1F4E79" w:themeColor="accent1" w:themeShade="80"/>
          <w:sz w:val="32"/>
          <w:szCs w:val="32"/>
        </w:rPr>
        <w:lastRenderedPageBreak/>
        <w:t>Spis treści</w:t>
      </w:r>
      <w:r w:rsidR="00CC6C79">
        <w:rPr>
          <w:color w:val="1F4E79" w:themeColor="accent1" w:themeShade="80"/>
          <w:sz w:val="32"/>
          <w:szCs w:val="32"/>
        </w:rPr>
        <w:tab/>
      </w:r>
    </w:p>
    <w:sdt>
      <w:sdtPr>
        <w:rPr>
          <w:rFonts w:asciiTheme="minorHAnsi" w:eastAsiaTheme="minorHAnsi" w:hAnsiTheme="minorHAnsi" w:cstheme="minorBidi"/>
          <w:color w:val="auto"/>
          <w:sz w:val="22"/>
          <w:szCs w:val="22"/>
          <w:lang w:eastAsia="en-US"/>
        </w:rPr>
        <w:id w:val="1434323899"/>
        <w:docPartObj>
          <w:docPartGallery w:val="Table of Contents"/>
          <w:docPartUnique/>
        </w:docPartObj>
      </w:sdtPr>
      <w:sdtEndPr>
        <w:rPr>
          <w:b/>
          <w:bCs/>
        </w:rPr>
      </w:sdtEndPr>
      <w:sdtContent>
        <w:p w14:paraId="37281125" w14:textId="77777777" w:rsidR="002D6EA9" w:rsidRPr="00ED4EDD" w:rsidRDefault="002D6EA9" w:rsidP="002D6EA9">
          <w:pPr>
            <w:pStyle w:val="Nagwekspisutreci"/>
            <w:rPr>
              <w:sz w:val="22"/>
              <w:szCs w:val="22"/>
            </w:rPr>
          </w:pPr>
        </w:p>
        <w:p w14:paraId="25FAD00F" w14:textId="36B43FEC" w:rsidR="00CC6C79" w:rsidRDefault="002D6EA9">
          <w:pPr>
            <w:pStyle w:val="Spistreci1"/>
            <w:tabs>
              <w:tab w:val="left" w:pos="440"/>
              <w:tab w:val="right" w:leader="dot" w:pos="9062"/>
            </w:tabs>
            <w:rPr>
              <w:rFonts w:eastAsiaTheme="minorEastAsia"/>
              <w:noProof/>
              <w:lang w:eastAsia="pl-PL"/>
            </w:rPr>
          </w:pPr>
          <w:r w:rsidRPr="00ED4EDD">
            <w:fldChar w:fldCharType="begin"/>
          </w:r>
          <w:r w:rsidRPr="00ED4EDD">
            <w:instrText xml:space="preserve"> TOC \o "1-4" \h \z \u </w:instrText>
          </w:r>
          <w:r w:rsidRPr="00ED4EDD">
            <w:fldChar w:fldCharType="separate"/>
          </w:r>
          <w:hyperlink w:anchor="_Toc73534882" w:history="1">
            <w:r w:rsidR="00CC6C79" w:rsidRPr="00F4610B">
              <w:rPr>
                <w:rStyle w:val="Hipercze"/>
                <w:noProof/>
              </w:rPr>
              <w:t>1.</w:t>
            </w:r>
            <w:r w:rsidR="00CC6C79">
              <w:rPr>
                <w:rFonts w:eastAsiaTheme="minorEastAsia"/>
                <w:noProof/>
                <w:lang w:eastAsia="pl-PL"/>
              </w:rPr>
              <w:tab/>
            </w:r>
            <w:r w:rsidR="00CC6C79" w:rsidRPr="00F4610B">
              <w:rPr>
                <w:rStyle w:val="Hipercze"/>
                <w:noProof/>
              </w:rPr>
              <w:t>Kapitał społeczny</w:t>
            </w:r>
            <w:r w:rsidR="00CC6C79">
              <w:rPr>
                <w:noProof/>
                <w:webHidden/>
              </w:rPr>
              <w:tab/>
            </w:r>
            <w:r w:rsidR="00CC6C79">
              <w:rPr>
                <w:noProof/>
                <w:webHidden/>
              </w:rPr>
              <w:fldChar w:fldCharType="begin"/>
            </w:r>
            <w:r w:rsidR="00CC6C79">
              <w:rPr>
                <w:noProof/>
                <w:webHidden/>
              </w:rPr>
              <w:instrText xml:space="preserve"> PAGEREF _Toc73534882 \h </w:instrText>
            </w:r>
            <w:r w:rsidR="00CC6C79">
              <w:rPr>
                <w:noProof/>
                <w:webHidden/>
              </w:rPr>
            </w:r>
            <w:r w:rsidR="00CC6C79">
              <w:rPr>
                <w:noProof/>
                <w:webHidden/>
              </w:rPr>
              <w:fldChar w:fldCharType="separate"/>
            </w:r>
            <w:r w:rsidR="00AD58C3">
              <w:rPr>
                <w:noProof/>
                <w:webHidden/>
              </w:rPr>
              <w:t>6</w:t>
            </w:r>
            <w:r w:rsidR="00CC6C79">
              <w:rPr>
                <w:noProof/>
                <w:webHidden/>
              </w:rPr>
              <w:fldChar w:fldCharType="end"/>
            </w:r>
          </w:hyperlink>
        </w:p>
        <w:p w14:paraId="220C9AAE" w14:textId="282D29DB" w:rsidR="00CC6C79" w:rsidRDefault="00D22FE8">
          <w:pPr>
            <w:pStyle w:val="Spistreci2"/>
            <w:tabs>
              <w:tab w:val="right" w:leader="dot" w:pos="9062"/>
            </w:tabs>
            <w:rPr>
              <w:rFonts w:eastAsiaTheme="minorEastAsia"/>
              <w:noProof/>
              <w:lang w:eastAsia="pl-PL"/>
            </w:rPr>
          </w:pPr>
          <w:hyperlink w:anchor="_Toc73534883" w:history="1">
            <w:r w:rsidR="00CC6C79" w:rsidRPr="00F4610B">
              <w:rPr>
                <w:rStyle w:val="Hipercze"/>
                <w:noProof/>
              </w:rPr>
              <w:t>1.1 Liczba i struktura mieszkańców</w:t>
            </w:r>
            <w:r w:rsidR="00CC6C79">
              <w:rPr>
                <w:noProof/>
                <w:webHidden/>
              </w:rPr>
              <w:tab/>
            </w:r>
            <w:r w:rsidR="00CC6C79">
              <w:rPr>
                <w:noProof/>
                <w:webHidden/>
              </w:rPr>
              <w:fldChar w:fldCharType="begin"/>
            </w:r>
            <w:r w:rsidR="00CC6C79">
              <w:rPr>
                <w:noProof/>
                <w:webHidden/>
              </w:rPr>
              <w:instrText xml:space="preserve"> PAGEREF _Toc73534883 \h </w:instrText>
            </w:r>
            <w:r w:rsidR="00CC6C79">
              <w:rPr>
                <w:noProof/>
                <w:webHidden/>
              </w:rPr>
            </w:r>
            <w:r w:rsidR="00CC6C79">
              <w:rPr>
                <w:noProof/>
                <w:webHidden/>
              </w:rPr>
              <w:fldChar w:fldCharType="separate"/>
            </w:r>
            <w:r w:rsidR="00AD58C3">
              <w:rPr>
                <w:noProof/>
                <w:webHidden/>
              </w:rPr>
              <w:t>6</w:t>
            </w:r>
            <w:r w:rsidR="00CC6C79">
              <w:rPr>
                <w:noProof/>
                <w:webHidden/>
              </w:rPr>
              <w:fldChar w:fldCharType="end"/>
            </w:r>
          </w:hyperlink>
        </w:p>
        <w:p w14:paraId="5896C6C6" w14:textId="39400837" w:rsidR="00CC6C79" w:rsidRDefault="00D22FE8">
          <w:pPr>
            <w:pStyle w:val="Spistreci3"/>
            <w:rPr>
              <w:rFonts w:eastAsiaTheme="minorEastAsia"/>
              <w:noProof/>
              <w:lang w:eastAsia="pl-PL"/>
            </w:rPr>
          </w:pPr>
          <w:hyperlink w:anchor="_Toc73534884" w:history="1">
            <w:r w:rsidR="00CC6C79" w:rsidRPr="00F4610B">
              <w:rPr>
                <w:rStyle w:val="Hipercze"/>
                <w:noProof/>
              </w:rPr>
              <w:t>1.1.1 Liczba ludności i jej dynamika</w:t>
            </w:r>
            <w:r w:rsidR="00CC6C79">
              <w:rPr>
                <w:noProof/>
                <w:webHidden/>
              </w:rPr>
              <w:tab/>
            </w:r>
            <w:r w:rsidR="00CC6C79">
              <w:rPr>
                <w:noProof/>
                <w:webHidden/>
              </w:rPr>
              <w:fldChar w:fldCharType="begin"/>
            </w:r>
            <w:r w:rsidR="00CC6C79">
              <w:rPr>
                <w:noProof/>
                <w:webHidden/>
              </w:rPr>
              <w:instrText xml:space="preserve"> PAGEREF _Toc73534884 \h </w:instrText>
            </w:r>
            <w:r w:rsidR="00CC6C79">
              <w:rPr>
                <w:noProof/>
                <w:webHidden/>
              </w:rPr>
            </w:r>
            <w:r w:rsidR="00CC6C79">
              <w:rPr>
                <w:noProof/>
                <w:webHidden/>
              </w:rPr>
              <w:fldChar w:fldCharType="separate"/>
            </w:r>
            <w:r w:rsidR="00AD58C3">
              <w:rPr>
                <w:noProof/>
                <w:webHidden/>
              </w:rPr>
              <w:t>6</w:t>
            </w:r>
            <w:r w:rsidR="00CC6C79">
              <w:rPr>
                <w:noProof/>
                <w:webHidden/>
              </w:rPr>
              <w:fldChar w:fldCharType="end"/>
            </w:r>
          </w:hyperlink>
        </w:p>
        <w:p w14:paraId="2B54714C" w14:textId="41714F5D" w:rsidR="00CC6C79" w:rsidRDefault="00D22FE8">
          <w:pPr>
            <w:pStyle w:val="Spistreci3"/>
            <w:rPr>
              <w:rFonts w:eastAsiaTheme="minorEastAsia"/>
              <w:noProof/>
              <w:lang w:eastAsia="pl-PL"/>
            </w:rPr>
          </w:pPr>
          <w:hyperlink w:anchor="_Toc73534885" w:history="1">
            <w:r w:rsidR="00CC6C79" w:rsidRPr="00F4610B">
              <w:rPr>
                <w:rStyle w:val="Hipercze"/>
                <w:noProof/>
              </w:rPr>
              <w:t>1.1.2 Gęstość zaludnienia</w:t>
            </w:r>
            <w:r w:rsidR="00CC6C79">
              <w:rPr>
                <w:noProof/>
                <w:webHidden/>
              </w:rPr>
              <w:tab/>
            </w:r>
            <w:r w:rsidR="00CC6C79">
              <w:rPr>
                <w:noProof/>
                <w:webHidden/>
              </w:rPr>
              <w:fldChar w:fldCharType="begin"/>
            </w:r>
            <w:r w:rsidR="00CC6C79">
              <w:rPr>
                <w:noProof/>
                <w:webHidden/>
              </w:rPr>
              <w:instrText xml:space="preserve"> PAGEREF _Toc73534885 \h </w:instrText>
            </w:r>
            <w:r w:rsidR="00CC6C79">
              <w:rPr>
                <w:noProof/>
                <w:webHidden/>
              </w:rPr>
            </w:r>
            <w:r w:rsidR="00CC6C79">
              <w:rPr>
                <w:noProof/>
                <w:webHidden/>
              </w:rPr>
              <w:fldChar w:fldCharType="separate"/>
            </w:r>
            <w:r w:rsidR="00AD58C3">
              <w:rPr>
                <w:noProof/>
                <w:webHidden/>
              </w:rPr>
              <w:t>10</w:t>
            </w:r>
            <w:r w:rsidR="00CC6C79">
              <w:rPr>
                <w:noProof/>
                <w:webHidden/>
              </w:rPr>
              <w:fldChar w:fldCharType="end"/>
            </w:r>
          </w:hyperlink>
        </w:p>
        <w:p w14:paraId="618B4281" w14:textId="657BF4C4" w:rsidR="00CC6C79" w:rsidRDefault="00D22FE8">
          <w:pPr>
            <w:pStyle w:val="Spistreci3"/>
            <w:rPr>
              <w:rFonts w:eastAsiaTheme="minorEastAsia"/>
              <w:noProof/>
              <w:lang w:eastAsia="pl-PL"/>
            </w:rPr>
          </w:pPr>
          <w:hyperlink w:anchor="_Toc73534886" w:history="1">
            <w:r w:rsidR="00CC6C79" w:rsidRPr="00F4610B">
              <w:rPr>
                <w:rStyle w:val="Hipercze"/>
                <w:noProof/>
              </w:rPr>
              <w:t>1.1.3 Przyrost naturalny</w:t>
            </w:r>
            <w:r w:rsidR="00CC6C79">
              <w:rPr>
                <w:noProof/>
                <w:webHidden/>
              </w:rPr>
              <w:tab/>
            </w:r>
            <w:r w:rsidR="00CC6C79">
              <w:rPr>
                <w:noProof/>
                <w:webHidden/>
              </w:rPr>
              <w:fldChar w:fldCharType="begin"/>
            </w:r>
            <w:r w:rsidR="00CC6C79">
              <w:rPr>
                <w:noProof/>
                <w:webHidden/>
              </w:rPr>
              <w:instrText xml:space="preserve"> PAGEREF _Toc73534886 \h </w:instrText>
            </w:r>
            <w:r w:rsidR="00CC6C79">
              <w:rPr>
                <w:noProof/>
                <w:webHidden/>
              </w:rPr>
            </w:r>
            <w:r w:rsidR="00CC6C79">
              <w:rPr>
                <w:noProof/>
                <w:webHidden/>
              </w:rPr>
              <w:fldChar w:fldCharType="separate"/>
            </w:r>
            <w:r w:rsidR="00AD58C3">
              <w:rPr>
                <w:noProof/>
                <w:webHidden/>
              </w:rPr>
              <w:t>11</w:t>
            </w:r>
            <w:r w:rsidR="00CC6C79">
              <w:rPr>
                <w:noProof/>
                <w:webHidden/>
              </w:rPr>
              <w:fldChar w:fldCharType="end"/>
            </w:r>
          </w:hyperlink>
        </w:p>
        <w:p w14:paraId="36833D29" w14:textId="7B9C7D4D" w:rsidR="00CC6C79" w:rsidRDefault="00D22FE8">
          <w:pPr>
            <w:pStyle w:val="Spistreci3"/>
            <w:rPr>
              <w:rFonts w:eastAsiaTheme="minorEastAsia"/>
              <w:noProof/>
              <w:lang w:eastAsia="pl-PL"/>
            </w:rPr>
          </w:pPr>
          <w:hyperlink w:anchor="_Toc73534887" w:history="1">
            <w:r w:rsidR="00CC6C79" w:rsidRPr="00F4610B">
              <w:rPr>
                <w:rStyle w:val="Hipercze"/>
                <w:noProof/>
              </w:rPr>
              <w:t>1.1.4 Obciążenie demograficzne</w:t>
            </w:r>
            <w:r w:rsidR="00CC6C79">
              <w:rPr>
                <w:noProof/>
                <w:webHidden/>
              </w:rPr>
              <w:tab/>
            </w:r>
            <w:r w:rsidR="00CC6C79">
              <w:rPr>
                <w:noProof/>
                <w:webHidden/>
              </w:rPr>
              <w:fldChar w:fldCharType="begin"/>
            </w:r>
            <w:r w:rsidR="00CC6C79">
              <w:rPr>
                <w:noProof/>
                <w:webHidden/>
              </w:rPr>
              <w:instrText xml:space="preserve"> PAGEREF _Toc73534887 \h </w:instrText>
            </w:r>
            <w:r w:rsidR="00CC6C79">
              <w:rPr>
                <w:noProof/>
                <w:webHidden/>
              </w:rPr>
            </w:r>
            <w:r w:rsidR="00CC6C79">
              <w:rPr>
                <w:noProof/>
                <w:webHidden/>
              </w:rPr>
              <w:fldChar w:fldCharType="separate"/>
            </w:r>
            <w:r w:rsidR="00AD58C3">
              <w:rPr>
                <w:noProof/>
                <w:webHidden/>
              </w:rPr>
              <w:t>12</w:t>
            </w:r>
            <w:r w:rsidR="00CC6C79">
              <w:rPr>
                <w:noProof/>
                <w:webHidden/>
              </w:rPr>
              <w:fldChar w:fldCharType="end"/>
            </w:r>
          </w:hyperlink>
        </w:p>
        <w:p w14:paraId="63CE0FC1" w14:textId="71C04A29" w:rsidR="00CC6C79" w:rsidRDefault="00D22FE8">
          <w:pPr>
            <w:pStyle w:val="Spistreci2"/>
            <w:tabs>
              <w:tab w:val="right" w:leader="dot" w:pos="9062"/>
            </w:tabs>
            <w:rPr>
              <w:rFonts w:eastAsiaTheme="minorEastAsia"/>
              <w:noProof/>
              <w:lang w:eastAsia="pl-PL"/>
            </w:rPr>
          </w:pPr>
          <w:hyperlink w:anchor="_Toc73534888" w:history="1">
            <w:r w:rsidR="00CC6C79" w:rsidRPr="00F4610B">
              <w:rPr>
                <w:rStyle w:val="Hipercze"/>
                <w:noProof/>
              </w:rPr>
              <w:t>1.2 Sytuacja społeczno-ekonomiczna</w:t>
            </w:r>
            <w:r w:rsidR="00CC6C79">
              <w:rPr>
                <w:noProof/>
                <w:webHidden/>
              </w:rPr>
              <w:tab/>
            </w:r>
            <w:r w:rsidR="00CC6C79">
              <w:rPr>
                <w:noProof/>
                <w:webHidden/>
              </w:rPr>
              <w:fldChar w:fldCharType="begin"/>
            </w:r>
            <w:r w:rsidR="00CC6C79">
              <w:rPr>
                <w:noProof/>
                <w:webHidden/>
              </w:rPr>
              <w:instrText xml:space="preserve"> PAGEREF _Toc73534888 \h </w:instrText>
            </w:r>
            <w:r w:rsidR="00CC6C79">
              <w:rPr>
                <w:noProof/>
                <w:webHidden/>
              </w:rPr>
            </w:r>
            <w:r w:rsidR="00CC6C79">
              <w:rPr>
                <w:noProof/>
                <w:webHidden/>
              </w:rPr>
              <w:fldChar w:fldCharType="separate"/>
            </w:r>
            <w:r w:rsidR="00AD58C3">
              <w:rPr>
                <w:noProof/>
                <w:webHidden/>
              </w:rPr>
              <w:t>13</w:t>
            </w:r>
            <w:r w:rsidR="00CC6C79">
              <w:rPr>
                <w:noProof/>
                <w:webHidden/>
              </w:rPr>
              <w:fldChar w:fldCharType="end"/>
            </w:r>
          </w:hyperlink>
        </w:p>
        <w:p w14:paraId="733F525A" w14:textId="41D4E1CC" w:rsidR="00CC6C79" w:rsidRDefault="00D22FE8">
          <w:pPr>
            <w:pStyle w:val="Spistreci3"/>
            <w:rPr>
              <w:rFonts w:eastAsiaTheme="minorEastAsia"/>
              <w:noProof/>
              <w:lang w:eastAsia="pl-PL"/>
            </w:rPr>
          </w:pPr>
          <w:hyperlink w:anchor="_Toc73534889" w:history="1">
            <w:r w:rsidR="00CC6C79" w:rsidRPr="00F4610B">
              <w:rPr>
                <w:rStyle w:val="Hipercze"/>
                <w:noProof/>
              </w:rPr>
              <w:t>1.2.1 Wynagrodzenia</w:t>
            </w:r>
            <w:r w:rsidR="00CC6C79">
              <w:rPr>
                <w:noProof/>
                <w:webHidden/>
              </w:rPr>
              <w:tab/>
            </w:r>
            <w:r w:rsidR="00CC6C79">
              <w:rPr>
                <w:noProof/>
                <w:webHidden/>
              </w:rPr>
              <w:fldChar w:fldCharType="begin"/>
            </w:r>
            <w:r w:rsidR="00CC6C79">
              <w:rPr>
                <w:noProof/>
                <w:webHidden/>
              </w:rPr>
              <w:instrText xml:space="preserve"> PAGEREF _Toc73534889 \h </w:instrText>
            </w:r>
            <w:r w:rsidR="00CC6C79">
              <w:rPr>
                <w:noProof/>
                <w:webHidden/>
              </w:rPr>
            </w:r>
            <w:r w:rsidR="00CC6C79">
              <w:rPr>
                <w:noProof/>
                <w:webHidden/>
              </w:rPr>
              <w:fldChar w:fldCharType="separate"/>
            </w:r>
            <w:r w:rsidR="00AD58C3">
              <w:rPr>
                <w:noProof/>
                <w:webHidden/>
              </w:rPr>
              <w:t>13</w:t>
            </w:r>
            <w:r w:rsidR="00CC6C79">
              <w:rPr>
                <w:noProof/>
                <w:webHidden/>
              </w:rPr>
              <w:fldChar w:fldCharType="end"/>
            </w:r>
          </w:hyperlink>
        </w:p>
        <w:p w14:paraId="5F472E78" w14:textId="241DCF55" w:rsidR="00CC6C79" w:rsidRDefault="00D22FE8">
          <w:pPr>
            <w:pStyle w:val="Spistreci3"/>
            <w:rPr>
              <w:rFonts w:eastAsiaTheme="minorEastAsia"/>
              <w:noProof/>
              <w:lang w:eastAsia="pl-PL"/>
            </w:rPr>
          </w:pPr>
          <w:hyperlink w:anchor="_Toc73534890" w:history="1">
            <w:r w:rsidR="00CC6C79" w:rsidRPr="00F4610B">
              <w:rPr>
                <w:rStyle w:val="Hipercze"/>
                <w:noProof/>
              </w:rPr>
              <w:t>1.2.2 Zagrożenie ubóstwem</w:t>
            </w:r>
            <w:r w:rsidR="00CC6C79">
              <w:rPr>
                <w:noProof/>
                <w:webHidden/>
              </w:rPr>
              <w:tab/>
            </w:r>
            <w:r w:rsidR="00CC6C79">
              <w:rPr>
                <w:noProof/>
                <w:webHidden/>
              </w:rPr>
              <w:fldChar w:fldCharType="begin"/>
            </w:r>
            <w:r w:rsidR="00CC6C79">
              <w:rPr>
                <w:noProof/>
                <w:webHidden/>
              </w:rPr>
              <w:instrText xml:space="preserve"> PAGEREF _Toc73534890 \h </w:instrText>
            </w:r>
            <w:r w:rsidR="00CC6C79">
              <w:rPr>
                <w:noProof/>
                <w:webHidden/>
              </w:rPr>
            </w:r>
            <w:r w:rsidR="00CC6C79">
              <w:rPr>
                <w:noProof/>
                <w:webHidden/>
              </w:rPr>
              <w:fldChar w:fldCharType="separate"/>
            </w:r>
            <w:r w:rsidR="00AD58C3">
              <w:rPr>
                <w:noProof/>
                <w:webHidden/>
              </w:rPr>
              <w:t>14</w:t>
            </w:r>
            <w:r w:rsidR="00CC6C79">
              <w:rPr>
                <w:noProof/>
                <w:webHidden/>
              </w:rPr>
              <w:fldChar w:fldCharType="end"/>
            </w:r>
          </w:hyperlink>
        </w:p>
        <w:p w14:paraId="48CEA176" w14:textId="0ABC4E82" w:rsidR="00CC6C79" w:rsidRDefault="00D22FE8">
          <w:pPr>
            <w:pStyle w:val="Spistreci3"/>
            <w:rPr>
              <w:rFonts w:eastAsiaTheme="minorEastAsia"/>
              <w:noProof/>
              <w:lang w:eastAsia="pl-PL"/>
            </w:rPr>
          </w:pPr>
          <w:hyperlink w:anchor="_Toc73534891" w:history="1">
            <w:r w:rsidR="00CC6C79" w:rsidRPr="00F4610B">
              <w:rPr>
                <w:rStyle w:val="Hipercze"/>
                <w:noProof/>
              </w:rPr>
              <w:t>1.2.3 Aktywność zawodowa i zdrowie społeczeństwa</w:t>
            </w:r>
            <w:r w:rsidR="00CC6C79">
              <w:rPr>
                <w:noProof/>
                <w:webHidden/>
              </w:rPr>
              <w:tab/>
            </w:r>
            <w:r w:rsidR="00CC6C79">
              <w:rPr>
                <w:noProof/>
                <w:webHidden/>
              </w:rPr>
              <w:fldChar w:fldCharType="begin"/>
            </w:r>
            <w:r w:rsidR="00CC6C79">
              <w:rPr>
                <w:noProof/>
                <w:webHidden/>
              </w:rPr>
              <w:instrText xml:space="preserve"> PAGEREF _Toc73534891 \h </w:instrText>
            </w:r>
            <w:r w:rsidR="00CC6C79">
              <w:rPr>
                <w:noProof/>
                <w:webHidden/>
              </w:rPr>
            </w:r>
            <w:r w:rsidR="00CC6C79">
              <w:rPr>
                <w:noProof/>
                <w:webHidden/>
              </w:rPr>
              <w:fldChar w:fldCharType="separate"/>
            </w:r>
            <w:r w:rsidR="00AD58C3">
              <w:rPr>
                <w:noProof/>
                <w:webHidden/>
              </w:rPr>
              <w:t>17</w:t>
            </w:r>
            <w:r w:rsidR="00CC6C79">
              <w:rPr>
                <w:noProof/>
                <w:webHidden/>
              </w:rPr>
              <w:fldChar w:fldCharType="end"/>
            </w:r>
          </w:hyperlink>
        </w:p>
        <w:p w14:paraId="3A150CFA" w14:textId="60725233" w:rsidR="00CC6C79" w:rsidRDefault="00D22FE8">
          <w:pPr>
            <w:pStyle w:val="Spistreci3"/>
            <w:rPr>
              <w:rFonts w:eastAsiaTheme="minorEastAsia"/>
              <w:noProof/>
              <w:lang w:eastAsia="pl-PL"/>
            </w:rPr>
          </w:pPr>
          <w:hyperlink w:anchor="_Toc73534892" w:history="1">
            <w:r w:rsidR="00CC6C79" w:rsidRPr="00F4610B">
              <w:rPr>
                <w:rStyle w:val="Hipercze"/>
                <w:noProof/>
              </w:rPr>
              <w:t>1.2.4 Bezrobocie</w:t>
            </w:r>
            <w:r w:rsidR="00CC6C79">
              <w:rPr>
                <w:noProof/>
                <w:webHidden/>
              </w:rPr>
              <w:tab/>
            </w:r>
            <w:r w:rsidR="00CC6C79">
              <w:rPr>
                <w:noProof/>
                <w:webHidden/>
              </w:rPr>
              <w:fldChar w:fldCharType="begin"/>
            </w:r>
            <w:r w:rsidR="00CC6C79">
              <w:rPr>
                <w:noProof/>
                <w:webHidden/>
              </w:rPr>
              <w:instrText xml:space="preserve"> PAGEREF _Toc73534892 \h </w:instrText>
            </w:r>
            <w:r w:rsidR="00CC6C79">
              <w:rPr>
                <w:noProof/>
                <w:webHidden/>
              </w:rPr>
            </w:r>
            <w:r w:rsidR="00CC6C79">
              <w:rPr>
                <w:noProof/>
                <w:webHidden/>
              </w:rPr>
              <w:fldChar w:fldCharType="separate"/>
            </w:r>
            <w:r w:rsidR="00AD58C3">
              <w:rPr>
                <w:noProof/>
                <w:webHidden/>
              </w:rPr>
              <w:t>19</w:t>
            </w:r>
            <w:r w:rsidR="00CC6C79">
              <w:rPr>
                <w:noProof/>
                <w:webHidden/>
              </w:rPr>
              <w:fldChar w:fldCharType="end"/>
            </w:r>
          </w:hyperlink>
        </w:p>
        <w:p w14:paraId="549F95E1" w14:textId="4FABD4D9" w:rsidR="00CC6C79" w:rsidRDefault="00D22FE8">
          <w:pPr>
            <w:pStyle w:val="Spistreci3"/>
            <w:rPr>
              <w:rFonts w:eastAsiaTheme="minorEastAsia"/>
              <w:noProof/>
              <w:lang w:eastAsia="pl-PL"/>
            </w:rPr>
          </w:pPr>
          <w:hyperlink w:anchor="_Toc73534893" w:history="1">
            <w:r w:rsidR="00CC6C79" w:rsidRPr="00F4610B">
              <w:rPr>
                <w:rStyle w:val="Hipercze"/>
                <w:noProof/>
              </w:rPr>
              <w:t>1.2.5 Problemy społeczne</w:t>
            </w:r>
            <w:r w:rsidR="00CC6C79">
              <w:rPr>
                <w:noProof/>
                <w:webHidden/>
              </w:rPr>
              <w:tab/>
            </w:r>
            <w:r w:rsidR="00CC6C79">
              <w:rPr>
                <w:noProof/>
                <w:webHidden/>
              </w:rPr>
              <w:fldChar w:fldCharType="begin"/>
            </w:r>
            <w:r w:rsidR="00CC6C79">
              <w:rPr>
                <w:noProof/>
                <w:webHidden/>
              </w:rPr>
              <w:instrText xml:space="preserve"> PAGEREF _Toc73534893 \h </w:instrText>
            </w:r>
            <w:r w:rsidR="00CC6C79">
              <w:rPr>
                <w:noProof/>
                <w:webHidden/>
              </w:rPr>
            </w:r>
            <w:r w:rsidR="00CC6C79">
              <w:rPr>
                <w:noProof/>
                <w:webHidden/>
              </w:rPr>
              <w:fldChar w:fldCharType="separate"/>
            </w:r>
            <w:r w:rsidR="00AD58C3">
              <w:rPr>
                <w:noProof/>
                <w:webHidden/>
              </w:rPr>
              <w:t>24</w:t>
            </w:r>
            <w:r w:rsidR="00CC6C79">
              <w:rPr>
                <w:noProof/>
                <w:webHidden/>
              </w:rPr>
              <w:fldChar w:fldCharType="end"/>
            </w:r>
          </w:hyperlink>
        </w:p>
        <w:p w14:paraId="0945C863" w14:textId="4C08F1E6" w:rsidR="00CC6C79" w:rsidRDefault="00D22FE8">
          <w:pPr>
            <w:pStyle w:val="Spistreci2"/>
            <w:tabs>
              <w:tab w:val="right" w:leader="dot" w:pos="9062"/>
            </w:tabs>
            <w:rPr>
              <w:rFonts w:eastAsiaTheme="minorEastAsia"/>
              <w:noProof/>
              <w:lang w:eastAsia="pl-PL"/>
            </w:rPr>
          </w:pPr>
          <w:hyperlink w:anchor="_Toc73534894" w:history="1">
            <w:r w:rsidR="00CC6C79" w:rsidRPr="00F4610B">
              <w:rPr>
                <w:rStyle w:val="Hipercze"/>
                <w:noProof/>
              </w:rPr>
              <w:t>1.3 Bezpieczeństwo publiczne</w:t>
            </w:r>
            <w:r w:rsidR="00CC6C79">
              <w:rPr>
                <w:noProof/>
                <w:webHidden/>
              </w:rPr>
              <w:tab/>
            </w:r>
            <w:r w:rsidR="00CC6C79">
              <w:rPr>
                <w:noProof/>
                <w:webHidden/>
              </w:rPr>
              <w:fldChar w:fldCharType="begin"/>
            </w:r>
            <w:r w:rsidR="00CC6C79">
              <w:rPr>
                <w:noProof/>
                <w:webHidden/>
              </w:rPr>
              <w:instrText xml:space="preserve"> PAGEREF _Toc73534894 \h </w:instrText>
            </w:r>
            <w:r w:rsidR="00CC6C79">
              <w:rPr>
                <w:noProof/>
                <w:webHidden/>
              </w:rPr>
            </w:r>
            <w:r w:rsidR="00CC6C79">
              <w:rPr>
                <w:noProof/>
                <w:webHidden/>
              </w:rPr>
              <w:fldChar w:fldCharType="separate"/>
            </w:r>
            <w:r w:rsidR="00AD58C3">
              <w:rPr>
                <w:noProof/>
                <w:webHidden/>
              </w:rPr>
              <w:t>28</w:t>
            </w:r>
            <w:r w:rsidR="00CC6C79">
              <w:rPr>
                <w:noProof/>
                <w:webHidden/>
              </w:rPr>
              <w:fldChar w:fldCharType="end"/>
            </w:r>
          </w:hyperlink>
        </w:p>
        <w:p w14:paraId="552523CD" w14:textId="1BF7295E" w:rsidR="00CC6C79" w:rsidRDefault="00D22FE8">
          <w:pPr>
            <w:pStyle w:val="Spistreci3"/>
            <w:rPr>
              <w:rFonts w:eastAsiaTheme="minorEastAsia"/>
              <w:noProof/>
              <w:lang w:eastAsia="pl-PL"/>
            </w:rPr>
          </w:pPr>
          <w:hyperlink w:anchor="_Toc73534895" w:history="1">
            <w:r w:rsidR="00CC6C79" w:rsidRPr="00F4610B">
              <w:rPr>
                <w:rStyle w:val="Hipercze"/>
                <w:noProof/>
              </w:rPr>
              <w:t>1.3.1. Straż miejska</w:t>
            </w:r>
            <w:r w:rsidR="00CC6C79">
              <w:rPr>
                <w:noProof/>
                <w:webHidden/>
              </w:rPr>
              <w:tab/>
            </w:r>
            <w:r w:rsidR="00CC6C79">
              <w:rPr>
                <w:noProof/>
                <w:webHidden/>
              </w:rPr>
              <w:fldChar w:fldCharType="begin"/>
            </w:r>
            <w:r w:rsidR="00CC6C79">
              <w:rPr>
                <w:noProof/>
                <w:webHidden/>
              </w:rPr>
              <w:instrText xml:space="preserve"> PAGEREF _Toc73534895 \h </w:instrText>
            </w:r>
            <w:r w:rsidR="00CC6C79">
              <w:rPr>
                <w:noProof/>
                <w:webHidden/>
              </w:rPr>
            </w:r>
            <w:r w:rsidR="00CC6C79">
              <w:rPr>
                <w:noProof/>
                <w:webHidden/>
              </w:rPr>
              <w:fldChar w:fldCharType="separate"/>
            </w:r>
            <w:r w:rsidR="00AD58C3">
              <w:rPr>
                <w:noProof/>
                <w:webHidden/>
              </w:rPr>
              <w:t>29</w:t>
            </w:r>
            <w:r w:rsidR="00CC6C79">
              <w:rPr>
                <w:noProof/>
                <w:webHidden/>
              </w:rPr>
              <w:fldChar w:fldCharType="end"/>
            </w:r>
          </w:hyperlink>
        </w:p>
        <w:p w14:paraId="0CDB6543" w14:textId="759F240D" w:rsidR="00CC6C79" w:rsidRDefault="00D22FE8">
          <w:pPr>
            <w:pStyle w:val="Spistreci3"/>
            <w:rPr>
              <w:rFonts w:eastAsiaTheme="minorEastAsia"/>
              <w:noProof/>
              <w:lang w:eastAsia="pl-PL"/>
            </w:rPr>
          </w:pPr>
          <w:hyperlink w:anchor="_Toc73534896" w:history="1">
            <w:r w:rsidR="00CC6C79" w:rsidRPr="00F4610B">
              <w:rPr>
                <w:rStyle w:val="Hipercze"/>
                <w:noProof/>
              </w:rPr>
              <w:t>1.3.2. Policja</w:t>
            </w:r>
            <w:r w:rsidR="00CC6C79">
              <w:rPr>
                <w:noProof/>
                <w:webHidden/>
              </w:rPr>
              <w:tab/>
            </w:r>
            <w:r w:rsidR="00CC6C79">
              <w:rPr>
                <w:noProof/>
                <w:webHidden/>
              </w:rPr>
              <w:fldChar w:fldCharType="begin"/>
            </w:r>
            <w:r w:rsidR="00CC6C79">
              <w:rPr>
                <w:noProof/>
                <w:webHidden/>
              </w:rPr>
              <w:instrText xml:space="preserve"> PAGEREF _Toc73534896 \h </w:instrText>
            </w:r>
            <w:r w:rsidR="00CC6C79">
              <w:rPr>
                <w:noProof/>
                <w:webHidden/>
              </w:rPr>
            </w:r>
            <w:r w:rsidR="00CC6C79">
              <w:rPr>
                <w:noProof/>
                <w:webHidden/>
              </w:rPr>
              <w:fldChar w:fldCharType="separate"/>
            </w:r>
            <w:r w:rsidR="00AD58C3">
              <w:rPr>
                <w:noProof/>
                <w:webHidden/>
              </w:rPr>
              <w:t>30</w:t>
            </w:r>
            <w:r w:rsidR="00CC6C79">
              <w:rPr>
                <w:noProof/>
                <w:webHidden/>
              </w:rPr>
              <w:fldChar w:fldCharType="end"/>
            </w:r>
          </w:hyperlink>
        </w:p>
        <w:p w14:paraId="57C8837F" w14:textId="56EFB36F" w:rsidR="00CC6C79" w:rsidRDefault="00D22FE8">
          <w:pPr>
            <w:pStyle w:val="Spistreci3"/>
            <w:rPr>
              <w:rFonts w:eastAsiaTheme="minorEastAsia"/>
              <w:noProof/>
              <w:lang w:eastAsia="pl-PL"/>
            </w:rPr>
          </w:pPr>
          <w:hyperlink w:anchor="_Toc73534897" w:history="1">
            <w:r w:rsidR="00CC6C79" w:rsidRPr="00F4610B">
              <w:rPr>
                <w:rStyle w:val="Hipercze"/>
                <w:noProof/>
              </w:rPr>
              <w:t>1.3.3. Bezpieczeństwo ruchu drogowego</w:t>
            </w:r>
            <w:r w:rsidR="00CC6C79">
              <w:rPr>
                <w:noProof/>
                <w:webHidden/>
              </w:rPr>
              <w:tab/>
            </w:r>
            <w:r w:rsidR="00CC6C79">
              <w:rPr>
                <w:noProof/>
                <w:webHidden/>
              </w:rPr>
              <w:fldChar w:fldCharType="begin"/>
            </w:r>
            <w:r w:rsidR="00CC6C79">
              <w:rPr>
                <w:noProof/>
                <w:webHidden/>
              </w:rPr>
              <w:instrText xml:space="preserve"> PAGEREF _Toc73534897 \h </w:instrText>
            </w:r>
            <w:r w:rsidR="00CC6C79">
              <w:rPr>
                <w:noProof/>
                <w:webHidden/>
              </w:rPr>
            </w:r>
            <w:r w:rsidR="00CC6C79">
              <w:rPr>
                <w:noProof/>
                <w:webHidden/>
              </w:rPr>
              <w:fldChar w:fldCharType="separate"/>
            </w:r>
            <w:r w:rsidR="00AD58C3">
              <w:rPr>
                <w:noProof/>
                <w:webHidden/>
              </w:rPr>
              <w:t>33</w:t>
            </w:r>
            <w:r w:rsidR="00CC6C79">
              <w:rPr>
                <w:noProof/>
                <w:webHidden/>
              </w:rPr>
              <w:fldChar w:fldCharType="end"/>
            </w:r>
          </w:hyperlink>
        </w:p>
        <w:p w14:paraId="426975E7" w14:textId="1F968560" w:rsidR="00CC6C79" w:rsidRDefault="00D22FE8">
          <w:pPr>
            <w:pStyle w:val="Spistreci2"/>
            <w:tabs>
              <w:tab w:val="right" w:leader="dot" w:pos="9062"/>
            </w:tabs>
            <w:rPr>
              <w:rFonts w:eastAsiaTheme="minorEastAsia"/>
              <w:noProof/>
              <w:lang w:eastAsia="pl-PL"/>
            </w:rPr>
          </w:pPr>
          <w:hyperlink w:anchor="_Toc73534898" w:history="1">
            <w:r w:rsidR="00CC6C79" w:rsidRPr="00F4610B">
              <w:rPr>
                <w:rStyle w:val="Hipercze"/>
                <w:noProof/>
              </w:rPr>
              <w:t>1.4 Społeczeństwo obywatelskie</w:t>
            </w:r>
            <w:r w:rsidR="00CC6C79">
              <w:rPr>
                <w:noProof/>
                <w:webHidden/>
              </w:rPr>
              <w:tab/>
            </w:r>
            <w:r w:rsidR="00CC6C79">
              <w:rPr>
                <w:noProof/>
                <w:webHidden/>
              </w:rPr>
              <w:fldChar w:fldCharType="begin"/>
            </w:r>
            <w:r w:rsidR="00CC6C79">
              <w:rPr>
                <w:noProof/>
                <w:webHidden/>
              </w:rPr>
              <w:instrText xml:space="preserve"> PAGEREF _Toc73534898 \h </w:instrText>
            </w:r>
            <w:r w:rsidR="00CC6C79">
              <w:rPr>
                <w:noProof/>
                <w:webHidden/>
              </w:rPr>
            </w:r>
            <w:r w:rsidR="00CC6C79">
              <w:rPr>
                <w:noProof/>
                <w:webHidden/>
              </w:rPr>
              <w:fldChar w:fldCharType="separate"/>
            </w:r>
            <w:r w:rsidR="00AD58C3">
              <w:rPr>
                <w:noProof/>
                <w:webHidden/>
              </w:rPr>
              <w:t>34</w:t>
            </w:r>
            <w:r w:rsidR="00CC6C79">
              <w:rPr>
                <w:noProof/>
                <w:webHidden/>
              </w:rPr>
              <w:fldChar w:fldCharType="end"/>
            </w:r>
          </w:hyperlink>
        </w:p>
        <w:p w14:paraId="62DD05CB" w14:textId="2366646B" w:rsidR="00CC6C79" w:rsidRDefault="00D22FE8">
          <w:pPr>
            <w:pStyle w:val="Spistreci3"/>
            <w:rPr>
              <w:rFonts w:eastAsiaTheme="minorEastAsia"/>
              <w:noProof/>
              <w:lang w:eastAsia="pl-PL"/>
            </w:rPr>
          </w:pPr>
          <w:hyperlink w:anchor="_Toc73534899" w:history="1">
            <w:r w:rsidR="00CC6C79" w:rsidRPr="00F4610B">
              <w:rPr>
                <w:rStyle w:val="Hipercze"/>
                <w:noProof/>
              </w:rPr>
              <w:t>1.4.1 Sektor pozarządowy</w:t>
            </w:r>
            <w:r w:rsidR="00CC6C79">
              <w:rPr>
                <w:noProof/>
                <w:webHidden/>
              </w:rPr>
              <w:tab/>
            </w:r>
            <w:r w:rsidR="00CC6C79">
              <w:rPr>
                <w:noProof/>
                <w:webHidden/>
              </w:rPr>
              <w:fldChar w:fldCharType="begin"/>
            </w:r>
            <w:r w:rsidR="00CC6C79">
              <w:rPr>
                <w:noProof/>
                <w:webHidden/>
              </w:rPr>
              <w:instrText xml:space="preserve"> PAGEREF _Toc73534899 \h </w:instrText>
            </w:r>
            <w:r w:rsidR="00CC6C79">
              <w:rPr>
                <w:noProof/>
                <w:webHidden/>
              </w:rPr>
            </w:r>
            <w:r w:rsidR="00CC6C79">
              <w:rPr>
                <w:noProof/>
                <w:webHidden/>
              </w:rPr>
              <w:fldChar w:fldCharType="separate"/>
            </w:r>
            <w:r w:rsidR="00AD58C3">
              <w:rPr>
                <w:noProof/>
                <w:webHidden/>
              </w:rPr>
              <w:t>34</w:t>
            </w:r>
            <w:r w:rsidR="00CC6C79">
              <w:rPr>
                <w:noProof/>
                <w:webHidden/>
              </w:rPr>
              <w:fldChar w:fldCharType="end"/>
            </w:r>
          </w:hyperlink>
        </w:p>
        <w:p w14:paraId="543425A5" w14:textId="3B095135" w:rsidR="00CC6C79" w:rsidRDefault="00D22FE8">
          <w:pPr>
            <w:pStyle w:val="Spistreci3"/>
            <w:rPr>
              <w:rFonts w:eastAsiaTheme="minorEastAsia"/>
              <w:noProof/>
              <w:lang w:eastAsia="pl-PL"/>
            </w:rPr>
          </w:pPr>
          <w:hyperlink w:anchor="_Toc73534900" w:history="1">
            <w:r w:rsidR="00CC6C79" w:rsidRPr="00F4610B">
              <w:rPr>
                <w:rStyle w:val="Hipercze"/>
                <w:noProof/>
              </w:rPr>
              <w:t>1.4.2 Udział w wyborach</w:t>
            </w:r>
            <w:r w:rsidR="00CC6C79">
              <w:rPr>
                <w:noProof/>
                <w:webHidden/>
              </w:rPr>
              <w:tab/>
            </w:r>
            <w:r w:rsidR="00CC6C79">
              <w:rPr>
                <w:noProof/>
                <w:webHidden/>
              </w:rPr>
              <w:fldChar w:fldCharType="begin"/>
            </w:r>
            <w:r w:rsidR="00CC6C79">
              <w:rPr>
                <w:noProof/>
                <w:webHidden/>
              </w:rPr>
              <w:instrText xml:space="preserve"> PAGEREF _Toc73534900 \h </w:instrText>
            </w:r>
            <w:r w:rsidR="00CC6C79">
              <w:rPr>
                <w:noProof/>
                <w:webHidden/>
              </w:rPr>
            </w:r>
            <w:r w:rsidR="00CC6C79">
              <w:rPr>
                <w:noProof/>
                <w:webHidden/>
              </w:rPr>
              <w:fldChar w:fldCharType="separate"/>
            </w:r>
            <w:r w:rsidR="00AD58C3">
              <w:rPr>
                <w:noProof/>
                <w:webHidden/>
              </w:rPr>
              <w:t>35</w:t>
            </w:r>
            <w:r w:rsidR="00CC6C79">
              <w:rPr>
                <w:noProof/>
                <w:webHidden/>
              </w:rPr>
              <w:fldChar w:fldCharType="end"/>
            </w:r>
          </w:hyperlink>
        </w:p>
        <w:p w14:paraId="6F95102B" w14:textId="307F122B" w:rsidR="00CC6C79" w:rsidRDefault="00D22FE8">
          <w:pPr>
            <w:pStyle w:val="Spistreci1"/>
            <w:tabs>
              <w:tab w:val="left" w:pos="440"/>
              <w:tab w:val="right" w:leader="dot" w:pos="9062"/>
            </w:tabs>
            <w:rPr>
              <w:rFonts w:eastAsiaTheme="minorEastAsia"/>
              <w:noProof/>
              <w:lang w:eastAsia="pl-PL"/>
            </w:rPr>
          </w:pPr>
          <w:hyperlink w:anchor="_Toc73534901" w:history="1">
            <w:r w:rsidR="00CC6C79" w:rsidRPr="00F4610B">
              <w:rPr>
                <w:rStyle w:val="Hipercze"/>
                <w:noProof/>
              </w:rPr>
              <w:t>2.</w:t>
            </w:r>
            <w:r w:rsidR="00CC6C79">
              <w:rPr>
                <w:rFonts w:eastAsiaTheme="minorEastAsia"/>
                <w:noProof/>
                <w:lang w:eastAsia="pl-PL"/>
              </w:rPr>
              <w:tab/>
            </w:r>
            <w:r w:rsidR="00CC6C79" w:rsidRPr="00F4610B">
              <w:rPr>
                <w:rStyle w:val="Hipercze"/>
                <w:noProof/>
              </w:rPr>
              <w:t>Środowisko</w:t>
            </w:r>
            <w:r w:rsidR="00CC6C79">
              <w:rPr>
                <w:noProof/>
                <w:webHidden/>
              </w:rPr>
              <w:tab/>
            </w:r>
            <w:r w:rsidR="00CC6C79">
              <w:rPr>
                <w:noProof/>
                <w:webHidden/>
              </w:rPr>
              <w:fldChar w:fldCharType="begin"/>
            </w:r>
            <w:r w:rsidR="00CC6C79">
              <w:rPr>
                <w:noProof/>
                <w:webHidden/>
              </w:rPr>
              <w:instrText xml:space="preserve"> PAGEREF _Toc73534901 \h </w:instrText>
            </w:r>
            <w:r w:rsidR="00CC6C79">
              <w:rPr>
                <w:noProof/>
                <w:webHidden/>
              </w:rPr>
            </w:r>
            <w:r w:rsidR="00CC6C79">
              <w:rPr>
                <w:noProof/>
                <w:webHidden/>
              </w:rPr>
              <w:fldChar w:fldCharType="separate"/>
            </w:r>
            <w:r w:rsidR="00AD58C3">
              <w:rPr>
                <w:noProof/>
                <w:webHidden/>
              </w:rPr>
              <w:t>40</w:t>
            </w:r>
            <w:r w:rsidR="00CC6C79">
              <w:rPr>
                <w:noProof/>
                <w:webHidden/>
              </w:rPr>
              <w:fldChar w:fldCharType="end"/>
            </w:r>
          </w:hyperlink>
        </w:p>
        <w:p w14:paraId="449A2AAC" w14:textId="20DBDB55" w:rsidR="00CC6C79" w:rsidRDefault="00D22FE8">
          <w:pPr>
            <w:pStyle w:val="Spistreci2"/>
            <w:tabs>
              <w:tab w:val="right" w:leader="dot" w:pos="9062"/>
            </w:tabs>
            <w:rPr>
              <w:rFonts w:eastAsiaTheme="minorEastAsia"/>
              <w:noProof/>
              <w:lang w:eastAsia="pl-PL"/>
            </w:rPr>
          </w:pPr>
          <w:hyperlink w:anchor="_Toc73534902" w:history="1">
            <w:r w:rsidR="00CC6C79" w:rsidRPr="00F4610B">
              <w:rPr>
                <w:rStyle w:val="Hipercze"/>
                <w:noProof/>
              </w:rPr>
              <w:t>2.1 Środowisko naturalne i zanieczyszczenia</w:t>
            </w:r>
            <w:r w:rsidR="00CC6C79">
              <w:rPr>
                <w:noProof/>
                <w:webHidden/>
              </w:rPr>
              <w:tab/>
            </w:r>
            <w:r w:rsidR="00CC6C79">
              <w:rPr>
                <w:noProof/>
                <w:webHidden/>
              </w:rPr>
              <w:fldChar w:fldCharType="begin"/>
            </w:r>
            <w:r w:rsidR="00CC6C79">
              <w:rPr>
                <w:noProof/>
                <w:webHidden/>
              </w:rPr>
              <w:instrText xml:space="preserve"> PAGEREF _Toc73534902 \h </w:instrText>
            </w:r>
            <w:r w:rsidR="00CC6C79">
              <w:rPr>
                <w:noProof/>
                <w:webHidden/>
              </w:rPr>
            </w:r>
            <w:r w:rsidR="00CC6C79">
              <w:rPr>
                <w:noProof/>
                <w:webHidden/>
              </w:rPr>
              <w:fldChar w:fldCharType="separate"/>
            </w:r>
            <w:r w:rsidR="00AD58C3">
              <w:rPr>
                <w:noProof/>
                <w:webHidden/>
              </w:rPr>
              <w:t>40</w:t>
            </w:r>
            <w:r w:rsidR="00CC6C79">
              <w:rPr>
                <w:noProof/>
                <w:webHidden/>
              </w:rPr>
              <w:fldChar w:fldCharType="end"/>
            </w:r>
          </w:hyperlink>
        </w:p>
        <w:p w14:paraId="6963D56F" w14:textId="410EA0A3" w:rsidR="00CC6C79" w:rsidRDefault="00D22FE8">
          <w:pPr>
            <w:pStyle w:val="Spistreci3"/>
            <w:rPr>
              <w:rFonts w:eastAsiaTheme="minorEastAsia"/>
              <w:noProof/>
              <w:lang w:eastAsia="pl-PL"/>
            </w:rPr>
          </w:pPr>
          <w:hyperlink w:anchor="_Toc73534903" w:history="1">
            <w:r w:rsidR="00CC6C79" w:rsidRPr="00F4610B">
              <w:rPr>
                <w:rStyle w:val="Hipercze"/>
                <w:noProof/>
              </w:rPr>
              <w:t>2.1.1 Środowisko naturalne</w:t>
            </w:r>
            <w:r w:rsidR="00CC6C79">
              <w:rPr>
                <w:noProof/>
                <w:webHidden/>
              </w:rPr>
              <w:tab/>
            </w:r>
            <w:r w:rsidR="00CC6C79">
              <w:rPr>
                <w:noProof/>
                <w:webHidden/>
              </w:rPr>
              <w:fldChar w:fldCharType="begin"/>
            </w:r>
            <w:r w:rsidR="00CC6C79">
              <w:rPr>
                <w:noProof/>
                <w:webHidden/>
              </w:rPr>
              <w:instrText xml:space="preserve"> PAGEREF _Toc73534903 \h </w:instrText>
            </w:r>
            <w:r w:rsidR="00CC6C79">
              <w:rPr>
                <w:noProof/>
                <w:webHidden/>
              </w:rPr>
            </w:r>
            <w:r w:rsidR="00CC6C79">
              <w:rPr>
                <w:noProof/>
                <w:webHidden/>
              </w:rPr>
              <w:fldChar w:fldCharType="separate"/>
            </w:r>
            <w:r w:rsidR="00AD58C3">
              <w:rPr>
                <w:noProof/>
                <w:webHidden/>
              </w:rPr>
              <w:t>40</w:t>
            </w:r>
            <w:r w:rsidR="00CC6C79">
              <w:rPr>
                <w:noProof/>
                <w:webHidden/>
              </w:rPr>
              <w:fldChar w:fldCharType="end"/>
            </w:r>
          </w:hyperlink>
        </w:p>
        <w:p w14:paraId="35FFF212" w14:textId="420CC6C2" w:rsidR="00CC6C79" w:rsidRDefault="00D22FE8">
          <w:pPr>
            <w:pStyle w:val="Spistreci3"/>
            <w:rPr>
              <w:rFonts w:eastAsiaTheme="minorEastAsia"/>
              <w:noProof/>
              <w:lang w:eastAsia="pl-PL"/>
            </w:rPr>
          </w:pPr>
          <w:hyperlink w:anchor="_Toc73534904" w:history="1">
            <w:r w:rsidR="00CC6C79" w:rsidRPr="00F4610B">
              <w:rPr>
                <w:rStyle w:val="Hipercze"/>
                <w:noProof/>
              </w:rPr>
              <w:t>2.1.2 Zanieczyszczenie powietrza i jego dynamika</w:t>
            </w:r>
            <w:r w:rsidR="00CC6C79">
              <w:rPr>
                <w:noProof/>
                <w:webHidden/>
              </w:rPr>
              <w:tab/>
            </w:r>
            <w:r w:rsidR="00CC6C79">
              <w:rPr>
                <w:noProof/>
                <w:webHidden/>
              </w:rPr>
              <w:fldChar w:fldCharType="begin"/>
            </w:r>
            <w:r w:rsidR="00CC6C79">
              <w:rPr>
                <w:noProof/>
                <w:webHidden/>
              </w:rPr>
              <w:instrText xml:space="preserve"> PAGEREF _Toc73534904 \h </w:instrText>
            </w:r>
            <w:r w:rsidR="00CC6C79">
              <w:rPr>
                <w:noProof/>
                <w:webHidden/>
              </w:rPr>
            </w:r>
            <w:r w:rsidR="00CC6C79">
              <w:rPr>
                <w:noProof/>
                <w:webHidden/>
              </w:rPr>
              <w:fldChar w:fldCharType="separate"/>
            </w:r>
            <w:r w:rsidR="00AD58C3">
              <w:rPr>
                <w:noProof/>
                <w:webHidden/>
              </w:rPr>
              <w:t>43</w:t>
            </w:r>
            <w:r w:rsidR="00CC6C79">
              <w:rPr>
                <w:noProof/>
                <w:webHidden/>
              </w:rPr>
              <w:fldChar w:fldCharType="end"/>
            </w:r>
          </w:hyperlink>
        </w:p>
        <w:p w14:paraId="36F661D9" w14:textId="33D98665" w:rsidR="00CC6C79" w:rsidRDefault="00D22FE8">
          <w:pPr>
            <w:pStyle w:val="Spistreci3"/>
            <w:rPr>
              <w:rFonts w:eastAsiaTheme="minorEastAsia"/>
              <w:noProof/>
              <w:lang w:eastAsia="pl-PL"/>
            </w:rPr>
          </w:pPr>
          <w:hyperlink w:anchor="_Toc73534905" w:history="1">
            <w:r w:rsidR="00CC6C79" w:rsidRPr="00F4610B">
              <w:rPr>
                <w:rStyle w:val="Hipercze"/>
                <w:noProof/>
              </w:rPr>
              <w:t>2.1.3 Hałas</w:t>
            </w:r>
            <w:r w:rsidR="00CC6C79">
              <w:rPr>
                <w:noProof/>
                <w:webHidden/>
              </w:rPr>
              <w:tab/>
            </w:r>
            <w:r w:rsidR="00CC6C79">
              <w:rPr>
                <w:noProof/>
                <w:webHidden/>
              </w:rPr>
              <w:fldChar w:fldCharType="begin"/>
            </w:r>
            <w:r w:rsidR="00CC6C79">
              <w:rPr>
                <w:noProof/>
                <w:webHidden/>
              </w:rPr>
              <w:instrText xml:space="preserve"> PAGEREF _Toc73534905 \h </w:instrText>
            </w:r>
            <w:r w:rsidR="00CC6C79">
              <w:rPr>
                <w:noProof/>
                <w:webHidden/>
              </w:rPr>
            </w:r>
            <w:r w:rsidR="00CC6C79">
              <w:rPr>
                <w:noProof/>
                <w:webHidden/>
              </w:rPr>
              <w:fldChar w:fldCharType="separate"/>
            </w:r>
            <w:r w:rsidR="00AD58C3">
              <w:rPr>
                <w:noProof/>
                <w:webHidden/>
              </w:rPr>
              <w:t>51</w:t>
            </w:r>
            <w:r w:rsidR="00CC6C79">
              <w:rPr>
                <w:noProof/>
                <w:webHidden/>
              </w:rPr>
              <w:fldChar w:fldCharType="end"/>
            </w:r>
          </w:hyperlink>
        </w:p>
        <w:p w14:paraId="25149C59" w14:textId="6354F61C" w:rsidR="00CC6C79" w:rsidRDefault="00D22FE8">
          <w:pPr>
            <w:pStyle w:val="Spistreci3"/>
            <w:rPr>
              <w:rFonts w:eastAsiaTheme="minorEastAsia"/>
              <w:noProof/>
              <w:lang w:eastAsia="pl-PL"/>
            </w:rPr>
          </w:pPr>
          <w:hyperlink w:anchor="_Toc73534906" w:history="1">
            <w:r w:rsidR="00CC6C79" w:rsidRPr="00F4610B">
              <w:rPr>
                <w:rStyle w:val="Hipercze"/>
                <w:noProof/>
              </w:rPr>
              <w:t>2.1 4 Klimat</w:t>
            </w:r>
            <w:r w:rsidR="00CC6C79">
              <w:rPr>
                <w:noProof/>
                <w:webHidden/>
              </w:rPr>
              <w:tab/>
            </w:r>
            <w:r w:rsidR="00CC6C79">
              <w:rPr>
                <w:noProof/>
                <w:webHidden/>
              </w:rPr>
              <w:fldChar w:fldCharType="begin"/>
            </w:r>
            <w:r w:rsidR="00CC6C79">
              <w:rPr>
                <w:noProof/>
                <w:webHidden/>
              </w:rPr>
              <w:instrText xml:space="preserve"> PAGEREF _Toc73534906 \h </w:instrText>
            </w:r>
            <w:r w:rsidR="00CC6C79">
              <w:rPr>
                <w:noProof/>
                <w:webHidden/>
              </w:rPr>
            </w:r>
            <w:r w:rsidR="00CC6C79">
              <w:rPr>
                <w:noProof/>
                <w:webHidden/>
              </w:rPr>
              <w:fldChar w:fldCharType="separate"/>
            </w:r>
            <w:r w:rsidR="00AD58C3">
              <w:rPr>
                <w:noProof/>
                <w:webHidden/>
              </w:rPr>
              <w:t>54</w:t>
            </w:r>
            <w:r w:rsidR="00CC6C79">
              <w:rPr>
                <w:noProof/>
                <w:webHidden/>
              </w:rPr>
              <w:fldChar w:fldCharType="end"/>
            </w:r>
          </w:hyperlink>
        </w:p>
        <w:p w14:paraId="22BEC5FF" w14:textId="3E394EA2" w:rsidR="00CC6C79" w:rsidRDefault="00D22FE8">
          <w:pPr>
            <w:pStyle w:val="Spistreci2"/>
            <w:tabs>
              <w:tab w:val="right" w:leader="dot" w:pos="9062"/>
            </w:tabs>
            <w:rPr>
              <w:rFonts w:eastAsiaTheme="minorEastAsia"/>
              <w:noProof/>
              <w:lang w:eastAsia="pl-PL"/>
            </w:rPr>
          </w:pPr>
          <w:hyperlink w:anchor="_Toc73534907" w:history="1">
            <w:r w:rsidR="00CC6C79" w:rsidRPr="00F4610B">
              <w:rPr>
                <w:rStyle w:val="Hipercze"/>
                <w:noProof/>
              </w:rPr>
              <w:t>2.2 Infrastruktura ochrony środowiska</w:t>
            </w:r>
            <w:r w:rsidR="00CC6C79">
              <w:rPr>
                <w:noProof/>
                <w:webHidden/>
              </w:rPr>
              <w:tab/>
            </w:r>
            <w:r w:rsidR="00CC6C79">
              <w:rPr>
                <w:noProof/>
                <w:webHidden/>
              </w:rPr>
              <w:fldChar w:fldCharType="begin"/>
            </w:r>
            <w:r w:rsidR="00CC6C79">
              <w:rPr>
                <w:noProof/>
                <w:webHidden/>
              </w:rPr>
              <w:instrText xml:space="preserve"> PAGEREF _Toc73534907 \h </w:instrText>
            </w:r>
            <w:r w:rsidR="00CC6C79">
              <w:rPr>
                <w:noProof/>
                <w:webHidden/>
              </w:rPr>
            </w:r>
            <w:r w:rsidR="00CC6C79">
              <w:rPr>
                <w:noProof/>
                <w:webHidden/>
              </w:rPr>
              <w:fldChar w:fldCharType="separate"/>
            </w:r>
            <w:r w:rsidR="00AD58C3">
              <w:rPr>
                <w:noProof/>
                <w:webHidden/>
              </w:rPr>
              <w:t>60</w:t>
            </w:r>
            <w:r w:rsidR="00CC6C79">
              <w:rPr>
                <w:noProof/>
                <w:webHidden/>
              </w:rPr>
              <w:fldChar w:fldCharType="end"/>
            </w:r>
          </w:hyperlink>
        </w:p>
        <w:p w14:paraId="0BBE7BF1" w14:textId="58149DA9" w:rsidR="00CC6C79" w:rsidRDefault="00D22FE8">
          <w:pPr>
            <w:pStyle w:val="Spistreci3"/>
            <w:rPr>
              <w:rFonts w:eastAsiaTheme="minorEastAsia"/>
              <w:noProof/>
              <w:lang w:eastAsia="pl-PL"/>
            </w:rPr>
          </w:pPr>
          <w:hyperlink w:anchor="_Toc73534908" w:history="1">
            <w:r w:rsidR="00CC6C79" w:rsidRPr="00F4610B">
              <w:rPr>
                <w:rStyle w:val="Hipercze"/>
                <w:noProof/>
              </w:rPr>
              <w:t>2.2.1 Sieci</w:t>
            </w:r>
            <w:r w:rsidR="00CC6C79">
              <w:rPr>
                <w:noProof/>
                <w:webHidden/>
              </w:rPr>
              <w:tab/>
            </w:r>
            <w:r w:rsidR="00CC6C79">
              <w:rPr>
                <w:noProof/>
                <w:webHidden/>
              </w:rPr>
              <w:fldChar w:fldCharType="begin"/>
            </w:r>
            <w:r w:rsidR="00CC6C79">
              <w:rPr>
                <w:noProof/>
                <w:webHidden/>
              </w:rPr>
              <w:instrText xml:space="preserve"> PAGEREF _Toc73534908 \h </w:instrText>
            </w:r>
            <w:r w:rsidR="00CC6C79">
              <w:rPr>
                <w:noProof/>
                <w:webHidden/>
              </w:rPr>
            </w:r>
            <w:r w:rsidR="00CC6C79">
              <w:rPr>
                <w:noProof/>
                <w:webHidden/>
              </w:rPr>
              <w:fldChar w:fldCharType="separate"/>
            </w:r>
            <w:r w:rsidR="00AD58C3">
              <w:rPr>
                <w:noProof/>
                <w:webHidden/>
              </w:rPr>
              <w:t>60</w:t>
            </w:r>
            <w:r w:rsidR="00CC6C79">
              <w:rPr>
                <w:noProof/>
                <w:webHidden/>
              </w:rPr>
              <w:fldChar w:fldCharType="end"/>
            </w:r>
          </w:hyperlink>
        </w:p>
        <w:p w14:paraId="25A577C9" w14:textId="2489BB2E" w:rsidR="00CC6C79" w:rsidRDefault="00D22FE8">
          <w:pPr>
            <w:pStyle w:val="Spistreci3"/>
            <w:rPr>
              <w:rFonts w:eastAsiaTheme="minorEastAsia"/>
              <w:noProof/>
              <w:lang w:eastAsia="pl-PL"/>
            </w:rPr>
          </w:pPr>
          <w:hyperlink w:anchor="_Toc73534909" w:history="1">
            <w:r w:rsidR="00CC6C79" w:rsidRPr="00F4610B">
              <w:rPr>
                <w:rStyle w:val="Hipercze"/>
                <w:noProof/>
              </w:rPr>
              <w:t>2.2.2 Oczyszczalnie ścieków</w:t>
            </w:r>
            <w:r w:rsidR="00CC6C79">
              <w:rPr>
                <w:noProof/>
                <w:webHidden/>
              </w:rPr>
              <w:tab/>
            </w:r>
            <w:r w:rsidR="00CC6C79">
              <w:rPr>
                <w:noProof/>
                <w:webHidden/>
              </w:rPr>
              <w:fldChar w:fldCharType="begin"/>
            </w:r>
            <w:r w:rsidR="00CC6C79">
              <w:rPr>
                <w:noProof/>
                <w:webHidden/>
              </w:rPr>
              <w:instrText xml:space="preserve"> PAGEREF _Toc73534909 \h </w:instrText>
            </w:r>
            <w:r w:rsidR="00CC6C79">
              <w:rPr>
                <w:noProof/>
                <w:webHidden/>
              </w:rPr>
            </w:r>
            <w:r w:rsidR="00CC6C79">
              <w:rPr>
                <w:noProof/>
                <w:webHidden/>
              </w:rPr>
              <w:fldChar w:fldCharType="separate"/>
            </w:r>
            <w:r w:rsidR="00AD58C3">
              <w:rPr>
                <w:noProof/>
                <w:webHidden/>
              </w:rPr>
              <w:t>61</w:t>
            </w:r>
            <w:r w:rsidR="00CC6C79">
              <w:rPr>
                <w:noProof/>
                <w:webHidden/>
              </w:rPr>
              <w:fldChar w:fldCharType="end"/>
            </w:r>
          </w:hyperlink>
        </w:p>
        <w:p w14:paraId="57F12C71" w14:textId="401CF547" w:rsidR="00CC6C79" w:rsidRDefault="00D22FE8">
          <w:pPr>
            <w:pStyle w:val="Spistreci3"/>
            <w:rPr>
              <w:rFonts w:eastAsiaTheme="minorEastAsia"/>
              <w:noProof/>
              <w:lang w:eastAsia="pl-PL"/>
            </w:rPr>
          </w:pPr>
          <w:hyperlink w:anchor="_Toc73534910" w:history="1">
            <w:r w:rsidR="00CC6C79" w:rsidRPr="00F4610B">
              <w:rPr>
                <w:rStyle w:val="Hipercze"/>
                <w:noProof/>
              </w:rPr>
              <w:t>2.2.3 Woda pitna</w:t>
            </w:r>
            <w:r w:rsidR="00CC6C79">
              <w:rPr>
                <w:noProof/>
                <w:webHidden/>
              </w:rPr>
              <w:tab/>
            </w:r>
            <w:r w:rsidR="00CC6C79">
              <w:rPr>
                <w:noProof/>
                <w:webHidden/>
              </w:rPr>
              <w:fldChar w:fldCharType="begin"/>
            </w:r>
            <w:r w:rsidR="00CC6C79">
              <w:rPr>
                <w:noProof/>
                <w:webHidden/>
              </w:rPr>
              <w:instrText xml:space="preserve"> PAGEREF _Toc73534910 \h </w:instrText>
            </w:r>
            <w:r w:rsidR="00CC6C79">
              <w:rPr>
                <w:noProof/>
                <w:webHidden/>
              </w:rPr>
            </w:r>
            <w:r w:rsidR="00CC6C79">
              <w:rPr>
                <w:noProof/>
                <w:webHidden/>
              </w:rPr>
              <w:fldChar w:fldCharType="separate"/>
            </w:r>
            <w:r w:rsidR="00AD58C3">
              <w:rPr>
                <w:noProof/>
                <w:webHidden/>
              </w:rPr>
              <w:t>63</w:t>
            </w:r>
            <w:r w:rsidR="00CC6C79">
              <w:rPr>
                <w:noProof/>
                <w:webHidden/>
              </w:rPr>
              <w:fldChar w:fldCharType="end"/>
            </w:r>
          </w:hyperlink>
        </w:p>
        <w:p w14:paraId="5A42BD65" w14:textId="73EF8677" w:rsidR="00CC6C79" w:rsidRDefault="00D22FE8">
          <w:pPr>
            <w:pStyle w:val="Spistreci3"/>
            <w:rPr>
              <w:rFonts w:eastAsiaTheme="minorEastAsia"/>
              <w:noProof/>
              <w:lang w:eastAsia="pl-PL"/>
            </w:rPr>
          </w:pPr>
          <w:hyperlink w:anchor="_Toc73534911" w:history="1">
            <w:r w:rsidR="00CC6C79" w:rsidRPr="00F4610B">
              <w:rPr>
                <w:rStyle w:val="Hipercze"/>
                <w:noProof/>
              </w:rPr>
              <w:t>2.2.4 Gospodarka odpadami</w:t>
            </w:r>
            <w:r w:rsidR="00CC6C79">
              <w:rPr>
                <w:noProof/>
                <w:webHidden/>
              </w:rPr>
              <w:tab/>
            </w:r>
            <w:r w:rsidR="00CC6C79">
              <w:rPr>
                <w:noProof/>
                <w:webHidden/>
              </w:rPr>
              <w:fldChar w:fldCharType="begin"/>
            </w:r>
            <w:r w:rsidR="00CC6C79">
              <w:rPr>
                <w:noProof/>
                <w:webHidden/>
              </w:rPr>
              <w:instrText xml:space="preserve"> PAGEREF _Toc73534911 \h </w:instrText>
            </w:r>
            <w:r w:rsidR="00CC6C79">
              <w:rPr>
                <w:noProof/>
                <w:webHidden/>
              </w:rPr>
            </w:r>
            <w:r w:rsidR="00CC6C79">
              <w:rPr>
                <w:noProof/>
                <w:webHidden/>
              </w:rPr>
              <w:fldChar w:fldCharType="separate"/>
            </w:r>
            <w:r w:rsidR="00AD58C3">
              <w:rPr>
                <w:noProof/>
                <w:webHidden/>
              </w:rPr>
              <w:t>65</w:t>
            </w:r>
            <w:r w:rsidR="00CC6C79">
              <w:rPr>
                <w:noProof/>
                <w:webHidden/>
              </w:rPr>
              <w:fldChar w:fldCharType="end"/>
            </w:r>
          </w:hyperlink>
        </w:p>
        <w:p w14:paraId="4D68BD6F" w14:textId="5FF88A8D" w:rsidR="00CC6C79" w:rsidRDefault="00D22FE8">
          <w:pPr>
            <w:pStyle w:val="Spistreci3"/>
            <w:rPr>
              <w:rFonts w:eastAsiaTheme="minorEastAsia"/>
              <w:noProof/>
              <w:lang w:eastAsia="pl-PL"/>
            </w:rPr>
          </w:pPr>
          <w:hyperlink w:anchor="_Toc73534912" w:history="1">
            <w:r w:rsidR="00CC6C79" w:rsidRPr="00F4610B">
              <w:rPr>
                <w:rStyle w:val="Hipercze"/>
                <w:noProof/>
              </w:rPr>
              <w:t>2.2.5 Efektywność energetyczna i OZE</w:t>
            </w:r>
            <w:r w:rsidR="00CC6C79">
              <w:rPr>
                <w:noProof/>
                <w:webHidden/>
              </w:rPr>
              <w:tab/>
            </w:r>
            <w:r w:rsidR="00CC6C79">
              <w:rPr>
                <w:noProof/>
                <w:webHidden/>
              </w:rPr>
              <w:fldChar w:fldCharType="begin"/>
            </w:r>
            <w:r w:rsidR="00CC6C79">
              <w:rPr>
                <w:noProof/>
                <w:webHidden/>
              </w:rPr>
              <w:instrText xml:space="preserve"> PAGEREF _Toc73534912 \h </w:instrText>
            </w:r>
            <w:r w:rsidR="00CC6C79">
              <w:rPr>
                <w:noProof/>
                <w:webHidden/>
              </w:rPr>
            </w:r>
            <w:r w:rsidR="00CC6C79">
              <w:rPr>
                <w:noProof/>
                <w:webHidden/>
              </w:rPr>
              <w:fldChar w:fldCharType="separate"/>
            </w:r>
            <w:r w:rsidR="00AD58C3">
              <w:rPr>
                <w:noProof/>
                <w:webHidden/>
              </w:rPr>
              <w:t>68</w:t>
            </w:r>
            <w:r w:rsidR="00CC6C79">
              <w:rPr>
                <w:noProof/>
                <w:webHidden/>
              </w:rPr>
              <w:fldChar w:fldCharType="end"/>
            </w:r>
          </w:hyperlink>
        </w:p>
        <w:p w14:paraId="46381AD3" w14:textId="53F12F78" w:rsidR="00CC6C79" w:rsidRDefault="00D22FE8">
          <w:pPr>
            <w:pStyle w:val="Spistreci1"/>
            <w:tabs>
              <w:tab w:val="left" w:pos="440"/>
              <w:tab w:val="right" w:leader="dot" w:pos="9062"/>
            </w:tabs>
            <w:rPr>
              <w:rFonts w:eastAsiaTheme="minorEastAsia"/>
              <w:noProof/>
              <w:lang w:eastAsia="pl-PL"/>
            </w:rPr>
          </w:pPr>
          <w:hyperlink w:anchor="_Toc73534913" w:history="1">
            <w:r w:rsidR="00CC6C79" w:rsidRPr="00F4610B">
              <w:rPr>
                <w:rStyle w:val="Hipercze"/>
                <w:noProof/>
              </w:rPr>
              <w:t>3.</w:t>
            </w:r>
            <w:r w:rsidR="00CC6C79">
              <w:rPr>
                <w:rFonts w:eastAsiaTheme="minorEastAsia"/>
                <w:noProof/>
                <w:lang w:eastAsia="pl-PL"/>
              </w:rPr>
              <w:tab/>
            </w:r>
            <w:r w:rsidR="00CC6C79" w:rsidRPr="00F4610B">
              <w:rPr>
                <w:rStyle w:val="Hipercze"/>
                <w:noProof/>
              </w:rPr>
              <w:t>Gospodarka</w:t>
            </w:r>
            <w:r w:rsidR="00CC6C79">
              <w:rPr>
                <w:noProof/>
                <w:webHidden/>
              </w:rPr>
              <w:tab/>
            </w:r>
            <w:r w:rsidR="00CC6C79">
              <w:rPr>
                <w:noProof/>
                <w:webHidden/>
              </w:rPr>
              <w:fldChar w:fldCharType="begin"/>
            </w:r>
            <w:r w:rsidR="00CC6C79">
              <w:rPr>
                <w:noProof/>
                <w:webHidden/>
              </w:rPr>
              <w:instrText xml:space="preserve"> PAGEREF _Toc73534913 \h </w:instrText>
            </w:r>
            <w:r w:rsidR="00CC6C79">
              <w:rPr>
                <w:noProof/>
                <w:webHidden/>
              </w:rPr>
            </w:r>
            <w:r w:rsidR="00CC6C79">
              <w:rPr>
                <w:noProof/>
                <w:webHidden/>
              </w:rPr>
              <w:fldChar w:fldCharType="separate"/>
            </w:r>
            <w:r w:rsidR="00AD58C3">
              <w:rPr>
                <w:noProof/>
                <w:webHidden/>
              </w:rPr>
              <w:t>70</w:t>
            </w:r>
            <w:r w:rsidR="00CC6C79">
              <w:rPr>
                <w:noProof/>
                <w:webHidden/>
              </w:rPr>
              <w:fldChar w:fldCharType="end"/>
            </w:r>
          </w:hyperlink>
        </w:p>
        <w:p w14:paraId="7169DFC6" w14:textId="139509C4" w:rsidR="00CC6C79" w:rsidRDefault="00D22FE8">
          <w:pPr>
            <w:pStyle w:val="Spistreci2"/>
            <w:tabs>
              <w:tab w:val="right" w:leader="dot" w:pos="9062"/>
            </w:tabs>
            <w:rPr>
              <w:rFonts w:eastAsiaTheme="minorEastAsia"/>
              <w:noProof/>
              <w:lang w:eastAsia="pl-PL"/>
            </w:rPr>
          </w:pPr>
          <w:hyperlink w:anchor="_Toc73534914" w:history="1">
            <w:r w:rsidR="00CC6C79" w:rsidRPr="00F4610B">
              <w:rPr>
                <w:rStyle w:val="Hipercze"/>
                <w:noProof/>
              </w:rPr>
              <w:t>3.1 Przedsiębiorstwa</w:t>
            </w:r>
            <w:r w:rsidR="00CC6C79">
              <w:rPr>
                <w:noProof/>
                <w:webHidden/>
              </w:rPr>
              <w:tab/>
            </w:r>
            <w:r w:rsidR="00CC6C79">
              <w:rPr>
                <w:noProof/>
                <w:webHidden/>
              </w:rPr>
              <w:fldChar w:fldCharType="begin"/>
            </w:r>
            <w:r w:rsidR="00CC6C79">
              <w:rPr>
                <w:noProof/>
                <w:webHidden/>
              </w:rPr>
              <w:instrText xml:space="preserve"> PAGEREF _Toc73534914 \h </w:instrText>
            </w:r>
            <w:r w:rsidR="00CC6C79">
              <w:rPr>
                <w:noProof/>
                <w:webHidden/>
              </w:rPr>
            </w:r>
            <w:r w:rsidR="00CC6C79">
              <w:rPr>
                <w:noProof/>
                <w:webHidden/>
              </w:rPr>
              <w:fldChar w:fldCharType="separate"/>
            </w:r>
            <w:r w:rsidR="00AD58C3">
              <w:rPr>
                <w:noProof/>
                <w:webHidden/>
              </w:rPr>
              <w:t>70</w:t>
            </w:r>
            <w:r w:rsidR="00CC6C79">
              <w:rPr>
                <w:noProof/>
                <w:webHidden/>
              </w:rPr>
              <w:fldChar w:fldCharType="end"/>
            </w:r>
          </w:hyperlink>
        </w:p>
        <w:p w14:paraId="05BAA7F1" w14:textId="55DBAA5B" w:rsidR="00CC6C79" w:rsidRDefault="00D22FE8">
          <w:pPr>
            <w:pStyle w:val="Spistreci3"/>
            <w:rPr>
              <w:rFonts w:eastAsiaTheme="minorEastAsia"/>
              <w:noProof/>
              <w:lang w:eastAsia="pl-PL"/>
            </w:rPr>
          </w:pPr>
          <w:hyperlink w:anchor="_Toc73534915" w:history="1">
            <w:r w:rsidR="00CC6C79" w:rsidRPr="00F4610B">
              <w:rPr>
                <w:rStyle w:val="Hipercze"/>
                <w:noProof/>
              </w:rPr>
              <w:t>3.1.1 Hotelarstwo i gastronomia</w:t>
            </w:r>
            <w:r w:rsidR="00CC6C79">
              <w:rPr>
                <w:noProof/>
                <w:webHidden/>
              </w:rPr>
              <w:tab/>
            </w:r>
            <w:r w:rsidR="00CC6C79">
              <w:rPr>
                <w:noProof/>
                <w:webHidden/>
              </w:rPr>
              <w:fldChar w:fldCharType="begin"/>
            </w:r>
            <w:r w:rsidR="00CC6C79">
              <w:rPr>
                <w:noProof/>
                <w:webHidden/>
              </w:rPr>
              <w:instrText xml:space="preserve"> PAGEREF _Toc73534915 \h </w:instrText>
            </w:r>
            <w:r w:rsidR="00CC6C79">
              <w:rPr>
                <w:noProof/>
                <w:webHidden/>
              </w:rPr>
            </w:r>
            <w:r w:rsidR="00CC6C79">
              <w:rPr>
                <w:noProof/>
                <w:webHidden/>
              </w:rPr>
              <w:fldChar w:fldCharType="separate"/>
            </w:r>
            <w:r w:rsidR="00AD58C3">
              <w:rPr>
                <w:noProof/>
                <w:webHidden/>
              </w:rPr>
              <w:t>72</w:t>
            </w:r>
            <w:r w:rsidR="00CC6C79">
              <w:rPr>
                <w:noProof/>
                <w:webHidden/>
              </w:rPr>
              <w:fldChar w:fldCharType="end"/>
            </w:r>
          </w:hyperlink>
        </w:p>
        <w:p w14:paraId="64C98983" w14:textId="52278193" w:rsidR="00CC6C79" w:rsidRDefault="00D22FE8">
          <w:pPr>
            <w:pStyle w:val="Spistreci3"/>
            <w:rPr>
              <w:rFonts w:eastAsiaTheme="minorEastAsia"/>
              <w:noProof/>
              <w:lang w:eastAsia="pl-PL"/>
            </w:rPr>
          </w:pPr>
          <w:hyperlink w:anchor="_Toc73534916" w:history="1">
            <w:r w:rsidR="00CC6C79" w:rsidRPr="00F4610B">
              <w:rPr>
                <w:rStyle w:val="Hipercze"/>
                <w:noProof/>
              </w:rPr>
              <w:t>3.1.2 Turystyka</w:t>
            </w:r>
            <w:r w:rsidR="00CC6C79">
              <w:rPr>
                <w:noProof/>
                <w:webHidden/>
              </w:rPr>
              <w:tab/>
            </w:r>
            <w:r w:rsidR="00CC6C79">
              <w:rPr>
                <w:noProof/>
                <w:webHidden/>
              </w:rPr>
              <w:fldChar w:fldCharType="begin"/>
            </w:r>
            <w:r w:rsidR="00CC6C79">
              <w:rPr>
                <w:noProof/>
                <w:webHidden/>
              </w:rPr>
              <w:instrText xml:space="preserve"> PAGEREF _Toc73534916 \h </w:instrText>
            </w:r>
            <w:r w:rsidR="00CC6C79">
              <w:rPr>
                <w:noProof/>
                <w:webHidden/>
              </w:rPr>
            </w:r>
            <w:r w:rsidR="00CC6C79">
              <w:rPr>
                <w:noProof/>
                <w:webHidden/>
              </w:rPr>
              <w:fldChar w:fldCharType="separate"/>
            </w:r>
            <w:r w:rsidR="00AD58C3">
              <w:rPr>
                <w:noProof/>
                <w:webHidden/>
              </w:rPr>
              <w:t>73</w:t>
            </w:r>
            <w:r w:rsidR="00CC6C79">
              <w:rPr>
                <w:noProof/>
                <w:webHidden/>
              </w:rPr>
              <w:fldChar w:fldCharType="end"/>
            </w:r>
          </w:hyperlink>
        </w:p>
        <w:p w14:paraId="22AD52F0" w14:textId="0ECDBDAC" w:rsidR="00CC6C79" w:rsidRDefault="00D22FE8">
          <w:pPr>
            <w:pStyle w:val="Spistreci3"/>
            <w:rPr>
              <w:rFonts w:eastAsiaTheme="minorEastAsia"/>
              <w:noProof/>
              <w:lang w:eastAsia="pl-PL"/>
            </w:rPr>
          </w:pPr>
          <w:hyperlink w:anchor="_Toc73534917" w:history="1">
            <w:r w:rsidR="00CC6C79" w:rsidRPr="00F4610B">
              <w:rPr>
                <w:rStyle w:val="Hipercze"/>
                <w:noProof/>
              </w:rPr>
              <w:t>3.1.3 Rolnictwo i łowiectwo</w:t>
            </w:r>
            <w:r w:rsidR="00CC6C79">
              <w:rPr>
                <w:noProof/>
                <w:webHidden/>
              </w:rPr>
              <w:tab/>
            </w:r>
            <w:r w:rsidR="00CC6C79">
              <w:rPr>
                <w:noProof/>
                <w:webHidden/>
              </w:rPr>
              <w:fldChar w:fldCharType="begin"/>
            </w:r>
            <w:r w:rsidR="00CC6C79">
              <w:rPr>
                <w:noProof/>
                <w:webHidden/>
              </w:rPr>
              <w:instrText xml:space="preserve"> PAGEREF _Toc73534917 \h </w:instrText>
            </w:r>
            <w:r w:rsidR="00CC6C79">
              <w:rPr>
                <w:noProof/>
                <w:webHidden/>
              </w:rPr>
            </w:r>
            <w:r w:rsidR="00CC6C79">
              <w:rPr>
                <w:noProof/>
                <w:webHidden/>
              </w:rPr>
              <w:fldChar w:fldCharType="separate"/>
            </w:r>
            <w:r w:rsidR="00AD58C3">
              <w:rPr>
                <w:noProof/>
                <w:webHidden/>
              </w:rPr>
              <w:t>76</w:t>
            </w:r>
            <w:r w:rsidR="00CC6C79">
              <w:rPr>
                <w:noProof/>
                <w:webHidden/>
              </w:rPr>
              <w:fldChar w:fldCharType="end"/>
            </w:r>
          </w:hyperlink>
        </w:p>
        <w:p w14:paraId="6E538DB0" w14:textId="368459E9" w:rsidR="00CC6C79" w:rsidRDefault="00D22FE8">
          <w:pPr>
            <w:pStyle w:val="Spistreci3"/>
            <w:rPr>
              <w:rFonts w:eastAsiaTheme="minorEastAsia"/>
              <w:noProof/>
              <w:lang w:eastAsia="pl-PL"/>
            </w:rPr>
          </w:pPr>
          <w:hyperlink w:anchor="_Toc73534918" w:history="1">
            <w:r w:rsidR="00CC6C79" w:rsidRPr="00F4610B">
              <w:rPr>
                <w:rStyle w:val="Hipercze"/>
                <w:noProof/>
              </w:rPr>
              <w:t>3.1.4</w:t>
            </w:r>
            <w:r w:rsidR="00CC6C79">
              <w:rPr>
                <w:rFonts w:eastAsiaTheme="minorEastAsia"/>
                <w:noProof/>
                <w:lang w:eastAsia="pl-PL"/>
              </w:rPr>
              <w:tab/>
            </w:r>
            <w:r w:rsidR="00CC6C79" w:rsidRPr="00F4610B">
              <w:rPr>
                <w:rStyle w:val="Hipercze"/>
                <w:noProof/>
              </w:rPr>
              <w:t>Przetwórstwo</w:t>
            </w:r>
            <w:r w:rsidR="00CC6C79">
              <w:rPr>
                <w:noProof/>
                <w:webHidden/>
              </w:rPr>
              <w:tab/>
            </w:r>
            <w:r w:rsidR="00CC6C79">
              <w:rPr>
                <w:noProof/>
                <w:webHidden/>
              </w:rPr>
              <w:fldChar w:fldCharType="begin"/>
            </w:r>
            <w:r w:rsidR="00CC6C79">
              <w:rPr>
                <w:noProof/>
                <w:webHidden/>
              </w:rPr>
              <w:instrText xml:space="preserve"> PAGEREF _Toc73534918 \h </w:instrText>
            </w:r>
            <w:r w:rsidR="00CC6C79">
              <w:rPr>
                <w:noProof/>
                <w:webHidden/>
              </w:rPr>
            </w:r>
            <w:r w:rsidR="00CC6C79">
              <w:rPr>
                <w:noProof/>
                <w:webHidden/>
              </w:rPr>
              <w:fldChar w:fldCharType="separate"/>
            </w:r>
            <w:r w:rsidR="00AD58C3">
              <w:rPr>
                <w:noProof/>
                <w:webHidden/>
              </w:rPr>
              <w:t>77</w:t>
            </w:r>
            <w:r w:rsidR="00CC6C79">
              <w:rPr>
                <w:noProof/>
                <w:webHidden/>
              </w:rPr>
              <w:fldChar w:fldCharType="end"/>
            </w:r>
          </w:hyperlink>
        </w:p>
        <w:p w14:paraId="166F843D" w14:textId="79DAC220" w:rsidR="00CC6C79" w:rsidRDefault="00D22FE8">
          <w:pPr>
            <w:pStyle w:val="Spistreci3"/>
            <w:rPr>
              <w:rFonts w:eastAsiaTheme="minorEastAsia"/>
              <w:noProof/>
              <w:lang w:eastAsia="pl-PL"/>
            </w:rPr>
          </w:pPr>
          <w:hyperlink w:anchor="_Toc73534919" w:history="1">
            <w:r w:rsidR="00CC6C79" w:rsidRPr="00F4610B">
              <w:rPr>
                <w:rStyle w:val="Hipercze"/>
                <w:noProof/>
              </w:rPr>
              <w:t>3.1.5</w:t>
            </w:r>
            <w:r w:rsidR="00CC6C79">
              <w:rPr>
                <w:rFonts w:eastAsiaTheme="minorEastAsia"/>
                <w:noProof/>
                <w:lang w:eastAsia="pl-PL"/>
              </w:rPr>
              <w:tab/>
            </w:r>
            <w:r w:rsidR="00CC6C79" w:rsidRPr="00F4610B">
              <w:rPr>
                <w:rStyle w:val="Hipercze"/>
                <w:noProof/>
              </w:rPr>
              <w:t>Sektor kreatywny</w:t>
            </w:r>
            <w:r w:rsidR="00CC6C79">
              <w:rPr>
                <w:noProof/>
                <w:webHidden/>
              </w:rPr>
              <w:tab/>
            </w:r>
            <w:r w:rsidR="00CC6C79">
              <w:rPr>
                <w:noProof/>
                <w:webHidden/>
              </w:rPr>
              <w:fldChar w:fldCharType="begin"/>
            </w:r>
            <w:r w:rsidR="00CC6C79">
              <w:rPr>
                <w:noProof/>
                <w:webHidden/>
              </w:rPr>
              <w:instrText xml:space="preserve"> PAGEREF _Toc73534919 \h </w:instrText>
            </w:r>
            <w:r w:rsidR="00CC6C79">
              <w:rPr>
                <w:noProof/>
                <w:webHidden/>
              </w:rPr>
            </w:r>
            <w:r w:rsidR="00CC6C79">
              <w:rPr>
                <w:noProof/>
                <w:webHidden/>
              </w:rPr>
              <w:fldChar w:fldCharType="separate"/>
            </w:r>
            <w:r w:rsidR="00AD58C3">
              <w:rPr>
                <w:noProof/>
                <w:webHidden/>
              </w:rPr>
              <w:t>78</w:t>
            </w:r>
            <w:r w:rsidR="00CC6C79">
              <w:rPr>
                <w:noProof/>
                <w:webHidden/>
              </w:rPr>
              <w:fldChar w:fldCharType="end"/>
            </w:r>
          </w:hyperlink>
        </w:p>
        <w:p w14:paraId="4F30CFD5" w14:textId="00238ECE" w:rsidR="00CC6C79" w:rsidRDefault="00D22FE8">
          <w:pPr>
            <w:pStyle w:val="Spistreci3"/>
            <w:rPr>
              <w:rFonts w:eastAsiaTheme="minorEastAsia"/>
              <w:noProof/>
              <w:lang w:eastAsia="pl-PL"/>
            </w:rPr>
          </w:pPr>
          <w:hyperlink w:anchor="_Toc73534920" w:history="1">
            <w:r w:rsidR="00CC6C79" w:rsidRPr="00F4610B">
              <w:rPr>
                <w:rStyle w:val="Hipercze"/>
                <w:noProof/>
              </w:rPr>
              <w:t>3.1.6 Pozycja firm Olsztyna i MOF Olsztyna w rankingach</w:t>
            </w:r>
            <w:r w:rsidR="00CC6C79">
              <w:rPr>
                <w:noProof/>
                <w:webHidden/>
              </w:rPr>
              <w:tab/>
            </w:r>
            <w:r w:rsidR="00CC6C79">
              <w:rPr>
                <w:noProof/>
                <w:webHidden/>
              </w:rPr>
              <w:fldChar w:fldCharType="begin"/>
            </w:r>
            <w:r w:rsidR="00CC6C79">
              <w:rPr>
                <w:noProof/>
                <w:webHidden/>
              </w:rPr>
              <w:instrText xml:space="preserve"> PAGEREF _Toc73534920 \h </w:instrText>
            </w:r>
            <w:r w:rsidR="00CC6C79">
              <w:rPr>
                <w:noProof/>
                <w:webHidden/>
              </w:rPr>
            </w:r>
            <w:r w:rsidR="00CC6C79">
              <w:rPr>
                <w:noProof/>
                <w:webHidden/>
              </w:rPr>
              <w:fldChar w:fldCharType="separate"/>
            </w:r>
            <w:r w:rsidR="00AD58C3">
              <w:rPr>
                <w:noProof/>
                <w:webHidden/>
              </w:rPr>
              <w:t>79</w:t>
            </w:r>
            <w:r w:rsidR="00CC6C79">
              <w:rPr>
                <w:noProof/>
                <w:webHidden/>
              </w:rPr>
              <w:fldChar w:fldCharType="end"/>
            </w:r>
          </w:hyperlink>
        </w:p>
        <w:p w14:paraId="1EA1F6A6" w14:textId="3EC0FD97" w:rsidR="00CC6C79" w:rsidRDefault="00D22FE8">
          <w:pPr>
            <w:pStyle w:val="Spistreci2"/>
            <w:tabs>
              <w:tab w:val="right" w:leader="dot" w:pos="9062"/>
            </w:tabs>
            <w:rPr>
              <w:rFonts w:eastAsiaTheme="minorEastAsia"/>
              <w:noProof/>
              <w:lang w:eastAsia="pl-PL"/>
            </w:rPr>
          </w:pPr>
          <w:hyperlink w:anchor="_Toc73534921" w:history="1">
            <w:r w:rsidR="00CC6C79" w:rsidRPr="00F4610B">
              <w:rPr>
                <w:rStyle w:val="Hipercze"/>
                <w:noProof/>
              </w:rPr>
              <w:t>3.2 Gospodarka Olsztyna i MOF Olsztyna a inteligentne specjalizacje</w:t>
            </w:r>
            <w:r w:rsidR="00CC6C79">
              <w:rPr>
                <w:noProof/>
                <w:webHidden/>
              </w:rPr>
              <w:tab/>
            </w:r>
            <w:r w:rsidR="00CC6C79">
              <w:rPr>
                <w:noProof/>
                <w:webHidden/>
              </w:rPr>
              <w:fldChar w:fldCharType="begin"/>
            </w:r>
            <w:r w:rsidR="00CC6C79">
              <w:rPr>
                <w:noProof/>
                <w:webHidden/>
              </w:rPr>
              <w:instrText xml:space="preserve"> PAGEREF _Toc73534921 \h </w:instrText>
            </w:r>
            <w:r w:rsidR="00CC6C79">
              <w:rPr>
                <w:noProof/>
                <w:webHidden/>
              </w:rPr>
            </w:r>
            <w:r w:rsidR="00CC6C79">
              <w:rPr>
                <w:noProof/>
                <w:webHidden/>
              </w:rPr>
              <w:fldChar w:fldCharType="separate"/>
            </w:r>
            <w:r w:rsidR="00AD58C3">
              <w:rPr>
                <w:noProof/>
                <w:webHidden/>
              </w:rPr>
              <w:t>80</w:t>
            </w:r>
            <w:r w:rsidR="00CC6C79">
              <w:rPr>
                <w:noProof/>
                <w:webHidden/>
              </w:rPr>
              <w:fldChar w:fldCharType="end"/>
            </w:r>
          </w:hyperlink>
        </w:p>
        <w:p w14:paraId="467FF0BB" w14:textId="3ECCB175" w:rsidR="00CC6C79" w:rsidRDefault="00D22FE8">
          <w:pPr>
            <w:pStyle w:val="Spistreci2"/>
            <w:tabs>
              <w:tab w:val="right" w:leader="dot" w:pos="9062"/>
            </w:tabs>
            <w:rPr>
              <w:rFonts w:eastAsiaTheme="minorEastAsia"/>
              <w:noProof/>
              <w:lang w:eastAsia="pl-PL"/>
            </w:rPr>
          </w:pPr>
          <w:hyperlink w:anchor="_Toc73534922" w:history="1">
            <w:r w:rsidR="00CC6C79" w:rsidRPr="00F4610B">
              <w:rPr>
                <w:rStyle w:val="Hipercze"/>
                <w:noProof/>
              </w:rPr>
              <w:t>3.3 Przewagi konkurencyjne</w:t>
            </w:r>
            <w:r w:rsidR="00CC6C79">
              <w:rPr>
                <w:noProof/>
                <w:webHidden/>
              </w:rPr>
              <w:tab/>
            </w:r>
            <w:r w:rsidR="00CC6C79">
              <w:rPr>
                <w:noProof/>
                <w:webHidden/>
              </w:rPr>
              <w:fldChar w:fldCharType="begin"/>
            </w:r>
            <w:r w:rsidR="00CC6C79">
              <w:rPr>
                <w:noProof/>
                <w:webHidden/>
              </w:rPr>
              <w:instrText xml:space="preserve"> PAGEREF _Toc73534922 \h </w:instrText>
            </w:r>
            <w:r w:rsidR="00CC6C79">
              <w:rPr>
                <w:noProof/>
                <w:webHidden/>
              </w:rPr>
            </w:r>
            <w:r w:rsidR="00CC6C79">
              <w:rPr>
                <w:noProof/>
                <w:webHidden/>
              </w:rPr>
              <w:fldChar w:fldCharType="separate"/>
            </w:r>
            <w:r w:rsidR="00AD58C3">
              <w:rPr>
                <w:noProof/>
                <w:webHidden/>
              </w:rPr>
              <w:t>83</w:t>
            </w:r>
            <w:r w:rsidR="00CC6C79">
              <w:rPr>
                <w:noProof/>
                <w:webHidden/>
              </w:rPr>
              <w:fldChar w:fldCharType="end"/>
            </w:r>
          </w:hyperlink>
        </w:p>
        <w:p w14:paraId="35431924" w14:textId="72BAA428" w:rsidR="00CC6C79" w:rsidRDefault="00D22FE8">
          <w:pPr>
            <w:pStyle w:val="Spistreci3"/>
            <w:rPr>
              <w:rFonts w:eastAsiaTheme="minorEastAsia"/>
              <w:noProof/>
              <w:lang w:eastAsia="pl-PL"/>
            </w:rPr>
          </w:pPr>
          <w:hyperlink w:anchor="_Toc73534923" w:history="1">
            <w:r w:rsidR="00CC6C79" w:rsidRPr="00F4610B">
              <w:rPr>
                <w:rStyle w:val="Hipercze"/>
                <w:noProof/>
              </w:rPr>
              <w:t>3.3.1 Tereny inwestycyjne</w:t>
            </w:r>
            <w:r w:rsidR="00CC6C79">
              <w:rPr>
                <w:noProof/>
                <w:webHidden/>
              </w:rPr>
              <w:tab/>
            </w:r>
            <w:r w:rsidR="00CC6C79">
              <w:rPr>
                <w:noProof/>
                <w:webHidden/>
              </w:rPr>
              <w:fldChar w:fldCharType="begin"/>
            </w:r>
            <w:r w:rsidR="00CC6C79">
              <w:rPr>
                <w:noProof/>
                <w:webHidden/>
              </w:rPr>
              <w:instrText xml:space="preserve"> PAGEREF _Toc73534923 \h </w:instrText>
            </w:r>
            <w:r w:rsidR="00CC6C79">
              <w:rPr>
                <w:noProof/>
                <w:webHidden/>
              </w:rPr>
            </w:r>
            <w:r w:rsidR="00CC6C79">
              <w:rPr>
                <w:noProof/>
                <w:webHidden/>
              </w:rPr>
              <w:fldChar w:fldCharType="separate"/>
            </w:r>
            <w:r w:rsidR="00AD58C3">
              <w:rPr>
                <w:noProof/>
                <w:webHidden/>
              </w:rPr>
              <w:t>83</w:t>
            </w:r>
            <w:r w:rsidR="00CC6C79">
              <w:rPr>
                <w:noProof/>
                <w:webHidden/>
              </w:rPr>
              <w:fldChar w:fldCharType="end"/>
            </w:r>
          </w:hyperlink>
        </w:p>
        <w:p w14:paraId="6A28406F" w14:textId="7DAFD00F" w:rsidR="00CC6C79" w:rsidRDefault="00D22FE8">
          <w:pPr>
            <w:pStyle w:val="Spistreci3"/>
            <w:rPr>
              <w:rFonts w:eastAsiaTheme="minorEastAsia"/>
              <w:noProof/>
              <w:lang w:eastAsia="pl-PL"/>
            </w:rPr>
          </w:pPr>
          <w:hyperlink w:anchor="_Toc73534924" w:history="1">
            <w:r w:rsidR="00CC6C79" w:rsidRPr="00F4610B">
              <w:rPr>
                <w:rStyle w:val="Hipercze"/>
                <w:noProof/>
              </w:rPr>
              <w:t>3.3.2 Warmińsko-Mazurska Specjalna Strefa Ekonomiczna</w:t>
            </w:r>
            <w:r w:rsidR="00CC6C79">
              <w:rPr>
                <w:noProof/>
                <w:webHidden/>
              </w:rPr>
              <w:tab/>
            </w:r>
            <w:r w:rsidR="00CC6C79">
              <w:rPr>
                <w:noProof/>
                <w:webHidden/>
              </w:rPr>
              <w:fldChar w:fldCharType="begin"/>
            </w:r>
            <w:r w:rsidR="00CC6C79">
              <w:rPr>
                <w:noProof/>
                <w:webHidden/>
              </w:rPr>
              <w:instrText xml:space="preserve"> PAGEREF _Toc73534924 \h </w:instrText>
            </w:r>
            <w:r w:rsidR="00CC6C79">
              <w:rPr>
                <w:noProof/>
                <w:webHidden/>
              </w:rPr>
            </w:r>
            <w:r w:rsidR="00CC6C79">
              <w:rPr>
                <w:noProof/>
                <w:webHidden/>
              </w:rPr>
              <w:fldChar w:fldCharType="separate"/>
            </w:r>
            <w:r w:rsidR="00AD58C3">
              <w:rPr>
                <w:noProof/>
                <w:webHidden/>
              </w:rPr>
              <w:t>85</w:t>
            </w:r>
            <w:r w:rsidR="00CC6C79">
              <w:rPr>
                <w:noProof/>
                <w:webHidden/>
              </w:rPr>
              <w:fldChar w:fldCharType="end"/>
            </w:r>
          </w:hyperlink>
        </w:p>
        <w:p w14:paraId="253CD1AB" w14:textId="5DACD689" w:rsidR="00CC6C79" w:rsidRDefault="00D22FE8">
          <w:pPr>
            <w:pStyle w:val="Spistreci3"/>
            <w:rPr>
              <w:rFonts w:eastAsiaTheme="minorEastAsia"/>
              <w:noProof/>
              <w:lang w:eastAsia="pl-PL"/>
            </w:rPr>
          </w:pPr>
          <w:hyperlink w:anchor="_Toc73534925" w:history="1">
            <w:r w:rsidR="00CC6C79" w:rsidRPr="00F4610B">
              <w:rPr>
                <w:rStyle w:val="Hipercze"/>
                <w:noProof/>
              </w:rPr>
              <w:t>3.3.3 Klastry</w:t>
            </w:r>
            <w:r w:rsidR="00CC6C79">
              <w:rPr>
                <w:noProof/>
                <w:webHidden/>
              </w:rPr>
              <w:tab/>
            </w:r>
            <w:r w:rsidR="00CC6C79">
              <w:rPr>
                <w:noProof/>
                <w:webHidden/>
              </w:rPr>
              <w:fldChar w:fldCharType="begin"/>
            </w:r>
            <w:r w:rsidR="00CC6C79">
              <w:rPr>
                <w:noProof/>
                <w:webHidden/>
              </w:rPr>
              <w:instrText xml:space="preserve"> PAGEREF _Toc73534925 \h </w:instrText>
            </w:r>
            <w:r w:rsidR="00CC6C79">
              <w:rPr>
                <w:noProof/>
                <w:webHidden/>
              </w:rPr>
            </w:r>
            <w:r w:rsidR="00CC6C79">
              <w:rPr>
                <w:noProof/>
                <w:webHidden/>
              </w:rPr>
              <w:fldChar w:fldCharType="separate"/>
            </w:r>
            <w:r w:rsidR="00AD58C3">
              <w:rPr>
                <w:noProof/>
                <w:webHidden/>
              </w:rPr>
              <w:t>86</w:t>
            </w:r>
            <w:r w:rsidR="00CC6C79">
              <w:rPr>
                <w:noProof/>
                <w:webHidden/>
              </w:rPr>
              <w:fldChar w:fldCharType="end"/>
            </w:r>
          </w:hyperlink>
        </w:p>
        <w:p w14:paraId="294463D1" w14:textId="3DB53A51" w:rsidR="00CC6C79" w:rsidRDefault="00D22FE8">
          <w:pPr>
            <w:pStyle w:val="Spistreci3"/>
            <w:rPr>
              <w:rFonts w:eastAsiaTheme="minorEastAsia"/>
              <w:noProof/>
              <w:lang w:eastAsia="pl-PL"/>
            </w:rPr>
          </w:pPr>
          <w:hyperlink w:anchor="_Toc73534926" w:history="1">
            <w:r w:rsidR="00CC6C79" w:rsidRPr="00F4610B">
              <w:rPr>
                <w:rStyle w:val="Hipercze"/>
                <w:noProof/>
              </w:rPr>
              <w:t>3.3.4 Ośrodki innowacji i przedsiębiorczości</w:t>
            </w:r>
            <w:r w:rsidR="00CC6C79">
              <w:rPr>
                <w:noProof/>
                <w:webHidden/>
              </w:rPr>
              <w:tab/>
            </w:r>
            <w:r w:rsidR="00CC6C79">
              <w:rPr>
                <w:noProof/>
                <w:webHidden/>
              </w:rPr>
              <w:fldChar w:fldCharType="begin"/>
            </w:r>
            <w:r w:rsidR="00CC6C79">
              <w:rPr>
                <w:noProof/>
                <w:webHidden/>
              </w:rPr>
              <w:instrText xml:space="preserve"> PAGEREF _Toc73534926 \h </w:instrText>
            </w:r>
            <w:r w:rsidR="00CC6C79">
              <w:rPr>
                <w:noProof/>
                <w:webHidden/>
              </w:rPr>
            </w:r>
            <w:r w:rsidR="00CC6C79">
              <w:rPr>
                <w:noProof/>
                <w:webHidden/>
              </w:rPr>
              <w:fldChar w:fldCharType="separate"/>
            </w:r>
            <w:r w:rsidR="00AD58C3">
              <w:rPr>
                <w:noProof/>
                <w:webHidden/>
              </w:rPr>
              <w:t>88</w:t>
            </w:r>
            <w:r w:rsidR="00CC6C79">
              <w:rPr>
                <w:noProof/>
                <w:webHidden/>
              </w:rPr>
              <w:fldChar w:fldCharType="end"/>
            </w:r>
          </w:hyperlink>
        </w:p>
        <w:p w14:paraId="3FB60279" w14:textId="2B2C3407" w:rsidR="00CC6C79" w:rsidRDefault="00D22FE8">
          <w:pPr>
            <w:pStyle w:val="Spistreci2"/>
            <w:tabs>
              <w:tab w:val="right" w:leader="dot" w:pos="9062"/>
            </w:tabs>
            <w:rPr>
              <w:rFonts w:eastAsiaTheme="minorEastAsia"/>
              <w:noProof/>
              <w:lang w:eastAsia="pl-PL"/>
            </w:rPr>
          </w:pPr>
          <w:hyperlink w:anchor="_Toc73534927" w:history="1">
            <w:r w:rsidR="00CC6C79" w:rsidRPr="00F4610B">
              <w:rPr>
                <w:rStyle w:val="Hipercze"/>
                <w:noProof/>
              </w:rPr>
              <w:t>3.4 Potencjał akademicko-naukowy</w:t>
            </w:r>
            <w:r w:rsidR="00CC6C79">
              <w:rPr>
                <w:noProof/>
                <w:webHidden/>
              </w:rPr>
              <w:tab/>
            </w:r>
            <w:r w:rsidR="00CC6C79">
              <w:rPr>
                <w:noProof/>
                <w:webHidden/>
              </w:rPr>
              <w:fldChar w:fldCharType="begin"/>
            </w:r>
            <w:r w:rsidR="00CC6C79">
              <w:rPr>
                <w:noProof/>
                <w:webHidden/>
              </w:rPr>
              <w:instrText xml:space="preserve"> PAGEREF _Toc73534927 \h </w:instrText>
            </w:r>
            <w:r w:rsidR="00CC6C79">
              <w:rPr>
                <w:noProof/>
                <w:webHidden/>
              </w:rPr>
            </w:r>
            <w:r w:rsidR="00CC6C79">
              <w:rPr>
                <w:noProof/>
                <w:webHidden/>
              </w:rPr>
              <w:fldChar w:fldCharType="separate"/>
            </w:r>
            <w:r w:rsidR="00AD58C3">
              <w:rPr>
                <w:noProof/>
                <w:webHidden/>
              </w:rPr>
              <w:t>89</w:t>
            </w:r>
            <w:r w:rsidR="00CC6C79">
              <w:rPr>
                <w:noProof/>
                <w:webHidden/>
              </w:rPr>
              <w:fldChar w:fldCharType="end"/>
            </w:r>
          </w:hyperlink>
        </w:p>
        <w:p w14:paraId="4489A29D" w14:textId="503A47BE" w:rsidR="00CC6C79" w:rsidRDefault="00D22FE8">
          <w:pPr>
            <w:pStyle w:val="Spistreci3"/>
            <w:rPr>
              <w:rFonts w:eastAsiaTheme="minorEastAsia"/>
              <w:noProof/>
              <w:lang w:eastAsia="pl-PL"/>
            </w:rPr>
          </w:pPr>
          <w:hyperlink w:anchor="_Toc73534928" w:history="1">
            <w:r w:rsidR="00CC6C79" w:rsidRPr="00F4610B">
              <w:rPr>
                <w:rStyle w:val="Hipercze"/>
                <w:noProof/>
              </w:rPr>
              <w:t>3.4.1 Liczba studentów</w:t>
            </w:r>
            <w:r w:rsidR="00CC6C79">
              <w:rPr>
                <w:noProof/>
                <w:webHidden/>
              </w:rPr>
              <w:tab/>
            </w:r>
            <w:r w:rsidR="00CC6C79">
              <w:rPr>
                <w:noProof/>
                <w:webHidden/>
              </w:rPr>
              <w:fldChar w:fldCharType="begin"/>
            </w:r>
            <w:r w:rsidR="00CC6C79">
              <w:rPr>
                <w:noProof/>
                <w:webHidden/>
              </w:rPr>
              <w:instrText xml:space="preserve"> PAGEREF _Toc73534928 \h </w:instrText>
            </w:r>
            <w:r w:rsidR="00CC6C79">
              <w:rPr>
                <w:noProof/>
                <w:webHidden/>
              </w:rPr>
            </w:r>
            <w:r w:rsidR="00CC6C79">
              <w:rPr>
                <w:noProof/>
                <w:webHidden/>
              </w:rPr>
              <w:fldChar w:fldCharType="separate"/>
            </w:r>
            <w:r w:rsidR="00AD58C3">
              <w:rPr>
                <w:noProof/>
                <w:webHidden/>
              </w:rPr>
              <w:t>89</w:t>
            </w:r>
            <w:r w:rsidR="00CC6C79">
              <w:rPr>
                <w:noProof/>
                <w:webHidden/>
              </w:rPr>
              <w:fldChar w:fldCharType="end"/>
            </w:r>
          </w:hyperlink>
        </w:p>
        <w:p w14:paraId="6F3045E3" w14:textId="1A276656" w:rsidR="00CC6C79" w:rsidRDefault="00D22FE8">
          <w:pPr>
            <w:pStyle w:val="Spistreci3"/>
            <w:rPr>
              <w:rFonts w:eastAsiaTheme="minorEastAsia"/>
              <w:noProof/>
              <w:lang w:eastAsia="pl-PL"/>
            </w:rPr>
          </w:pPr>
          <w:hyperlink w:anchor="_Toc73534929" w:history="1">
            <w:r w:rsidR="00CC6C79" w:rsidRPr="00F4610B">
              <w:rPr>
                <w:rStyle w:val="Hipercze"/>
                <w:noProof/>
              </w:rPr>
              <w:t>3.4.2 Pozycja olsztyńskich uczelni w rankingach</w:t>
            </w:r>
            <w:r w:rsidR="00CC6C79">
              <w:rPr>
                <w:noProof/>
                <w:webHidden/>
              </w:rPr>
              <w:tab/>
            </w:r>
            <w:r w:rsidR="00CC6C79">
              <w:rPr>
                <w:noProof/>
                <w:webHidden/>
              </w:rPr>
              <w:fldChar w:fldCharType="begin"/>
            </w:r>
            <w:r w:rsidR="00CC6C79">
              <w:rPr>
                <w:noProof/>
                <w:webHidden/>
              </w:rPr>
              <w:instrText xml:space="preserve"> PAGEREF _Toc73534929 \h </w:instrText>
            </w:r>
            <w:r w:rsidR="00CC6C79">
              <w:rPr>
                <w:noProof/>
                <w:webHidden/>
              </w:rPr>
            </w:r>
            <w:r w:rsidR="00CC6C79">
              <w:rPr>
                <w:noProof/>
                <w:webHidden/>
              </w:rPr>
              <w:fldChar w:fldCharType="separate"/>
            </w:r>
            <w:r w:rsidR="00AD58C3">
              <w:rPr>
                <w:noProof/>
                <w:webHidden/>
              </w:rPr>
              <w:t>89</w:t>
            </w:r>
            <w:r w:rsidR="00CC6C79">
              <w:rPr>
                <w:noProof/>
                <w:webHidden/>
              </w:rPr>
              <w:fldChar w:fldCharType="end"/>
            </w:r>
          </w:hyperlink>
        </w:p>
        <w:p w14:paraId="29F6020A" w14:textId="7BF1961D" w:rsidR="00CC6C79" w:rsidRDefault="00D22FE8">
          <w:pPr>
            <w:pStyle w:val="Spistreci3"/>
            <w:rPr>
              <w:rFonts w:eastAsiaTheme="minorEastAsia"/>
              <w:noProof/>
              <w:lang w:eastAsia="pl-PL"/>
            </w:rPr>
          </w:pPr>
          <w:hyperlink w:anchor="_Toc73534930" w:history="1">
            <w:r w:rsidR="00CC6C79" w:rsidRPr="00F4610B">
              <w:rPr>
                <w:rStyle w:val="Hipercze"/>
                <w:noProof/>
              </w:rPr>
              <w:t>3.4.3 Kierunki kształcenia w szkołach wyższych</w:t>
            </w:r>
            <w:r w:rsidR="00CC6C79">
              <w:rPr>
                <w:noProof/>
                <w:webHidden/>
              </w:rPr>
              <w:tab/>
            </w:r>
            <w:r w:rsidR="00CC6C79">
              <w:rPr>
                <w:noProof/>
                <w:webHidden/>
              </w:rPr>
              <w:fldChar w:fldCharType="begin"/>
            </w:r>
            <w:r w:rsidR="00CC6C79">
              <w:rPr>
                <w:noProof/>
                <w:webHidden/>
              </w:rPr>
              <w:instrText xml:space="preserve"> PAGEREF _Toc73534930 \h </w:instrText>
            </w:r>
            <w:r w:rsidR="00CC6C79">
              <w:rPr>
                <w:noProof/>
                <w:webHidden/>
              </w:rPr>
            </w:r>
            <w:r w:rsidR="00CC6C79">
              <w:rPr>
                <w:noProof/>
                <w:webHidden/>
              </w:rPr>
              <w:fldChar w:fldCharType="separate"/>
            </w:r>
            <w:r w:rsidR="00AD58C3">
              <w:rPr>
                <w:noProof/>
                <w:webHidden/>
              </w:rPr>
              <w:t>90</w:t>
            </w:r>
            <w:r w:rsidR="00CC6C79">
              <w:rPr>
                <w:noProof/>
                <w:webHidden/>
              </w:rPr>
              <w:fldChar w:fldCharType="end"/>
            </w:r>
          </w:hyperlink>
        </w:p>
        <w:p w14:paraId="5DB8F4C0" w14:textId="16948935" w:rsidR="00CC6C79" w:rsidRDefault="00D22FE8">
          <w:pPr>
            <w:pStyle w:val="Spistreci3"/>
            <w:rPr>
              <w:rFonts w:eastAsiaTheme="minorEastAsia"/>
              <w:noProof/>
              <w:lang w:eastAsia="pl-PL"/>
            </w:rPr>
          </w:pPr>
          <w:hyperlink w:anchor="_Toc73534931" w:history="1">
            <w:r w:rsidR="00CC6C79" w:rsidRPr="00F4610B">
              <w:rPr>
                <w:rStyle w:val="Hipercze"/>
                <w:noProof/>
              </w:rPr>
              <w:t>3.4.4 Kierunki studiów a inteligentne specjalizacje</w:t>
            </w:r>
            <w:r w:rsidR="00CC6C79">
              <w:rPr>
                <w:noProof/>
                <w:webHidden/>
              </w:rPr>
              <w:tab/>
            </w:r>
            <w:r w:rsidR="00CC6C79">
              <w:rPr>
                <w:noProof/>
                <w:webHidden/>
              </w:rPr>
              <w:fldChar w:fldCharType="begin"/>
            </w:r>
            <w:r w:rsidR="00CC6C79">
              <w:rPr>
                <w:noProof/>
                <w:webHidden/>
              </w:rPr>
              <w:instrText xml:space="preserve"> PAGEREF _Toc73534931 \h </w:instrText>
            </w:r>
            <w:r w:rsidR="00CC6C79">
              <w:rPr>
                <w:noProof/>
                <w:webHidden/>
              </w:rPr>
            </w:r>
            <w:r w:rsidR="00CC6C79">
              <w:rPr>
                <w:noProof/>
                <w:webHidden/>
              </w:rPr>
              <w:fldChar w:fldCharType="separate"/>
            </w:r>
            <w:r w:rsidR="00AD58C3">
              <w:rPr>
                <w:noProof/>
                <w:webHidden/>
              </w:rPr>
              <w:t>93</w:t>
            </w:r>
            <w:r w:rsidR="00CC6C79">
              <w:rPr>
                <w:noProof/>
                <w:webHidden/>
              </w:rPr>
              <w:fldChar w:fldCharType="end"/>
            </w:r>
          </w:hyperlink>
        </w:p>
        <w:p w14:paraId="1B924FA8" w14:textId="1F0F623A" w:rsidR="00CC6C79" w:rsidRDefault="00D22FE8">
          <w:pPr>
            <w:pStyle w:val="Spistreci3"/>
            <w:rPr>
              <w:rFonts w:eastAsiaTheme="minorEastAsia"/>
              <w:noProof/>
              <w:lang w:eastAsia="pl-PL"/>
            </w:rPr>
          </w:pPr>
          <w:hyperlink w:anchor="_Toc73534932" w:history="1">
            <w:r w:rsidR="00CC6C79" w:rsidRPr="00F4610B">
              <w:rPr>
                <w:rStyle w:val="Hipercze"/>
                <w:noProof/>
              </w:rPr>
              <w:t>3.4.5 Jednostki naukowe i badawczo-rozwojowe</w:t>
            </w:r>
            <w:r w:rsidR="00CC6C79">
              <w:rPr>
                <w:noProof/>
                <w:webHidden/>
              </w:rPr>
              <w:tab/>
            </w:r>
            <w:r w:rsidR="00CC6C79">
              <w:rPr>
                <w:noProof/>
                <w:webHidden/>
              </w:rPr>
              <w:fldChar w:fldCharType="begin"/>
            </w:r>
            <w:r w:rsidR="00CC6C79">
              <w:rPr>
                <w:noProof/>
                <w:webHidden/>
              </w:rPr>
              <w:instrText xml:space="preserve"> PAGEREF _Toc73534932 \h </w:instrText>
            </w:r>
            <w:r w:rsidR="00CC6C79">
              <w:rPr>
                <w:noProof/>
                <w:webHidden/>
              </w:rPr>
            </w:r>
            <w:r w:rsidR="00CC6C79">
              <w:rPr>
                <w:noProof/>
                <w:webHidden/>
              </w:rPr>
              <w:fldChar w:fldCharType="separate"/>
            </w:r>
            <w:r w:rsidR="00AD58C3">
              <w:rPr>
                <w:noProof/>
                <w:webHidden/>
              </w:rPr>
              <w:t>94</w:t>
            </w:r>
            <w:r w:rsidR="00CC6C79">
              <w:rPr>
                <w:noProof/>
                <w:webHidden/>
              </w:rPr>
              <w:fldChar w:fldCharType="end"/>
            </w:r>
          </w:hyperlink>
        </w:p>
        <w:p w14:paraId="570694B4" w14:textId="7B9A4D9D" w:rsidR="00CC6C79" w:rsidRDefault="00D22FE8">
          <w:pPr>
            <w:pStyle w:val="Spistreci2"/>
            <w:tabs>
              <w:tab w:val="right" w:leader="dot" w:pos="9062"/>
            </w:tabs>
            <w:rPr>
              <w:rFonts w:eastAsiaTheme="minorEastAsia"/>
              <w:noProof/>
              <w:lang w:eastAsia="pl-PL"/>
            </w:rPr>
          </w:pPr>
          <w:hyperlink w:anchor="_Toc73534933" w:history="1">
            <w:r w:rsidR="00CC6C79" w:rsidRPr="00F4610B">
              <w:rPr>
                <w:rStyle w:val="Hipercze"/>
                <w:noProof/>
              </w:rPr>
              <w:t>3.5 Cyfryzacja</w:t>
            </w:r>
            <w:r w:rsidR="00CC6C79">
              <w:rPr>
                <w:noProof/>
                <w:webHidden/>
              </w:rPr>
              <w:tab/>
            </w:r>
            <w:r w:rsidR="00CC6C79">
              <w:rPr>
                <w:noProof/>
                <w:webHidden/>
              </w:rPr>
              <w:fldChar w:fldCharType="begin"/>
            </w:r>
            <w:r w:rsidR="00CC6C79">
              <w:rPr>
                <w:noProof/>
                <w:webHidden/>
              </w:rPr>
              <w:instrText xml:space="preserve"> PAGEREF _Toc73534933 \h </w:instrText>
            </w:r>
            <w:r w:rsidR="00CC6C79">
              <w:rPr>
                <w:noProof/>
                <w:webHidden/>
              </w:rPr>
            </w:r>
            <w:r w:rsidR="00CC6C79">
              <w:rPr>
                <w:noProof/>
                <w:webHidden/>
              </w:rPr>
              <w:fldChar w:fldCharType="separate"/>
            </w:r>
            <w:r w:rsidR="00AD58C3">
              <w:rPr>
                <w:noProof/>
                <w:webHidden/>
              </w:rPr>
              <w:t>97</w:t>
            </w:r>
            <w:r w:rsidR="00CC6C79">
              <w:rPr>
                <w:noProof/>
                <w:webHidden/>
              </w:rPr>
              <w:fldChar w:fldCharType="end"/>
            </w:r>
          </w:hyperlink>
        </w:p>
        <w:p w14:paraId="3283B1D5" w14:textId="4CDA7C1D" w:rsidR="00CC6C79" w:rsidRDefault="00D22FE8">
          <w:pPr>
            <w:pStyle w:val="Spistreci3"/>
            <w:rPr>
              <w:rFonts w:eastAsiaTheme="minorEastAsia"/>
              <w:noProof/>
              <w:lang w:eastAsia="pl-PL"/>
            </w:rPr>
          </w:pPr>
          <w:hyperlink w:anchor="_Toc73534934" w:history="1">
            <w:r w:rsidR="00CC6C79" w:rsidRPr="00F4610B">
              <w:rPr>
                <w:rStyle w:val="Hipercze"/>
                <w:noProof/>
              </w:rPr>
              <w:t>3.5.1 Infrastruktura</w:t>
            </w:r>
            <w:r w:rsidR="00CC6C79">
              <w:rPr>
                <w:noProof/>
                <w:webHidden/>
              </w:rPr>
              <w:tab/>
            </w:r>
            <w:r w:rsidR="00CC6C79">
              <w:rPr>
                <w:noProof/>
                <w:webHidden/>
              </w:rPr>
              <w:fldChar w:fldCharType="begin"/>
            </w:r>
            <w:r w:rsidR="00CC6C79">
              <w:rPr>
                <w:noProof/>
                <w:webHidden/>
              </w:rPr>
              <w:instrText xml:space="preserve"> PAGEREF _Toc73534934 \h </w:instrText>
            </w:r>
            <w:r w:rsidR="00CC6C79">
              <w:rPr>
                <w:noProof/>
                <w:webHidden/>
              </w:rPr>
            </w:r>
            <w:r w:rsidR="00CC6C79">
              <w:rPr>
                <w:noProof/>
                <w:webHidden/>
              </w:rPr>
              <w:fldChar w:fldCharType="separate"/>
            </w:r>
            <w:r w:rsidR="00AD58C3">
              <w:rPr>
                <w:noProof/>
                <w:webHidden/>
              </w:rPr>
              <w:t>97</w:t>
            </w:r>
            <w:r w:rsidR="00CC6C79">
              <w:rPr>
                <w:noProof/>
                <w:webHidden/>
              </w:rPr>
              <w:fldChar w:fldCharType="end"/>
            </w:r>
          </w:hyperlink>
        </w:p>
        <w:p w14:paraId="0149F633" w14:textId="28BDC4F4" w:rsidR="00CC6C79" w:rsidRDefault="00D22FE8">
          <w:pPr>
            <w:pStyle w:val="Spistreci3"/>
            <w:rPr>
              <w:rFonts w:eastAsiaTheme="minorEastAsia"/>
              <w:noProof/>
              <w:lang w:eastAsia="pl-PL"/>
            </w:rPr>
          </w:pPr>
          <w:hyperlink w:anchor="_Toc73534935" w:history="1">
            <w:r w:rsidR="00CC6C79" w:rsidRPr="00F4610B">
              <w:rPr>
                <w:rStyle w:val="Hipercze"/>
                <w:rFonts w:eastAsia="MyriadPro-Regular"/>
                <w:noProof/>
              </w:rPr>
              <w:t>3.5.2 Wykorzystanie technologii cyfrowych</w:t>
            </w:r>
            <w:r w:rsidR="00CC6C79">
              <w:rPr>
                <w:noProof/>
                <w:webHidden/>
              </w:rPr>
              <w:tab/>
            </w:r>
            <w:r w:rsidR="00CC6C79">
              <w:rPr>
                <w:noProof/>
                <w:webHidden/>
              </w:rPr>
              <w:fldChar w:fldCharType="begin"/>
            </w:r>
            <w:r w:rsidR="00CC6C79">
              <w:rPr>
                <w:noProof/>
                <w:webHidden/>
              </w:rPr>
              <w:instrText xml:space="preserve"> PAGEREF _Toc73534935 \h </w:instrText>
            </w:r>
            <w:r w:rsidR="00CC6C79">
              <w:rPr>
                <w:noProof/>
                <w:webHidden/>
              </w:rPr>
            </w:r>
            <w:r w:rsidR="00CC6C79">
              <w:rPr>
                <w:noProof/>
                <w:webHidden/>
              </w:rPr>
              <w:fldChar w:fldCharType="separate"/>
            </w:r>
            <w:r w:rsidR="00AD58C3">
              <w:rPr>
                <w:noProof/>
                <w:webHidden/>
              </w:rPr>
              <w:t>99</w:t>
            </w:r>
            <w:r w:rsidR="00CC6C79">
              <w:rPr>
                <w:noProof/>
                <w:webHidden/>
              </w:rPr>
              <w:fldChar w:fldCharType="end"/>
            </w:r>
          </w:hyperlink>
        </w:p>
        <w:p w14:paraId="0D76B063" w14:textId="1F0CA536" w:rsidR="00CC6C79" w:rsidRDefault="00D22FE8">
          <w:pPr>
            <w:pStyle w:val="Spistreci1"/>
            <w:tabs>
              <w:tab w:val="left" w:pos="440"/>
              <w:tab w:val="right" w:leader="dot" w:pos="9062"/>
            </w:tabs>
            <w:rPr>
              <w:rFonts w:eastAsiaTheme="minorEastAsia"/>
              <w:noProof/>
              <w:lang w:eastAsia="pl-PL"/>
            </w:rPr>
          </w:pPr>
          <w:hyperlink w:anchor="_Toc73534936" w:history="1">
            <w:r w:rsidR="00CC6C79" w:rsidRPr="00F4610B">
              <w:rPr>
                <w:rStyle w:val="Hipercze"/>
                <w:noProof/>
              </w:rPr>
              <w:t>4.</w:t>
            </w:r>
            <w:r w:rsidR="00CC6C79">
              <w:rPr>
                <w:rFonts w:eastAsiaTheme="minorEastAsia"/>
                <w:noProof/>
                <w:lang w:eastAsia="pl-PL"/>
              </w:rPr>
              <w:tab/>
            </w:r>
            <w:r w:rsidR="00CC6C79" w:rsidRPr="00F4610B">
              <w:rPr>
                <w:rStyle w:val="Hipercze"/>
                <w:noProof/>
              </w:rPr>
              <w:t>Funkcje metropolitalne</w:t>
            </w:r>
            <w:r w:rsidR="00CC6C79">
              <w:rPr>
                <w:noProof/>
                <w:webHidden/>
              </w:rPr>
              <w:tab/>
            </w:r>
            <w:r w:rsidR="00CC6C79">
              <w:rPr>
                <w:noProof/>
                <w:webHidden/>
              </w:rPr>
              <w:fldChar w:fldCharType="begin"/>
            </w:r>
            <w:r w:rsidR="00CC6C79">
              <w:rPr>
                <w:noProof/>
                <w:webHidden/>
              </w:rPr>
              <w:instrText xml:space="preserve"> PAGEREF _Toc73534936 \h </w:instrText>
            </w:r>
            <w:r w:rsidR="00CC6C79">
              <w:rPr>
                <w:noProof/>
                <w:webHidden/>
              </w:rPr>
            </w:r>
            <w:r w:rsidR="00CC6C79">
              <w:rPr>
                <w:noProof/>
                <w:webHidden/>
              </w:rPr>
              <w:fldChar w:fldCharType="separate"/>
            </w:r>
            <w:r w:rsidR="00AD58C3">
              <w:rPr>
                <w:noProof/>
                <w:webHidden/>
              </w:rPr>
              <w:t>102</w:t>
            </w:r>
            <w:r w:rsidR="00CC6C79">
              <w:rPr>
                <w:noProof/>
                <w:webHidden/>
              </w:rPr>
              <w:fldChar w:fldCharType="end"/>
            </w:r>
          </w:hyperlink>
        </w:p>
        <w:p w14:paraId="1D597FBD" w14:textId="5A9E2975" w:rsidR="00CC6C79" w:rsidRDefault="00D22FE8">
          <w:pPr>
            <w:pStyle w:val="Spistreci2"/>
            <w:tabs>
              <w:tab w:val="right" w:leader="dot" w:pos="9062"/>
            </w:tabs>
            <w:rPr>
              <w:rFonts w:eastAsiaTheme="minorEastAsia"/>
              <w:noProof/>
              <w:lang w:eastAsia="pl-PL"/>
            </w:rPr>
          </w:pPr>
          <w:hyperlink w:anchor="_Toc73534937" w:history="1">
            <w:r w:rsidR="00CC6C79" w:rsidRPr="00F4610B">
              <w:rPr>
                <w:rStyle w:val="Hipercze"/>
                <w:noProof/>
              </w:rPr>
              <w:t>4.1 Centrum usług edukacyjnych</w:t>
            </w:r>
            <w:r w:rsidR="00CC6C79">
              <w:rPr>
                <w:noProof/>
                <w:webHidden/>
              </w:rPr>
              <w:tab/>
            </w:r>
            <w:r w:rsidR="00CC6C79">
              <w:rPr>
                <w:noProof/>
                <w:webHidden/>
              </w:rPr>
              <w:fldChar w:fldCharType="begin"/>
            </w:r>
            <w:r w:rsidR="00CC6C79">
              <w:rPr>
                <w:noProof/>
                <w:webHidden/>
              </w:rPr>
              <w:instrText xml:space="preserve"> PAGEREF _Toc73534937 \h </w:instrText>
            </w:r>
            <w:r w:rsidR="00CC6C79">
              <w:rPr>
                <w:noProof/>
                <w:webHidden/>
              </w:rPr>
            </w:r>
            <w:r w:rsidR="00CC6C79">
              <w:rPr>
                <w:noProof/>
                <w:webHidden/>
              </w:rPr>
              <w:fldChar w:fldCharType="separate"/>
            </w:r>
            <w:r w:rsidR="00AD58C3">
              <w:rPr>
                <w:noProof/>
                <w:webHidden/>
              </w:rPr>
              <w:t>102</w:t>
            </w:r>
            <w:r w:rsidR="00CC6C79">
              <w:rPr>
                <w:noProof/>
                <w:webHidden/>
              </w:rPr>
              <w:fldChar w:fldCharType="end"/>
            </w:r>
          </w:hyperlink>
        </w:p>
        <w:p w14:paraId="0D86365D" w14:textId="7A8CFC58" w:rsidR="00CC6C79" w:rsidRDefault="00D22FE8">
          <w:pPr>
            <w:pStyle w:val="Spistreci3"/>
            <w:rPr>
              <w:rFonts w:eastAsiaTheme="minorEastAsia"/>
              <w:noProof/>
              <w:lang w:eastAsia="pl-PL"/>
            </w:rPr>
          </w:pPr>
          <w:hyperlink w:anchor="_Toc73534938" w:history="1">
            <w:r w:rsidR="00CC6C79" w:rsidRPr="00F4610B">
              <w:rPr>
                <w:rStyle w:val="Hipercze"/>
                <w:noProof/>
              </w:rPr>
              <w:t>4.1.1 Opieka żłobkowa</w:t>
            </w:r>
            <w:r w:rsidR="00CC6C79">
              <w:rPr>
                <w:noProof/>
                <w:webHidden/>
              </w:rPr>
              <w:tab/>
            </w:r>
            <w:r w:rsidR="00CC6C79">
              <w:rPr>
                <w:noProof/>
                <w:webHidden/>
              </w:rPr>
              <w:fldChar w:fldCharType="begin"/>
            </w:r>
            <w:r w:rsidR="00CC6C79">
              <w:rPr>
                <w:noProof/>
                <w:webHidden/>
              </w:rPr>
              <w:instrText xml:space="preserve"> PAGEREF _Toc73534938 \h </w:instrText>
            </w:r>
            <w:r w:rsidR="00CC6C79">
              <w:rPr>
                <w:noProof/>
                <w:webHidden/>
              </w:rPr>
            </w:r>
            <w:r w:rsidR="00CC6C79">
              <w:rPr>
                <w:noProof/>
                <w:webHidden/>
              </w:rPr>
              <w:fldChar w:fldCharType="separate"/>
            </w:r>
            <w:r w:rsidR="00AD58C3">
              <w:rPr>
                <w:noProof/>
                <w:webHidden/>
              </w:rPr>
              <w:t>106</w:t>
            </w:r>
            <w:r w:rsidR="00CC6C79">
              <w:rPr>
                <w:noProof/>
                <w:webHidden/>
              </w:rPr>
              <w:fldChar w:fldCharType="end"/>
            </w:r>
          </w:hyperlink>
        </w:p>
        <w:p w14:paraId="70E04E8F" w14:textId="264FE57C" w:rsidR="00CC6C79" w:rsidRDefault="00D22FE8">
          <w:pPr>
            <w:pStyle w:val="Spistreci3"/>
            <w:rPr>
              <w:rFonts w:eastAsiaTheme="minorEastAsia"/>
              <w:noProof/>
              <w:lang w:eastAsia="pl-PL"/>
            </w:rPr>
          </w:pPr>
          <w:hyperlink w:anchor="_Toc73534939" w:history="1">
            <w:r w:rsidR="00CC6C79" w:rsidRPr="00F4610B">
              <w:rPr>
                <w:rStyle w:val="Hipercze"/>
                <w:noProof/>
              </w:rPr>
              <w:t>4.1.2 Wychowanie przedszkolne</w:t>
            </w:r>
            <w:r w:rsidR="00CC6C79">
              <w:rPr>
                <w:noProof/>
                <w:webHidden/>
              </w:rPr>
              <w:tab/>
            </w:r>
            <w:r w:rsidR="00CC6C79">
              <w:rPr>
                <w:noProof/>
                <w:webHidden/>
              </w:rPr>
              <w:fldChar w:fldCharType="begin"/>
            </w:r>
            <w:r w:rsidR="00CC6C79">
              <w:rPr>
                <w:noProof/>
                <w:webHidden/>
              </w:rPr>
              <w:instrText xml:space="preserve"> PAGEREF _Toc73534939 \h </w:instrText>
            </w:r>
            <w:r w:rsidR="00CC6C79">
              <w:rPr>
                <w:noProof/>
                <w:webHidden/>
              </w:rPr>
            </w:r>
            <w:r w:rsidR="00CC6C79">
              <w:rPr>
                <w:noProof/>
                <w:webHidden/>
              </w:rPr>
              <w:fldChar w:fldCharType="separate"/>
            </w:r>
            <w:r w:rsidR="00AD58C3">
              <w:rPr>
                <w:noProof/>
                <w:webHidden/>
              </w:rPr>
              <w:t>108</w:t>
            </w:r>
            <w:r w:rsidR="00CC6C79">
              <w:rPr>
                <w:noProof/>
                <w:webHidden/>
              </w:rPr>
              <w:fldChar w:fldCharType="end"/>
            </w:r>
          </w:hyperlink>
        </w:p>
        <w:p w14:paraId="6832B20E" w14:textId="073EACBE" w:rsidR="00CC6C79" w:rsidRDefault="00D22FE8">
          <w:pPr>
            <w:pStyle w:val="Spistreci3"/>
            <w:rPr>
              <w:rFonts w:eastAsiaTheme="minorEastAsia"/>
              <w:noProof/>
              <w:lang w:eastAsia="pl-PL"/>
            </w:rPr>
          </w:pPr>
          <w:hyperlink w:anchor="_Toc73534940" w:history="1">
            <w:r w:rsidR="00CC6C79" w:rsidRPr="00F4610B">
              <w:rPr>
                <w:rStyle w:val="Hipercze"/>
                <w:noProof/>
              </w:rPr>
              <w:t>4.1.3 Szkolnictwo podstawowe</w:t>
            </w:r>
            <w:r w:rsidR="00CC6C79">
              <w:rPr>
                <w:noProof/>
                <w:webHidden/>
              </w:rPr>
              <w:tab/>
            </w:r>
            <w:r w:rsidR="00CC6C79">
              <w:rPr>
                <w:noProof/>
                <w:webHidden/>
              </w:rPr>
              <w:fldChar w:fldCharType="begin"/>
            </w:r>
            <w:r w:rsidR="00CC6C79">
              <w:rPr>
                <w:noProof/>
                <w:webHidden/>
              </w:rPr>
              <w:instrText xml:space="preserve"> PAGEREF _Toc73534940 \h </w:instrText>
            </w:r>
            <w:r w:rsidR="00CC6C79">
              <w:rPr>
                <w:noProof/>
                <w:webHidden/>
              </w:rPr>
            </w:r>
            <w:r w:rsidR="00CC6C79">
              <w:rPr>
                <w:noProof/>
                <w:webHidden/>
              </w:rPr>
              <w:fldChar w:fldCharType="separate"/>
            </w:r>
            <w:r w:rsidR="00AD58C3">
              <w:rPr>
                <w:noProof/>
                <w:webHidden/>
              </w:rPr>
              <w:t>110</w:t>
            </w:r>
            <w:r w:rsidR="00CC6C79">
              <w:rPr>
                <w:noProof/>
                <w:webHidden/>
              </w:rPr>
              <w:fldChar w:fldCharType="end"/>
            </w:r>
          </w:hyperlink>
        </w:p>
        <w:p w14:paraId="7BE5AD1B" w14:textId="5DF0B221" w:rsidR="00CC6C79" w:rsidRDefault="00D22FE8">
          <w:pPr>
            <w:pStyle w:val="Spistreci2"/>
            <w:tabs>
              <w:tab w:val="right" w:leader="dot" w:pos="9062"/>
            </w:tabs>
            <w:rPr>
              <w:rFonts w:eastAsiaTheme="minorEastAsia"/>
              <w:noProof/>
              <w:lang w:eastAsia="pl-PL"/>
            </w:rPr>
          </w:pPr>
          <w:hyperlink w:anchor="_Toc73534941" w:history="1">
            <w:r w:rsidR="00CC6C79" w:rsidRPr="00F4610B">
              <w:rPr>
                <w:rStyle w:val="Hipercze"/>
                <w:noProof/>
              </w:rPr>
              <w:t>4.2 Centrum usług medycznych</w:t>
            </w:r>
            <w:r w:rsidR="00CC6C79">
              <w:rPr>
                <w:noProof/>
                <w:webHidden/>
              </w:rPr>
              <w:tab/>
            </w:r>
            <w:r w:rsidR="00CC6C79">
              <w:rPr>
                <w:noProof/>
                <w:webHidden/>
              </w:rPr>
              <w:fldChar w:fldCharType="begin"/>
            </w:r>
            <w:r w:rsidR="00CC6C79">
              <w:rPr>
                <w:noProof/>
                <w:webHidden/>
              </w:rPr>
              <w:instrText xml:space="preserve"> PAGEREF _Toc73534941 \h </w:instrText>
            </w:r>
            <w:r w:rsidR="00CC6C79">
              <w:rPr>
                <w:noProof/>
                <w:webHidden/>
              </w:rPr>
            </w:r>
            <w:r w:rsidR="00CC6C79">
              <w:rPr>
                <w:noProof/>
                <w:webHidden/>
              </w:rPr>
              <w:fldChar w:fldCharType="separate"/>
            </w:r>
            <w:r w:rsidR="00AD58C3">
              <w:rPr>
                <w:noProof/>
                <w:webHidden/>
              </w:rPr>
              <w:t>111</w:t>
            </w:r>
            <w:r w:rsidR="00CC6C79">
              <w:rPr>
                <w:noProof/>
                <w:webHidden/>
              </w:rPr>
              <w:fldChar w:fldCharType="end"/>
            </w:r>
          </w:hyperlink>
        </w:p>
        <w:p w14:paraId="352EE5D6" w14:textId="59A9667C" w:rsidR="00CC6C79" w:rsidRDefault="00D22FE8">
          <w:pPr>
            <w:pStyle w:val="Spistreci3"/>
            <w:rPr>
              <w:rFonts w:eastAsiaTheme="minorEastAsia"/>
              <w:noProof/>
              <w:lang w:eastAsia="pl-PL"/>
            </w:rPr>
          </w:pPr>
          <w:hyperlink w:anchor="_Toc73534942" w:history="1">
            <w:r w:rsidR="00CC6C79" w:rsidRPr="00F4610B">
              <w:rPr>
                <w:rStyle w:val="Hipercze"/>
                <w:noProof/>
              </w:rPr>
              <w:t>4.2.1 Podstawowa opieka zdrowotna i dostępność aptek</w:t>
            </w:r>
            <w:r w:rsidR="00CC6C79">
              <w:rPr>
                <w:noProof/>
                <w:webHidden/>
              </w:rPr>
              <w:tab/>
            </w:r>
            <w:r w:rsidR="00CC6C79">
              <w:rPr>
                <w:noProof/>
                <w:webHidden/>
              </w:rPr>
              <w:fldChar w:fldCharType="begin"/>
            </w:r>
            <w:r w:rsidR="00CC6C79">
              <w:rPr>
                <w:noProof/>
                <w:webHidden/>
              </w:rPr>
              <w:instrText xml:space="preserve"> PAGEREF _Toc73534942 \h </w:instrText>
            </w:r>
            <w:r w:rsidR="00CC6C79">
              <w:rPr>
                <w:noProof/>
                <w:webHidden/>
              </w:rPr>
            </w:r>
            <w:r w:rsidR="00CC6C79">
              <w:rPr>
                <w:noProof/>
                <w:webHidden/>
              </w:rPr>
              <w:fldChar w:fldCharType="separate"/>
            </w:r>
            <w:r w:rsidR="00AD58C3">
              <w:rPr>
                <w:noProof/>
                <w:webHidden/>
              </w:rPr>
              <w:t>112</w:t>
            </w:r>
            <w:r w:rsidR="00CC6C79">
              <w:rPr>
                <w:noProof/>
                <w:webHidden/>
              </w:rPr>
              <w:fldChar w:fldCharType="end"/>
            </w:r>
          </w:hyperlink>
        </w:p>
        <w:p w14:paraId="6334147D" w14:textId="3447B395" w:rsidR="00CC6C79" w:rsidRDefault="00D22FE8">
          <w:pPr>
            <w:pStyle w:val="Spistreci3"/>
            <w:rPr>
              <w:rFonts w:eastAsiaTheme="minorEastAsia"/>
              <w:noProof/>
              <w:lang w:eastAsia="pl-PL"/>
            </w:rPr>
          </w:pPr>
          <w:hyperlink w:anchor="_Toc73534943" w:history="1">
            <w:r w:rsidR="00CC6C79" w:rsidRPr="00F4610B">
              <w:rPr>
                <w:rStyle w:val="Hipercze"/>
                <w:noProof/>
              </w:rPr>
              <w:t>4.2.2 Dostępność specjalistycznej opieki zdrowotnej</w:t>
            </w:r>
            <w:r w:rsidR="00CC6C79">
              <w:rPr>
                <w:noProof/>
                <w:webHidden/>
              </w:rPr>
              <w:tab/>
            </w:r>
            <w:r w:rsidR="00CC6C79">
              <w:rPr>
                <w:noProof/>
                <w:webHidden/>
              </w:rPr>
              <w:fldChar w:fldCharType="begin"/>
            </w:r>
            <w:r w:rsidR="00CC6C79">
              <w:rPr>
                <w:noProof/>
                <w:webHidden/>
              </w:rPr>
              <w:instrText xml:space="preserve"> PAGEREF _Toc73534943 \h </w:instrText>
            </w:r>
            <w:r w:rsidR="00CC6C79">
              <w:rPr>
                <w:noProof/>
                <w:webHidden/>
              </w:rPr>
            </w:r>
            <w:r w:rsidR="00CC6C79">
              <w:rPr>
                <w:noProof/>
                <w:webHidden/>
              </w:rPr>
              <w:fldChar w:fldCharType="separate"/>
            </w:r>
            <w:r w:rsidR="00AD58C3">
              <w:rPr>
                <w:noProof/>
                <w:webHidden/>
              </w:rPr>
              <w:t>114</w:t>
            </w:r>
            <w:r w:rsidR="00CC6C79">
              <w:rPr>
                <w:noProof/>
                <w:webHidden/>
              </w:rPr>
              <w:fldChar w:fldCharType="end"/>
            </w:r>
          </w:hyperlink>
        </w:p>
        <w:p w14:paraId="6002DFC4" w14:textId="342BCD08" w:rsidR="00CC6C79" w:rsidRDefault="00D22FE8">
          <w:pPr>
            <w:pStyle w:val="Spistreci3"/>
            <w:rPr>
              <w:rFonts w:eastAsiaTheme="minorEastAsia"/>
              <w:noProof/>
              <w:lang w:eastAsia="pl-PL"/>
            </w:rPr>
          </w:pPr>
          <w:hyperlink w:anchor="_Toc73534944" w:history="1">
            <w:r w:rsidR="00CC6C79" w:rsidRPr="00F4610B">
              <w:rPr>
                <w:rStyle w:val="Hipercze"/>
                <w:noProof/>
              </w:rPr>
              <w:t>4.2.3</w:t>
            </w:r>
            <w:r w:rsidR="00CC6C79">
              <w:rPr>
                <w:rFonts w:eastAsiaTheme="minorEastAsia"/>
                <w:noProof/>
                <w:lang w:eastAsia="pl-PL"/>
              </w:rPr>
              <w:tab/>
            </w:r>
            <w:r w:rsidR="00CC6C79" w:rsidRPr="00F4610B">
              <w:rPr>
                <w:rStyle w:val="Hipercze"/>
                <w:noProof/>
              </w:rPr>
              <w:t>Pracownicy służby zdrowia</w:t>
            </w:r>
            <w:r w:rsidR="00CC6C79">
              <w:rPr>
                <w:noProof/>
                <w:webHidden/>
              </w:rPr>
              <w:tab/>
            </w:r>
            <w:r w:rsidR="00CC6C79">
              <w:rPr>
                <w:noProof/>
                <w:webHidden/>
              </w:rPr>
              <w:fldChar w:fldCharType="begin"/>
            </w:r>
            <w:r w:rsidR="00CC6C79">
              <w:rPr>
                <w:noProof/>
                <w:webHidden/>
              </w:rPr>
              <w:instrText xml:space="preserve"> PAGEREF _Toc73534944 \h </w:instrText>
            </w:r>
            <w:r w:rsidR="00CC6C79">
              <w:rPr>
                <w:noProof/>
                <w:webHidden/>
              </w:rPr>
            </w:r>
            <w:r w:rsidR="00CC6C79">
              <w:rPr>
                <w:noProof/>
                <w:webHidden/>
              </w:rPr>
              <w:fldChar w:fldCharType="separate"/>
            </w:r>
            <w:r w:rsidR="00AD58C3">
              <w:rPr>
                <w:noProof/>
                <w:webHidden/>
              </w:rPr>
              <w:t>115</w:t>
            </w:r>
            <w:r w:rsidR="00CC6C79">
              <w:rPr>
                <w:noProof/>
                <w:webHidden/>
              </w:rPr>
              <w:fldChar w:fldCharType="end"/>
            </w:r>
          </w:hyperlink>
        </w:p>
        <w:p w14:paraId="694F52AB" w14:textId="42675D7A" w:rsidR="00CC6C79" w:rsidRDefault="00D22FE8">
          <w:pPr>
            <w:pStyle w:val="Spistreci2"/>
            <w:tabs>
              <w:tab w:val="right" w:leader="dot" w:pos="9062"/>
            </w:tabs>
            <w:rPr>
              <w:rFonts w:eastAsiaTheme="minorEastAsia"/>
              <w:noProof/>
              <w:lang w:eastAsia="pl-PL"/>
            </w:rPr>
          </w:pPr>
          <w:hyperlink w:anchor="_Toc73534945" w:history="1">
            <w:r w:rsidR="00CC6C79" w:rsidRPr="00F4610B">
              <w:rPr>
                <w:rStyle w:val="Hipercze"/>
                <w:noProof/>
              </w:rPr>
              <w:t>4.3 Centrum kultury</w:t>
            </w:r>
            <w:r w:rsidR="00CC6C79">
              <w:rPr>
                <w:noProof/>
                <w:webHidden/>
              </w:rPr>
              <w:tab/>
            </w:r>
            <w:r w:rsidR="00CC6C79">
              <w:rPr>
                <w:noProof/>
                <w:webHidden/>
              </w:rPr>
              <w:fldChar w:fldCharType="begin"/>
            </w:r>
            <w:r w:rsidR="00CC6C79">
              <w:rPr>
                <w:noProof/>
                <w:webHidden/>
              </w:rPr>
              <w:instrText xml:space="preserve"> PAGEREF _Toc73534945 \h </w:instrText>
            </w:r>
            <w:r w:rsidR="00CC6C79">
              <w:rPr>
                <w:noProof/>
                <w:webHidden/>
              </w:rPr>
            </w:r>
            <w:r w:rsidR="00CC6C79">
              <w:rPr>
                <w:noProof/>
                <w:webHidden/>
              </w:rPr>
              <w:fldChar w:fldCharType="separate"/>
            </w:r>
            <w:r w:rsidR="00AD58C3">
              <w:rPr>
                <w:noProof/>
                <w:webHidden/>
              </w:rPr>
              <w:t>118</w:t>
            </w:r>
            <w:r w:rsidR="00CC6C79">
              <w:rPr>
                <w:noProof/>
                <w:webHidden/>
              </w:rPr>
              <w:fldChar w:fldCharType="end"/>
            </w:r>
          </w:hyperlink>
        </w:p>
        <w:p w14:paraId="23235C9D" w14:textId="68E0A558" w:rsidR="00CC6C79" w:rsidRDefault="00D22FE8">
          <w:pPr>
            <w:pStyle w:val="Spistreci3"/>
            <w:rPr>
              <w:rFonts w:eastAsiaTheme="minorEastAsia"/>
              <w:noProof/>
              <w:lang w:eastAsia="pl-PL"/>
            </w:rPr>
          </w:pPr>
          <w:hyperlink w:anchor="_Toc73534946" w:history="1">
            <w:r w:rsidR="00CC6C79" w:rsidRPr="00F4610B">
              <w:rPr>
                <w:rStyle w:val="Hipercze"/>
                <w:noProof/>
              </w:rPr>
              <w:t>4.3.1 Potencjał dziedzictwa kulturowego</w:t>
            </w:r>
            <w:r w:rsidR="00CC6C79">
              <w:rPr>
                <w:noProof/>
                <w:webHidden/>
              </w:rPr>
              <w:tab/>
            </w:r>
            <w:r w:rsidR="00CC6C79">
              <w:rPr>
                <w:noProof/>
                <w:webHidden/>
              </w:rPr>
              <w:fldChar w:fldCharType="begin"/>
            </w:r>
            <w:r w:rsidR="00CC6C79">
              <w:rPr>
                <w:noProof/>
                <w:webHidden/>
              </w:rPr>
              <w:instrText xml:space="preserve"> PAGEREF _Toc73534946 \h </w:instrText>
            </w:r>
            <w:r w:rsidR="00CC6C79">
              <w:rPr>
                <w:noProof/>
                <w:webHidden/>
              </w:rPr>
            </w:r>
            <w:r w:rsidR="00CC6C79">
              <w:rPr>
                <w:noProof/>
                <w:webHidden/>
              </w:rPr>
              <w:fldChar w:fldCharType="separate"/>
            </w:r>
            <w:r w:rsidR="00AD58C3">
              <w:rPr>
                <w:noProof/>
                <w:webHidden/>
              </w:rPr>
              <w:t>118</w:t>
            </w:r>
            <w:r w:rsidR="00CC6C79">
              <w:rPr>
                <w:noProof/>
                <w:webHidden/>
              </w:rPr>
              <w:fldChar w:fldCharType="end"/>
            </w:r>
          </w:hyperlink>
        </w:p>
        <w:p w14:paraId="1EA4BB7E" w14:textId="1EB3A2AA" w:rsidR="00CC6C79" w:rsidRDefault="00D22FE8">
          <w:pPr>
            <w:pStyle w:val="Spistreci3"/>
            <w:rPr>
              <w:rFonts w:eastAsiaTheme="minorEastAsia"/>
              <w:noProof/>
              <w:lang w:eastAsia="pl-PL"/>
            </w:rPr>
          </w:pPr>
          <w:hyperlink w:anchor="_Toc73534947" w:history="1">
            <w:r w:rsidR="00CC6C79" w:rsidRPr="00F4610B">
              <w:rPr>
                <w:rStyle w:val="Hipercze"/>
                <w:noProof/>
              </w:rPr>
              <w:t>4.3.2 Uczestnictwo w kulturze</w:t>
            </w:r>
            <w:r w:rsidR="00CC6C79">
              <w:rPr>
                <w:noProof/>
                <w:webHidden/>
              </w:rPr>
              <w:tab/>
            </w:r>
            <w:r w:rsidR="00CC6C79">
              <w:rPr>
                <w:noProof/>
                <w:webHidden/>
              </w:rPr>
              <w:fldChar w:fldCharType="begin"/>
            </w:r>
            <w:r w:rsidR="00CC6C79">
              <w:rPr>
                <w:noProof/>
                <w:webHidden/>
              </w:rPr>
              <w:instrText xml:space="preserve"> PAGEREF _Toc73534947 \h </w:instrText>
            </w:r>
            <w:r w:rsidR="00CC6C79">
              <w:rPr>
                <w:noProof/>
                <w:webHidden/>
              </w:rPr>
            </w:r>
            <w:r w:rsidR="00CC6C79">
              <w:rPr>
                <w:noProof/>
                <w:webHidden/>
              </w:rPr>
              <w:fldChar w:fldCharType="separate"/>
            </w:r>
            <w:r w:rsidR="00AD58C3">
              <w:rPr>
                <w:noProof/>
                <w:webHidden/>
              </w:rPr>
              <w:t>122</w:t>
            </w:r>
            <w:r w:rsidR="00CC6C79">
              <w:rPr>
                <w:noProof/>
                <w:webHidden/>
              </w:rPr>
              <w:fldChar w:fldCharType="end"/>
            </w:r>
          </w:hyperlink>
        </w:p>
        <w:p w14:paraId="30B99D0D" w14:textId="3F0EE360" w:rsidR="00CC6C79" w:rsidRDefault="00D22FE8">
          <w:pPr>
            <w:pStyle w:val="Spistreci3"/>
            <w:rPr>
              <w:rFonts w:eastAsiaTheme="minorEastAsia"/>
              <w:noProof/>
              <w:lang w:eastAsia="pl-PL"/>
            </w:rPr>
          </w:pPr>
          <w:hyperlink w:anchor="_Toc73534948" w:history="1">
            <w:r w:rsidR="00CC6C79" w:rsidRPr="00F4610B">
              <w:rPr>
                <w:rStyle w:val="Hipercze"/>
                <w:noProof/>
              </w:rPr>
              <w:t>4.3.3 Organizacje pozarządowe z obszaru kultury</w:t>
            </w:r>
            <w:r w:rsidR="00CC6C79">
              <w:rPr>
                <w:noProof/>
                <w:webHidden/>
              </w:rPr>
              <w:tab/>
            </w:r>
            <w:r w:rsidR="00CC6C79">
              <w:rPr>
                <w:noProof/>
                <w:webHidden/>
              </w:rPr>
              <w:fldChar w:fldCharType="begin"/>
            </w:r>
            <w:r w:rsidR="00CC6C79">
              <w:rPr>
                <w:noProof/>
                <w:webHidden/>
              </w:rPr>
              <w:instrText xml:space="preserve"> PAGEREF _Toc73534948 \h </w:instrText>
            </w:r>
            <w:r w:rsidR="00CC6C79">
              <w:rPr>
                <w:noProof/>
                <w:webHidden/>
              </w:rPr>
            </w:r>
            <w:r w:rsidR="00CC6C79">
              <w:rPr>
                <w:noProof/>
                <w:webHidden/>
              </w:rPr>
              <w:fldChar w:fldCharType="separate"/>
            </w:r>
            <w:r w:rsidR="00AD58C3">
              <w:rPr>
                <w:noProof/>
                <w:webHidden/>
              </w:rPr>
              <w:t>124</w:t>
            </w:r>
            <w:r w:rsidR="00CC6C79">
              <w:rPr>
                <w:noProof/>
                <w:webHidden/>
              </w:rPr>
              <w:fldChar w:fldCharType="end"/>
            </w:r>
          </w:hyperlink>
        </w:p>
        <w:p w14:paraId="5BCAD21D" w14:textId="5D89B626" w:rsidR="00CC6C79" w:rsidRDefault="00D22FE8">
          <w:pPr>
            <w:pStyle w:val="Spistreci1"/>
            <w:tabs>
              <w:tab w:val="left" w:pos="440"/>
              <w:tab w:val="right" w:leader="dot" w:pos="9062"/>
            </w:tabs>
            <w:rPr>
              <w:rFonts w:eastAsiaTheme="minorEastAsia"/>
              <w:noProof/>
              <w:lang w:eastAsia="pl-PL"/>
            </w:rPr>
          </w:pPr>
          <w:hyperlink w:anchor="_Toc73534949" w:history="1">
            <w:r w:rsidR="00CC6C79" w:rsidRPr="00F4610B">
              <w:rPr>
                <w:rStyle w:val="Hipercze"/>
                <w:noProof/>
              </w:rPr>
              <w:t>5.</w:t>
            </w:r>
            <w:r w:rsidR="00CC6C79">
              <w:rPr>
                <w:rFonts w:eastAsiaTheme="minorEastAsia"/>
                <w:noProof/>
                <w:lang w:eastAsia="pl-PL"/>
              </w:rPr>
              <w:tab/>
            </w:r>
            <w:r w:rsidR="00CC6C79" w:rsidRPr="00F4610B">
              <w:rPr>
                <w:rStyle w:val="Hipercze"/>
                <w:noProof/>
              </w:rPr>
              <w:t>Dostępność komunikacyjna</w:t>
            </w:r>
            <w:r w:rsidR="00CC6C79">
              <w:rPr>
                <w:noProof/>
                <w:webHidden/>
              </w:rPr>
              <w:tab/>
            </w:r>
            <w:r w:rsidR="00CC6C79">
              <w:rPr>
                <w:noProof/>
                <w:webHidden/>
              </w:rPr>
              <w:fldChar w:fldCharType="begin"/>
            </w:r>
            <w:r w:rsidR="00CC6C79">
              <w:rPr>
                <w:noProof/>
                <w:webHidden/>
              </w:rPr>
              <w:instrText xml:space="preserve"> PAGEREF _Toc73534949 \h </w:instrText>
            </w:r>
            <w:r w:rsidR="00CC6C79">
              <w:rPr>
                <w:noProof/>
                <w:webHidden/>
              </w:rPr>
            </w:r>
            <w:r w:rsidR="00CC6C79">
              <w:rPr>
                <w:noProof/>
                <w:webHidden/>
              </w:rPr>
              <w:fldChar w:fldCharType="separate"/>
            </w:r>
            <w:r w:rsidR="00AD58C3">
              <w:rPr>
                <w:noProof/>
                <w:webHidden/>
              </w:rPr>
              <w:t>126</w:t>
            </w:r>
            <w:r w:rsidR="00CC6C79">
              <w:rPr>
                <w:noProof/>
                <w:webHidden/>
              </w:rPr>
              <w:fldChar w:fldCharType="end"/>
            </w:r>
          </w:hyperlink>
        </w:p>
        <w:p w14:paraId="0EEB8CF0" w14:textId="1B0A0DB3" w:rsidR="00CC6C79" w:rsidRDefault="00D22FE8">
          <w:pPr>
            <w:pStyle w:val="Spistreci2"/>
            <w:tabs>
              <w:tab w:val="right" w:leader="dot" w:pos="9062"/>
            </w:tabs>
            <w:rPr>
              <w:rFonts w:eastAsiaTheme="minorEastAsia"/>
              <w:noProof/>
              <w:lang w:eastAsia="pl-PL"/>
            </w:rPr>
          </w:pPr>
          <w:hyperlink w:anchor="_Toc73534950" w:history="1">
            <w:r w:rsidR="00CC6C79" w:rsidRPr="00F4610B">
              <w:rPr>
                <w:rStyle w:val="Hipercze"/>
                <w:noProof/>
              </w:rPr>
              <w:t>5.1 System drogowy</w:t>
            </w:r>
            <w:r w:rsidR="00CC6C79">
              <w:rPr>
                <w:noProof/>
                <w:webHidden/>
              </w:rPr>
              <w:tab/>
            </w:r>
            <w:r w:rsidR="00CC6C79">
              <w:rPr>
                <w:noProof/>
                <w:webHidden/>
              </w:rPr>
              <w:fldChar w:fldCharType="begin"/>
            </w:r>
            <w:r w:rsidR="00CC6C79">
              <w:rPr>
                <w:noProof/>
                <w:webHidden/>
              </w:rPr>
              <w:instrText xml:space="preserve"> PAGEREF _Toc73534950 \h </w:instrText>
            </w:r>
            <w:r w:rsidR="00CC6C79">
              <w:rPr>
                <w:noProof/>
                <w:webHidden/>
              </w:rPr>
            </w:r>
            <w:r w:rsidR="00CC6C79">
              <w:rPr>
                <w:noProof/>
                <w:webHidden/>
              </w:rPr>
              <w:fldChar w:fldCharType="separate"/>
            </w:r>
            <w:r w:rsidR="00AD58C3">
              <w:rPr>
                <w:noProof/>
                <w:webHidden/>
              </w:rPr>
              <w:t>129</w:t>
            </w:r>
            <w:r w:rsidR="00CC6C79">
              <w:rPr>
                <w:noProof/>
                <w:webHidden/>
              </w:rPr>
              <w:fldChar w:fldCharType="end"/>
            </w:r>
          </w:hyperlink>
        </w:p>
        <w:p w14:paraId="7D8A83F6" w14:textId="2FC60A92" w:rsidR="00CC6C79" w:rsidRDefault="00D22FE8">
          <w:pPr>
            <w:pStyle w:val="Spistreci2"/>
            <w:tabs>
              <w:tab w:val="right" w:leader="dot" w:pos="9062"/>
            </w:tabs>
            <w:rPr>
              <w:rFonts w:eastAsiaTheme="minorEastAsia"/>
              <w:noProof/>
              <w:lang w:eastAsia="pl-PL"/>
            </w:rPr>
          </w:pPr>
          <w:hyperlink w:anchor="_Toc73534951" w:history="1">
            <w:r w:rsidR="00CC6C79" w:rsidRPr="00F4610B">
              <w:rPr>
                <w:rStyle w:val="Hipercze"/>
                <w:noProof/>
              </w:rPr>
              <w:t>5.2 System kolejowy</w:t>
            </w:r>
            <w:r w:rsidR="00CC6C79">
              <w:rPr>
                <w:noProof/>
                <w:webHidden/>
              </w:rPr>
              <w:tab/>
            </w:r>
            <w:r w:rsidR="00CC6C79">
              <w:rPr>
                <w:noProof/>
                <w:webHidden/>
              </w:rPr>
              <w:fldChar w:fldCharType="begin"/>
            </w:r>
            <w:r w:rsidR="00CC6C79">
              <w:rPr>
                <w:noProof/>
                <w:webHidden/>
              </w:rPr>
              <w:instrText xml:space="preserve"> PAGEREF _Toc73534951 \h </w:instrText>
            </w:r>
            <w:r w:rsidR="00CC6C79">
              <w:rPr>
                <w:noProof/>
                <w:webHidden/>
              </w:rPr>
            </w:r>
            <w:r w:rsidR="00CC6C79">
              <w:rPr>
                <w:noProof/>
                <w:webHidden/>
              </w:rPr>
              <w:fldChar w:fldCharType="separate"/>
            </w:r>
            <w:r w:rsidR="00AD58C3">
              <w:rPr>
                <w:noProof/>
                <w:webHidden/>
              </w:rPr>
              <w:t>139</w:t>
            </w:r>
            <w:r w:rsidR="00CC6C79">
              <w:rPr>
                <w:noProof/>
                <w:webHidden/>
              </w:rPr>
              <w:fldChar w:fldCharType="end"/>
            </w:r>
          </w:hyperlink>
        </w:p>
        <w:p w14:paraId="45F57E16" w14:textId="4B6D7F3D" w:rsidR="00CC6C79" w:rsidRDefault="00D22FE8">
          <w:pPr>
            <w:pStyle w:val="Spistreci2"/>
            <w:tabs>
              <w:tab w:val="right" w:leader="dot" w:pos="9062"/>
            </w:tabs>
            <w:rPr>
              <w:rFonts w:eastAsiaTheme="minorEastAsia"/>
              <w:noProof/>
              <w:lang w:eastAsia="pl-PL"/>
            </w:rPr>
          </w:pPr>
          <w:hyperlink w:anchor="_Toc73534952" w:history="1">
            <w:r w:rsidR="00CC6C79" w:rsidRPr="00F4610B">
              <w:rPr>
                <w:rStyle w:val="Hipercze"/>
                <w:noProof/>
              </w:rPr>
              <w:t>5.3 Węzły przesiadkowe</w:t>
            </w:r>
            <w:r w:rsidR="00CC6C79">
              <w:rPr>
                <w:noProof/>
                <w:webHidden/>
              </w:rPr>
              <w:tab/>
            </w:r>
            <w:r w:rsidR="00CC6C79">
              <w:rPr>
                <w:noProof/>
                <w:webHidden/>
              </w:rPr>
              <w:fldChar w:fldCharType="begin"/>
            </w:r>
            <w:r w:rsidR="00CC6C79">
              <w:rPr>
                <w:noProof/>
                <w:webHidden/>
              </w:rPr>
              <w:instrText xml:space="preserve"> PAGEREF _Toc73534952 \h </w:instrText>
            </w:r>
            <w:r w:rsidR="00CC6C79">
              <w:rPr>
                <w:noProof/>
                <w:webHidden/>
              </w:rPr>
            </w:r>
            <w:r w:rsidR="00CC6C79">
              <w:rPr>
                <w:noProof/>
                <w:webHidden/>
              </w:rPr>
              <w:fldChar w:fldCharType="separate"/>
            </w:r>
            <w:r w:rsidR="00AD58C3">
              <w:rPr>
                <w:noProof/>
                <w:webHidden/>
              </w:rPr>
              <w:t>140</w:t>
            </w:r>
            <w:r w:rsidR="00CC6C79">
              <w:rPr>
                <w:noProof/>
                <w:webHidden/>
              </w:rPr>
              <w:fldChar w:fldCharType="end"/>
            </w:r>
          </w:hyperlink>
        </w:p>
        <w:p w14:paraId="75F2E66F" w14:textId="075A0497" w:rsidR="00CC6C79" w:rsidRDefault="00D22FE8">
          <w:pPr>
            <w:pStyle w:val="Spistreci2"/>
            <w:tabs>
              <w:tab w:val="right" w:leader="dot" w:pos="9062"/>
            </w:tabs>
            <w:rPr>
              <w:rFonts w:eastAsiaTheme="minorEastAsia"/>
              <w:noProof/>
              <w:lang w:eastAsia="pl-PL"/>
            </w:rPr>
          </w:pPr>
          <w:hyperlink w:anchor="_Toc73534953" w:history="1">
            <w:r w:rsidR="00CC6C79" w:rsidRPr="00F4610B">
              <w:rPr>
                <w:rStyle w:val="Hipercze"/>
                <w:noProof/>
              </w:rPr>
              <w:t>5.4 Transport lotniczy</w:t>
            </w:r>
            <w:r w:rsidR="00CC6C79">
              <w:rPr>
                <w:noProof/>
                <w:webHidden/>
              </w:rPr>
              <w:tab/>
            </w:r>
            <w:r w:rsidR="00CC6C79">
              <w:rPr>
                <w:noProof/>
                <w:webHidden/>
              </w:rPr>
              <w:fldChar w:fldCharType="begin"/>
            </w:r>
            <w:r w:rsidR="00CC6C79">
              <w:rPr>
                <w:noProof/>
                <w:webHidden/>
              </w:rPr>
              <w:instrText xml:space="preserve"> PAGEREF _Toc73534953 \h </w:instrText>
            </w:r>
            <w:r w:rsidR="00CC6C79">
              <w:rPr>
                <w:noProof/>
                <w:webHidden/>
              </w:rPr>
            </w:r>
            <w:r w:rsidR="00CC6C79">
              <w:rPr>
                <w:noProof/>
                <w:webHidden/>
              </w:rPr>
              <w:fldChar w:fldCharType="separate"/>
            </w:r>
            <w:r w:rsidR="00AD58C3">
              <w:rPr>
                <w:noProof/>
                <w:webHidden/>
              </w:rPr>
              <w:t>140</w:t>
            </w:r>
            <w:r w:rsidR="00CC6C79">
              <w:rPr>
                <w:noProof/>
                <w:webHidden/>
              </w:rPr>
              <w:fldChar w:fldCharType="end"/>
            </w:r>
          </w:hyperlink>
        </w:p>
        <w:p w14:paraId="027F255E" w14:textId="69C9506A" w:rsidR="00CC6C79" w:rsidRDefault="00D22FE8">
          <w:pPr>
            <w:pStyle w:val="Spistreci1"/>
            <w:tabs>
              <w:tab w:val="left" w:pos="440"/>
              <w:tab w:val="right" w:leader="dot" w:pos="9062"/>
            </w:tabs>
            <w:rPr>
              <w:rFonts w:eastAsiaTheme="minorEastAsia"/>
              <w:noProof/>
              <w:lang w:eastAsia="pl-PL"/>
            </w:rPr>
          </w:pPr>
          <w:hyperlink w:anchor="_Toc73534954" w:history="1">
            <w:r w:rsidR="00CC6C79" w:rsidRPr="00F4610B">
              <w:rPr>
                <w:rStyle w:val="Hipercze"/>
                <w:rFonts w:cstheme="minorHAnsi"/>
                <w:noProof/>
              </w:rPr>
              <w:t>6.</w:t>
            </w:r>
            <w:r w:rsidR="00CC6C79">
              <w:rPr>
                <w:rFonts w:eastAsiaTheme="minorEastAsia"/>
                <w:noProof/>
                <w:lang w:eastAsia="pl-PL"/>
              </w:rPr>
              <w:tab/>
            </w:r>
            <w:r w:rsidR="00CC6C79" w:rsidRPr="00F4610B">
              <w:rPr>
                <w:rStyle w:val="Hipercze"/>
                <w:rFonts w:cstheme="minorHAnsi"/>
                <w:noProof/>
              </w:rPr>
              <w:t>Uwarunkowania związane z pandemią COVID-19</w:t>
            </w:r>
            <w:r w:rsidR="00CC6C79">
              <w:rPr>
                <w:noProof/>
                <w:webHidden/>
              </w:rPr>
              <w:tab/>
            </w:r>
            <w:r w:rsidR="00CC6C79">
              <w:rPr>
                <w:noProof/>
                <w:webHidden/>
              </w:rPr>
              <w:fldChar w:fldCharType="begin"/>
            </w:r>
            <w:r w:rsidR="00CC6C79">
              <w:rPr>
                <w:noProof/>
                <w:webHidden/>
              </w:rPr>
              <w:instrText xml:space="preserve"> PAGEREF _Toc73534954 \h </w:instrText>
            </w:r>
            <w:r w:rsidR="00CC6C79">
              <w:rPr>
                <w:noProof/>
                <w:webHidden/>
              </w:rPr>
            </w:r>
            <w:r w:rsidR="00CC6C79">
              <w:rPr>
                <w:noProof/>
                <w:webHidden/>
              </w:rPr>
              <w:fldChar w:fldCharType="separate"/>
            </w:r>
            <w:r w:rsidR="00AD58C3">
              <w:rPr>
                <w:noProof/>
                <w:webHidden/>
              </w:rPr>
              <w:t>141</w:t>
            </w:r>
            <w:r w:rsidR="00CC6C79">
              <w:rPr>
                <w:noProof/>
                <w:webHidden/>
              </w:rPr>
              <w:fldChar w:fldCharType="end"/>
            </w:r>
          </w:hyperlink>
        </w:p>
        <w:p w14:paraId="62C93022" w14:textId="1A49E4B6" w:rsidR="00CC6C79" w:rsidRDefault="00D22FE8">
          <w:pPr>
            <w:pStyle w:val="Spistreci2"/>
            <w:tabs>
              <w:tab w:val="right" w:leader="dot" w:pos="9062"/>
            </w:tabs>
            <w:rPr>
              <w:rFonts w:eastAsiaTheme="minorEastAsia"/>
              <w:noProof/>
              <w:lang w:eastAsia="pl-PL"/>
            </w:rPr>
          </w:pPr>
          <w:hyperlink w:anchor="_Toc73534955" w:history="1">
            <w:r w:rsidR="00CC6C79" w:rsidRPr="00F4610B">
              <w:rPr>
                <w:rStyle w:val="Hipercze"/>
                <w:rFonts w:cstheme="minorHAnsi"/>
                <w:noProof/>
              </w:rPr>
              <w:t>6.1. Przyspieszenie cyfryzacji</w:t>
            </w:r>
            <w:r w:rsidR="00CC6C79">
              <w:rPr>
                <w:noProof/>
                <w:webHidden/>
              </w:rPr>
              <w:tab/>
            </w:r>
            <w:r w:rsidR="00CC6C79">
              <w:rPr>
                <w:noProof/>
                <w:webHidden/>
              </w:rPr>
              <w:fldChar w:fldCharType="begin"/>
            </w:r>
            <w:r w:rsidR="00CC6C79">
              <w:rPr>
                <w:noProof/>
                <w:webHidden/>
              </w:rPr>
              <w:instrText xml:space="preserve"> PAGEREF _Toc73534955 \h </w:instrText>
            </w:r>
            <w:r w:rsidR="00CC6C79">
              <w:rPr>
                <w:noProof/>
                <w:webHidden/>
              </w:rPr>
            </w:r>
            <w:r w:rsidR="00CC6C79">
              <w:rPr>
                <w:noProof/>
                <w:webHidden/>
              </w:rPr>
              <w:fldChar w:fldCharType="separate"/>
            </w:r>
            <w:r w:rsidR="00AD58C3">
              <w:rPr>
                <w:noProof/>
                <w:webHidden/>
              </w:rPr>
              <w:t>141</w:t>
            </w:r>
            <w:r w:rsidR="00CC6C79">
              <w:rPr>
                <w:noProof/>
                <w:webHidden/>
              </w:rPr>
              <w:fldChar w:fldCharType="end"/>
            </w:r>
          </w:hyperlink>
        </w:p>
        <w:p w14:paraId="5B486FE7" w14:textId="34EB9269" w:rsidR="00CC6C79" w:rsidRDefault="00D22FE8">
          <w:pPr>
            <w:pStyle w:val="Spistreci2"/>
            <w:tabs>
              <w:tab w:val="right" w:leader="dot" w:pos="9062"/>
            </w:tabs>
            <w:rPr>
              <w:rFonts w:eastAsiaTheme="minorEastAsia"/>
              <w:noProof/>
              <w:lang w:eastAsia="pl-PL"/>
            </w:rPr>
          </w:pPr>
          <w:hyperlink w:anchor="_Toc73534956" w:history="1">
            <w:r w:rsidR="00CC6C79" w:rsidRPr="00F4610B">
              <w:rPr>
                <w:rStyle w:val="Hipercze"/>
                <w:rFonts w:cstheme="minorHAnsi"/>
                <w:noProof/>
              </w:rPr>
              <w:t>6.2. Zdrowie publiczne</w:t>
            </w:r>
            <w:r w:rsidR="00CC6C79">
              <w:rPr>
                <w:noProof/>
                <w:webHidden/>
              </w:rPr>
              <w:tab/>
            </w:r>
            <w:r w:rsidR="00CC6C79">
              <w:rPr>
                <w:noProof/>
                <w:webHidden/>
              </w:rPr>
              <w:fldChar w:fldCharType="begin"/>
            </w:r>
            <w:r w:rsidR="00CC6C79">
              <w:rPr>
                <w:noProof/>
                <w:webHidden/>
              </w:rPr>
              <w:instrText xml:space="preserve"> PAGEREF _Toc73534956 \h </w:instrText>
            </w:r>
            <w:r w:rsidR="00CC6C79">
              <w:rPr>
                <w:noProof/>
                <w:webHidden/>
              </w:rPr>
            </w:r>
            <w:r w:rsidR="00CC6C79">
              <w:rPr>
                <w:noProof/>
                <w:webHidden/>
              </w:rPr>
              <w:fldChar w:fldCharType="separate"/>
            </w:r>
            <w:r w:rsidR="00AD58C3">
              <w:rPr>
                <w:noProof/>
                <w:webHidden/>
              </w:rPr>
              <w:t>142</w:t>
            </w:r>
            <w:r w:rsidR="00CC6C79">
              <w:rPr>
                <w:noProof/>
                <w:webHidden/>
              </w:rPr>
              <w:fldChar w:fldCharType="end"/>
            </w:r>
          </w:hyperlink>
        </w:p>
        <w:p w14:paraId="04F9E2D0" w14:textId="1519BEC3" w:rsidR="00CC6C79" w:rsidRDefault="00D22FE8">
          <w:pPr>
            <w:pStyle w:val="Spistreci2"/>
            <w:tabs>
              <w:tab w:val="right" w:leader="dot" w:pos="9062"/>
            </w:tabs>
            <w:rPr>
              <w:rFonts w:eastAsiaTheme="minorEastAsia"/>
              <w:noProof/>
              <w:lang w:eastAsia="pl-PL"/>
            </w:rPr>
          </w:pPr>
          <w:hyperlink w:anchor="_Toc73534957" w:history="1">
            <w:r w:rsidR="00CC6C79" w:rsidRPr="00F4610B">
              <w:rPr>
                <w:rStyle w:val="Hipercze"/>
                <w:rFonts w:cstheme="minorHAnsi"/>
                <w:noProof/>
              </w:rPr>
              <w:t>6.3. Edukacja</w:t>
            </w:r>
            <w:r w:rsidR="00CC6C79">
              <w:rPr>
                <w:noProof/>
                <w:webHidden/>
              </w:rPr>
              <w:tab/>
            </w:r>
            <w:r w:rsidR="00CC6C79">
              <w:rPr>
                <w:noProof/>
                <w:webHidden/>
              </w:rPr>
              <w:fldChar w:fldCharType="begin"/>
            </w:r>
            <w:r w:rsidR="00CC6C79">
              <w:rPr>
                <w:noProof/>
                <w:webHidden/>
              </w:rPr>
              <w:instrText xml:space="preserve"> PAGEREF _Toc73534957 \h </w:instrText>
            </w:r>
            <w:r w:rsidR="00CC6C79">
              <w:rPr>
                <w:noProof/>
                <w:webHidden/>
              </w:rPr>
            </w:r>
            <w:r w:rsidR="00CC6C79">
              <w:rPr>
                <w:noProof/>
                <w:webHidden/>
              </w:rPr>
              <w:fldChar w:fldCharType="separate"/>
            </w:r>
            <w:r w:rsidR="00AD58C3">
              <w:rPr>
                <w:noProof/>
                <w:webHidden/>
              </w:rPr>
              <w:t>142</w:t>
            </w:r>
            <w:r w:rsidR="00CC6C79">
              <w:rPr>
                <w:noProof/>
                <w:webHidden/>
              </w:rPr>
              <w:fldChar w:fldCharType="end"/>
            </w:r>
          </w:hyperlink>
        </w:p>
        <w:p w14:paraId="017EFCA4" w14:textId="06D7DF1A" w:rsidR="00CC6C79" w:rsidRDefault="00D22FE8">
          <w:pPr>
            <w:pStyle w:val="Spistreci2"/>
            <w:tabs>
              <w:tab w:val="right" w:leader="dot" w:pos="9062"/>
            </w:tabs>
            <w:rPr>
              <w:rFonts w:eastAsiaTheme="minorEastAsia"/>
              <w:noProof/>
              <w:lang w:eastAsia="pl-PL"/>
            </w:rPr>
          </w:pPr>
          <w:hyperlink w:anchor="_Toc73534958" w:history="1">
            <w:r w:rsidR="00CC6C79" w:rsidRPr="00F4610B">
              <w:rPr>
                <w:rStyle w:val="Hipercze"/>
                <w:rFonts w:cstheme="minorHAnsi"/>
                <w:noProof/>
              </w:rPr>
              <w:t>6.4. Mobilność miejska</w:t>
            </w:r>
            <w:r w:rsidR="00CC6C79">
              <w:rPr>
                <w:noProof/>
                <w:webHidden/>
              </w:rPr>
              <w:tab/>
            </w:r>
            <w:r w:rsidR="00CC6C79">
              <w:rPr>
                <w:noProof/>
                <w:webHidden/>
              </w:rPr>
              <w:fldChar w:fldCharType="begin"/>
            </w:r>
            <w:r w:rsidR="00CC6C79">
              <w:rPr>
                <w:noProof/>
                <w:webHidden/>
              </w:rPr>
              <w:instrText xml:space="preserve"> PAGEREF _Toc73534958 \h </w:instrText>
            </w:r>
            <w:r w:rsidR="00CC6C79">
              <w:rPr>
                <w:noProof/>
                <w:webHidden/>
              </w:rPr>
            </w:r>
            <w:r w:rsidR="00CC6C79">
              <w:rPr>
                <w:noProof/>
                <w:webHidden/>
              </w:rPr>
              <w:fldChar w:fldCharType="separate"/>
            </w:r>
            <w:r w:rsidR="00AD58C3">
              <w:rPr>
                <w:noProof/>
                <w:webHidden/>
              </w:rPr>
              <w:t>143</w:t>
            </w:r>
            <w:r w:rsidR="00CC6C79">
              <w:rPr>
                <w:noProof/>
                <w:webHidden/>
              </w:rPr>
              <w:fldChar w:fldCharType="end"/>
            </w:r>
          </w:hyperlink>
        </w:p>
        <w:p w14:paraId="7FAEC018" w14:textId="06D73F30" w:rsidR="00CC6C79" w:rsidRDefault="00D22FE8">
          <w:pPr>
            <w:pStyle w:val="Spistreci2"/>
            <w:tabs>
              <w:tab w:val="right" w:leader="dot" w:pos="9062"/>
            </w:tabs>
            <w:rPr>
              <w:rFonts w:eastAsiaTheme="minorEastAsia"/>
              <w:noProof/>
              <w:lang w:eastAsia="pl-PL"/>
            </w:rPr>
          </w:pPr>
          <w:hyperlink w:anchor="_Toc73534959" w:history="1">
            <w:r w:rsidR="00CC6C79" w:rsidRPr="00F4610B">
              <w:rPr>
                <w:rStyle w:val="Hipercze"/>
                <w:rFonts w:cstheme="minorHAnsi"/>
                <w:noProof/>
              </w:rPr>
              <w:t>6.5. Przestrzenie publiczne</w:t>
            </w:r>
            <w:r w:rsidR="00CC6C79">
              <w:rPr>
                <w:noProof/>
                <w:webHidden/>
              </w:rPr>
              <w:tab/>
            </w:r>
            <w:r w:rsidR="00CC6C79">
              <w:rPr>
                <w:noProof/>
                <w:webHidden/>
              </w:rPr>
              <w:fldChar w:fldCharType="begin"/>
            </w:r>
            <w:r w:rsidR="00CC6C79">
              <w:rPr>
                <w:noProof/>
                <w:webHidden/>
              </w:rPr>
              <w:instrText xml:space="preserve"> PAGEREF _Toc73534959 \h </w:instrText>
            </w:r>
            <w:r w:rsidR="00CC6C79">
              <w:rPr>
                <w:noProof/>
                <w:webHidden/>
              </w:rPr>
            </w:r>
            <w:r w:rsidR="00CC6C79">
              <w:rPr>
                <w:noProof/>
                <w:webHidden/>
              </w:rPr>
              <w:fldChar w:fldCharType="separate"/>
            </w:r>
            <w:r w:rsidR="00AD58C3">
              <w:rPr>
                <w:noProof/>
                <w:webHidden/>
              </w:rPr>
              <w:t>144</w:t>
            </w:r>
            <w:r w:rsidR="00CC6C79">
              <w:rPr>
                <w:noProof/>
                <w:webHidden/>
              </w:rPr>
              <w:fldChar w:fldCharType="end"/>
            </w:r>
          </w:hyperlink>
        </w:p>
        <w:p w14:paraId="6E0C527A" w14:textId="2CA8C5FF" w:rsidR="00CC6C79" w:rsidRDefault="00D22FE8">
          <w:pPr>
            <w:pStyle w:val="Spistreci2"/>
            <w:tabs>
              <w:tab w:val="right" w:leader="dot" w:pos="9062"/>
            </w:tabs>
            <w:rPr>
              <w:rFonts w:eastAsiaTheme="minorEastAsia"/>
              <w:noProof/>
              <w:lang w:eastAsia="pl-PL"/>
            </w:rPr>
          </w:pPr>
          <w:hyperlink w:anchor="_Toc73534960" w:history="1">
            <w:r w:rsidR="00CC6C79" w:rsidRPr="00F4610B">
              <w:rPr>
                <w:rStyle w:val="Hipercze"/>
                <w:rFonts w:cstheme="minorHAnsi"/>
                <w:noProof/>
              </w:rPr>
              <w:t>6.6. Gospodarka</w:t>
            </w:r>
            <w:r w:rsidR="00CC6C79">
              <w:rPr>
                <w:noProof/>
                <w:webHidden/>
              </w:rPr>
              <w:tab/>
            </w:r>
            <w:r w:rsidR="00CC6C79">
              <w:rPr>
                <w:noProof/>
                <w:webHidden/>
              </w:rPr>
              <w:fldChar w:fldCharType="begin"/>
            </w:r>
            <w:r w:rsidR="00CC6C79">
              <w:rPr>
                <w:noProof/>
                <w:webHidden/>
              </w:rPr>
              <w:instrText xml:space="preserve"> PAGEREF _Toc73534960 \h </w:instrText>
            </w:r>
            <w:r w:rsidR="00CC6C79">
              <w:rPr>
                <w:noProof/>
                <w:webHidden/>
              </w:rPr>
            </w:r>
            <w:r w:rsidR="00CC6C79">
              <w:rPr>
                <w:noProof/>
                <w:webHidden/>
              </w:rPr>
              <w:fldChar w:fldCharType="separate"/>
            </w:r>
            <w:r w:rsidR="00AD58C3">
              <w:rPr>
                <w:noProof/>
                <w:webHidden/>
              </w:rPr>
              <w:t>145</w:t>
            </w:r>
            <w:r w:rsidR="00CC6C79">
              <w:rPr>
                <w:noProof/>
                <w:webHidden/>
              </w:rPr>
              <w:fldChar w:fldCharType="end"/>
            </w:r>
          </w:hyperlink>
        </w:p>
        <w:p w14:paraId="69C4FE24" w14:textId="314E0D0D" w:rsidR="00CC6C79" w:rsidRDefault="00D22FE8">
          <w:pPr>
            <w:pStyle w:val="Spistreci1"/>
            <w:tabs>
              <w:tab w:val="right" w:leader="dot" w:pos="9062"/>
            </w:tabs>
            <w:rPr>
              <w:rFonts w:eastAsiaTheme="minorEastAsia"/>
              <w:noProof/>
              <w:lang w:eastAsia="pl-PL"/>
            </w:rPr>
          </w:pPr>
          <w:hyperlink w:anchor="_Toc73534961" w:history="1">
            <w:r w:rsidR="00CC6C79" w:rsidRPr="00F4610B">
              <w:rPr>
                <w:rStyle w:val="Hipercze"/>
                <w:noProof/>
              </w:rPr>
              <w:t>INDEKS WYKRESÓW</w:t>
            </w:r>
            <w:r w:rsidR="00CC6C79">
              <w:rPr>
                <w:noProof/>
                <w:webHidden/>
              </w:rPr>
              <w:tab/>
            </w:r>
            <w:r w:rsidR="00CC6C79">
              <w:rPr>
                <w:noProof/>
                <w:webHidden/>
              </w:rPr>
              <w:fldChar w:fldCharType="begin"/>
            </w:r>
            <w:r w:rsidR="00CC6C79">
              <w:rPr>
                <w:noProof/>
                <w:webHidden/>
              </w:rPr>
              <w:instrText xml:space="preserve"> PAGEREF _Toc73534961 \h </w:instrText>
            </w:r>
            <w:r w:rsidR="00CC6C79">
              <w:rPr>
                <w:noProof/>
                <w:webHidden/>
              </w:rPr>
            </w:r>
            <w:r w:rsidR="00CC6C79">
              <w:rPr>
                <w:noProof/>
                <w:webHidden/>
              </w:rPr>
              <w:fldChar w:fldCharType="separate"/>
            </w:r>
            <w:r w:rsidR="00AD58C3">
              <w:rPr>
                <w:noProof/>
                <w:webHidden/>
              </w:rPr>
              <w:t>146</w:t>
            </w:r>
            <w:r w:rsidR="00CC6C79">
              <w:rPr>
                <w:noProof/>
                <w:webHidden/>
              </w:rPr>
              <w:fldChar w:fldCharType="end"/>
            </w:r>
          </w:hyperlink>
        </w:p>
        <w:p w14:paraId="4556939A" w14:textId="2A0ABE3A" w:rsidR="00CC6C79" w:rsidRDefault="00D22FE8">
          <w:pPr>
            <w:pStyle w:val="Spistreci1"/>
            <w:tabs>
              <w:tab w:val="right" w:leader="dot" w:pos="9062"/>
            </w:tabs>
            <w:rPr>
              <w:rFonts w:eastAsiaTheme="minorEastAsia"/>
              <w:noProof/>
              <w:lang w:eastAsia="pl-PL"/>
            </w:rPr>
          </w:pPr>
          <w:hyperlink w:anchor="_Toc73534962" w:history="1">
            <w:r w:rsidR="00CC6C79" w:rsidRPr="00F4610B">
              <w:rPr>
                <w:rStyle w:val="Hipercze"/>
                <w:noProof/>
              </w:rPr>
              <w:t>INDEKS RYSUNKÓW</w:t>
            </w:r>
            <w:r w:rsidR="00CC6C79">
              <w:rPr>
                <w:noProof/>
                <w:webHidden/>
              </w:rPr>
              <w:tab/>
            </w:r>
            <w:r w:rsidR="00CC6C79">
              <w:rPr>
                <w:noProof/>
                <w:webHidden/>
              </w:rPr>
              <w:fldChar w:fldCharType="begin"/>
            </w:r>
            <w:r w:rsidR="00CC6C79">
              <w:rPr>
                <w:noProof/>
                <w:webHidden/>
              </w:rPr>
              <w:instrText xml:space="preserve"> PAGEREF _Toc73534962 \h </w:instrText>
            </w:r>
            <w:r w:rsidR="00CC6C79">
              <w:rPr>
                <w:noProof/>
                <w:webHidden/>
              </w:rPr>
            </w:r>
            <w:r w:rsidR="00CC6C79">
              <w:rPr>
                <w:noProof/>
                <w:webHidden/>
              </w:rPr>
              <w:fldChar w:fldCharType="separate"/>
            </w:r>
            <w:r w:rsidR="00AD58C3">
              <w:rPr>
                <w:noProof/>
                <w:webHidden/>
              </w:rPr>
              <w:t>149</w:t>
            </w:r>
            <w:r w:rsidR="00CC6C79">
              <w:rPr>
                <w:noProof/>
                <w:webHidden/>
              </w:rPr>
              <w:fldChar w:fldCharType="end"/>
            </w:r>
          </w:hyperlink>
        </w:p>
        <w:p w14:paraId="256963B2" w14:textId="5739CC0E" w:rsidR="00CC6C79" w:rsidRDefault="00D22FE8">
          <w:pPr>
            <w:pStyle w:val="Spistreci1"/>
            <w:tabs>
              <w:tab w:val="right" w:leader="dot" w:pos="9062"/>
            </w:tabs>
            <w:rPr>
              <w:rFonts w:eastAsiaTheme="minorEastAsia"/>
              <w:noProof/>
              <w:lang w:eastAsia="pl-PL"/>
            </w:rPr>
          </w:pPr>
          <w:hyperlink w:anchor="_Toc73534963" w:history="1">
            <w:r w:rsidR="00CC6C79" w:rsidRPr="00F4610B">
              <w:rPr>
                <w:rStyle w:val="Hipercze"/>
                <w:noProof/>
              </w:rPr>
              <w:t>INDEKS TABEL</w:t>
            </w:r>
            <w:r w:rsidR="00CC6C79">
              <w:rPr>
                <w:noProof/>
                <w:webHidden/>
              </w:rPr>
              <w:tab/>
            </w:r>
            <w:r w:rsidR="00CC6C79">
              <w:rPr>
                <w:noProof/>
                <w:webHidden/>
              </w:rPr>
              <w:fldChar w:fldCharType="begin"/>
            </w:r>
            <w:r w:rsidR="00CC6C79">
              <w:rPr>
                <w:noProof/>
                <w:webHidden/>
              </w:rPr>
              <w:instrText xml:space="preserve"> PAGEREF _Toc73534963 \h </w:instrText>
            </w:r>
            <w:r w:rsidR="00CC6C79">
              <w:rPr>
                <w:noProof/>
                <w:webHidden/>
              </w:rPr>
            </w:r>
            <w:r w:rsidR="00CC6C79">
              <w:rPr>
                <w:noProof/>
                <w:webHidden/>
              </w:rPr>
              <w:fldChar w:fldCharType="separate"/>
            </w:r>
            <w:r w:rsidR="00AD58C3">
              <w:rPr>
                <w:noProof/>
                <w:webHidden/>
              </w:rPr>
              <w:t>150</w:t>
            </w:r>
            <w:r w:rsidR="00CC6C79">
              <w:rPr>
                <w:noProof/>
                <w:webHidden/>
              </w:rPr>
              <w:fldChar w:fldCharType="end"/>
            </w:r>
          </w:hyperlink>
        </w:p>
        <w:p w14:paraId="03C03831" w14:textId="226C0B50" w:rsidR="002D6EA9" w:rsidRDefault="002D6EA9" w:rsidP="002D6EA9">
          <w:pPr>
            <w:rPr>
              <w:b/>
              <w:bCs/>
            </w:rPr>
          </w:pPr>
          <w:r w:rsidRPr="00ED4EDD">
            <w:fldChar w:fldCharType="end"/>
          </w:r>
        </w:p>
      </w:sdtContent>
    </w:sdt>
    <w:p w14:paraId="0038569E" w14:textId="77777777" w:rsidR="00F630EF" w:rsidRDefault="00F630EF">
      <w:pPr>
        <w:rPr>
          <w:b/>
        </w:rPr>
      </w:pPr>
      <w:r>
        <w:rPr>
          <w:b/>
        </w:rPr>
        <w:br w:type="page"/>
      </w:r>
    </w:p>
    <w:p w14:paraId="0C5FA253" w14:textId="77777777" w:rsidR="00F630EF" w:rsidRDefault="00F630EF" w:rsidP="00F630EF">
      <w:pPr>
        <w:spacing w:before="120" w:after="120" w:line="360" w:lineRule="auto"/>
        <w:jc w:val="both"/>
      </w:pPr>
    </w:p>
    <w:p w14:paraId="4BE30319" w14:textId="77777777" w:rsidR="00F630EF" w:rsidRDefault="00F630EF" w:rsidP="00B41F45">
      <w:pPr>
        <w:jc w:val="both"/>
      </w:pPr>
      <w:r w:rsidRPr="004116A7">
        <w:t>W niniejszym opracowaniu Olsztyn porównywany będzie z czterema stolicami województw: lubelskiego, podkarpackiego, podlaskiego i świętokrzyskiego. O wyborze decydowało położenie na obszarze Polski Wschodniej. Pomimo szczegółowych różnic, wszystkie te Miasta zostały objęte dwoma cyklami programów operacyjnych mających na celu szeroko rozumiany roz</w:t>
      </w:r>
      <w:r>
        <w:t>wój wschodnich regionów Polski tj. Program Operacyjny Rozwój Polski Wschodniej na lata 2007-2013 oraz Program Operacyjny Polska Wschodnia 2014-2020.</w:t>
      </w:r>
    </w:p>
    <w:p w14:paraId="5EFAC018" w14:textId="77777777" w:rsidR="00F630EF" w:rsidRDefault="00F630EF" w:rsidP="00B41F45">
      <w:pPr>
        <w:jc w:val="both"/>
      </w:pPr>
      <w:r>
        <w:t xml:space="preserve">W całym opracowaniu poprzez </w:t>
      </w:r>
      <w:r w:rsidRPr="00913CBB">
        <w:rPr>
          <w:i/>
        </w:rPr>
        <w:t>otoczenie miasta</w:t>
      </w:r>
      <w:r>
        <w:t xml:space="preserve"> należy rozumień gminy graniczące z miastem wojewódzkim, wyznaczone jako jego obszar metropolitalny. Na otoczenie pięciu porównywanych miast składają się następujące gminy:</w:t>
      </w:r>
    </w:p>
    <w:p w14:paraId="54A84A75" w14:textId="77777777" w:rsidR="00F630EF" w:rsidRDefault="00F630EF" w:rsidP="00B41F45">
      <w:pPr>
        <w:ind w:left="142" w:hanging="142"/>
        <w:jc w:val="both"/>
      </w:pPr>
      <w:r>
        <w:t xml:space="preserve">- Miejski Obszar Metropolitalny Olszyna, dalej </w:t>
      </w:r>
      <w:r w:rsidRPr="00A74712">
        <w:rPr>
          <w:i/>
        </w:rPr>
        <w:t>MOF Olsztyna</w:t>
      </w:r>
      <w:r>
        <w:t xml:space="preserve"> –</w:t>
      </w:r>
      <w:r w:rsidRPr="00913CBB">
        <w:t xml:space="preserve"> </w:t>
      </w:r>
      <w:r>
        <w:t xml:space="preserve">Olsztyn, </w:t>
      </w:r>
      <w:r w:rsidRPr="00913CBB">
        <w:t>Barczewo, Dywity, Jonkowo, Gietrzwałd, Purda, Stawiguda</w:t>
      </w:r>
      <w:r>
        <w:t>,</w:t>
      </w:r>
    </w:p>
    <w:p w14:paraId="573D605D" w14:textId="77777777" w:rsidR="00F630EF" w:rsidRDefault="00F630EF" w:rsidP="00B41F45">
      <w:pPr>
        <w:ind w:left="142" w:hanging="142"/>
      </w:pPr>
      <w:r>
        <w:t xml:space="preserve">- Białostocki Obszar Metropolitalny, dalej </w:t>
      </w:r>
      <w:r w:rsidRPr="00A74712">
        <w:rPr>
          <w:i/>
        </w:rPr>
        <w:t>BOF</w:t>
      </w:r>
      <w:r>
        <w:t xml:space="preserve">  –</w:t>
      </w:r>
      <w:r w:rsidRPr="00913CBB">
        <w:t xml:space="preserve"> </w:t>
      </w:r>
      <w:r>
        <w:t xml:space="preserve">Białystok, </w:t>
      </w:r>
      <w:r w:rsidRPr="00913CBB">
        <w:t>Czarna Białostocka</w:t>
      </w:r>
      <w:r>
        <w:t>, Łapy, Wasilków, Supraśl, Zabłu</w:t>
      </w:r>
      <w:r w:rsidRPr="00913CBB">
        <w:t>dów, Juchnowiec Kościelny, Choroszcz, Dobrzyniewo Duże, Turośń Kościelna</w:t>
      </w:r>
      <w:r>
        <w:t>,</w:t>
      </w:r>
    </w:p>
    <w:p w14:paraId="68A6C545" w14:textId="77777777" w:rsidR="00F630EF" w:rsidRDefault="00F630EF" w:rsidP="00B41F45">
      <w:pPr>
        <w:ind w:left="142" w:hanging="142"/>
      </w:pPr>
      <w:r>
        <w:t xml:space="preserve">- Lubelski Obszar Metropolitalny, dalej </w:t>
      </w:r>
      <w:r w:rsidRPr="00A74712">
        <w:rPr>
          <w:i/>
        </w:rPr>
        <w:t>LOF</w:t>
      </w:r>
      <w:r>
        <w:t xml:space="preserve"> –</w:t>
      </w:r>
      <w:r w:rsidRPr="00440884">
        <w:t xml:space="preserve"> </w:t>
      </w:r>
      <w:r>
        <w:t xml:space="preserve">Lublin, </w:t>
      </w:r>
      <w:r w:rsidRPr="00440884">
        <w:t>Głusk, Jabłonna, Jastków, Konopnica, Luba</w:t>
      </w:r>
      <w:r w:rsidR="00F701F2">
        <w:t>rtów (gm. miejska), Lubartów (g</w:t>
      </w:r>
      <w:r w:rsidRPr="00440884">
        <w:t>m.</w:t>
      </w:r>
      <w:r w:rsidR="00F701F2">
        <w:t xml:space="preserve"> </w:t>
      </w:r>
      <w:r w:rsidRPr="00440884">
        <w:t>wiejska), Mełgiew, Nałęczów, Niedrzwica Duża, Niemce, Piaski, Spiczyn, Strzyżewice, Świdnik, Wólka</w:t>
      </w:r>
      <w:r>
        <w:t>,</w:t>
      </w:r>
    </w:p>
    <w:p w14:paraId="60EAE113" w14:textId="231CD065" w:rsidR="00F630EF" w:rsidRDefault="00F630EF" w:rsidP="00B41F45">
      <w:pPr>
        <w:ind w:left="142" w:hanging="142"/>
      </w:pPr>
      <w:r>
        <w:t>- Rzeszowsk</w:t>
      </w:r>
      <w:r w:rsidR="00A74712">
        <w:t xml:space="preserve">i Obszar Metropolitalny, dalej </w:t>
      </w:r>
      <w:r w:rsidRPr="00A74712">
        <w:rPr>
          <w:i/>
        </w:rPr>
        <w:t>ROF</w:t>
      </w:r>
      <w:r>
        <w:t xml:space="preserve"> - </w:t>
      </w:r>
      <w:r w:rsidRPr="00B43E6A">
        <w:t>Rzeszów, Głogów Małopolski, Trzebownisko, Czarna, Łańcut (m., gm.), Czudec, Krasne, Chmielnik,</w:t>
      </w:r>
      <w:r>
        <w:t xml:space="preserve"> </w:t>
      </w:r>
      <w:r w:rsidRPr="00B43E6A">
        <w:t>Tyczyn, Lubenia, Boguchwała, Świlcza</w:t>
      </w:r>
      <w:r w:rsidR="00281797">
        <w:t>,</w:t>
      </w:r>
    </w:p>
    <w:p w14:paraId="2DC97D28" w14:textId="77777777" w:rsidR="00F630EF" w:rsidRDefault="00F630EF" w:rsidP="00B41F45">
      <w:pPr>
        <w:ind w:left="142" w:hanging="142"/>
      </w:pPr>
      <w:r>
        <w:t>- Kieleck</w:t>
      </w:r>
      <w:r w:rsidR="00A74712">
        <w:t xml:space="preserve">i Obszar Metropolitalny, dalej </w:t>
      </w:r>
      <w:r w:rsidRPr="00A74712">
        <w:rPr>
          <w:i/>
        </w:rPr>
        <w:t>KOF</w:t>
      </w:r>
      <w:r>
        <w:t xml:space="preserve"> - </w:t>
      </w:r>
      <w:r w:rsidRPr="00BC18FC">
        <w:t>Kielce, Chęciny (m., gm.), Chmielnik (m., gm.), Daleszyce (m., gm.), Górno, Masłów, Miedziana Góra, Morawica (m., gm.), Piekoszów, Sitkówka-Nowiny, Strawczyn, Zagnańsk</w:t>
      </w:r>
      <w:r>
        <w:t>.</w:t>
      </w:r>
    </w:p>
    <w:p w14:paraId="25D3268C" w14:textId="77777777" w:rsidR="00F630EF" w:rsidRDefault="00F630EF" w:rsidP="00B41F45">
      <w:r>
        <w:t>W niektórych przypadkach, gdy dane w podziale na gminy nie były dostępne, za otoczenie uznano całe powiaty: olsztyński, białostocki, lubelski, rzeszowski, kielecki.</w:t>
      </w:r>
    </w:p>
    <w:p w14:paraId="307A997C" w14:textId="77777777" w:rsidR="007D3A60" w:rsidRDefault="007D3A60">
      <w:pPr>
        <w:rPr>
          <w:b/>
        </w:rPr>
      </w:pPr>
      <w:r>
        <w:rPr>
          <w:b/>
        </w:rPr>
        <w:br w:type="page"/>
      </w:r>
    </w:p>
    <w:p w14:paraId="6A5EEE9B" w14:textId="0A4A54C4" w:rsidR="002D6EA9" w:rsidRDefault="007D3A60" w:rsidP="00B811C7">
      <w:pPr>
        <w:pStyle w:val="Nagwek1"/>
        <w:numPr>
          <w:ilvl w:val="0"/>
          <w:numId w:val="31"/>
        </w:numPr>
        <w:ind w:left="426" w:hanging="426"/>
      </w:pPr>
      <w:bookmarkStart w:id="0" w:name="_Toc73534882"/>
      <w:r>
        <w:lastRenderedPageBreak/>
        <w:t>Kapitał społeczny</w:t>
      </w:r>
      <w:bookmarkEnd w:id="0"/>
    </w:p>
    <w:p w14:paraId="60A29388" w14:textId="77777777" w:rsidR="00B811C7" w:rsidRPr="00B811C7" w:rsidRDefault="00B811C7" w:rsidP="00B811C7"/>
    <w:p w14:paraId="7F8CB827" w14:textId="77777777" w:rsidR="007D3A60" w:rsidRDefault="0092279B" w:rsidP="007D3A60">
      <w:pPr>
        <w:pStyle w:val="Nagwek2"/>
      </w:pPr>
      <w:bookmarkStart w:id="1" w:name="_Toc73534883"/>
      <w:r>
        <w:t xml:space="preserve">1.1 </w:t>
      </w:r>
      <w:r w:rsidR="007D3A60">
        <w:t>Liczba i struktura mieszkańców</w:t>
      </w:r>
      <w:bookmarkEnd w:id="1"/>
    </w:p>
    <w:p w14:paraId="0DE7E33B" w14:textId="77777777" w:rsidR="007D3A60" w:rsidRDefault="0092279B" w:rsidP="007D3A60">
      <w:pPr>
        <w:pStyle w:val="Nagwek3"/>
      </w:pPr>
      <w:bookmarkStart w:id="2" w:name="_Toc73534884"/>
      <w:r>
        <w:t xml:space="preserve">1.1.1 </w:t>
      </w:r>
      <w:r w:rsidR="007D3A60">
        <w:t>Liczba ludności i jej dynamika</w:t>
      </w:r>
      <w:bookmarkEnd w:id="2"/>
    </w:p>
    <w:p w14:paraId="40E3A228" w14:textId="5A493693" w:rsidR="00281797" w:rsidRDefault="00991553" w:rsidP="009B17DA">
      <w:pPr>
        <w:jc w:val="both"/>
      </w:pPr>
      <w:r>
        <w:t>W roku 201</w:t>
      </w:r>
      <w:r w:rsidR="00155053">
        <w:t>9</w:t>
      </w:r>
      <w:r>
        <w:t xml:space="preserve"> liczba mieszkańców stolicy województwa warmińsko-mazurskiego wynosiła</w:t>
      </w:r>
      <w:r w:rsidR="00155053">
        <w:t xml:space="preserve"> blisko</w:t>
      </w:r>
      <w:r>
        <w:t xml:space="preserve"> 17</w:t>
      </w:r>
      <w:r w:rsidR="00155053">
        <w:t>2</w:t>
      </w:r>
      <w:r w:rsidR="006412F1">
        <w:t xml:space="preserve"> tys</w:t>
      </w:r>
      <w:r w:rsidR="00E37BD0">
        <w:t>.</w:t>
      </w:r>
      <w:r w:rsidR="00155053">
        <w:t xml:space="preserve"> osób</w:t>
      </w:r>
      <w:r>
        <w:t xml:space="preserve"> (według faktycznego miejsca zamieszkania)</w:t>
      </w:r>
      <w:r w:rsidR="009B17DA">
        <w:t xml:space="preserve"> i jest mniejsza o 2,7 tys</w:t>
      </w:r>
      <w:r w:rsidR="00E37BD0">
        <w:t>.</w:t>
      </w:r>
      <w:r w:rsidR="009B17DA">
        <w:t xml:space="preserve"> w porównaniu do stanu odnotowanego w roku 2013</w:t>
      </w:r>
      <w:r>
        <w:t>.</w:t>
      </w:r>
      <w:r w:rsidR="009B17DA">
        <w:t xml:space="preserve"> Wzrasta zaś liczba osób zamieszkujących w MOF Olsztyna – o 3,1 tys</w:t>
      </w:r>
      <w:r w:rsidR="00E37BD0">
        <w:t xml:space="preserve">. </w:t>
      </w:r>
      <w:r w:rsidR="009B17DA">
        <w:t xml:space="preserve"> więcej w roku 2019 w stosunku do roku 2013. </w:t>
      </w:r>
      <w:r w:rsidR="00B315C6">
        <w:t xml:space="preserve">Porównując dane za lata 2013 i 2019, spadek liczby ludności obserwowany jest także w Kielcach (mniej o 5,0 </w:t>
      </w:r>
      <w:r w:rsidR="00E37BD0">
        <w:t>tys.</w:t>
      </w:r>
      <w:r w:rsidR="00B315C6">
        <w:t xml:space="preserve"> mieszkańców) oraz Lublinie (mniej o 3,8 </w:t>
      </w:r>
      <w:r w:rsidR="00E37BD0">
        <w:t>tys.</w:t>
      </w:r>
      <w:r w:rsidR="00B315C6">
        <w:t xml:space="preserve"> osób). Zwiększa się zaś liczba osób zamieszkujących obszar funkcjonalny ww</w:t>
      </w:r>
      <w:r w:rsidR="00AF7180">
        <w:t>.</w:t>
      </w:r>
      <w:r w:rsidR="00B315C6">
        <w:t xml:space="preserve"> ośrodków - w KOF </w:t>
      </w:r>
      <w:r w:rsidR="00A16E1A">
        <w:br/>
      </w:r>
      <w:r w:rsidR="00B315C6">
        <w:t xml:space="preserve">w roku 2019 mieszkało więcej o 14,7 </w:t>
      </w:r>
      <w:r w:rsidR="00E37BD0">
        <w:t>tys.</w:t>
      </w:r>
      <w:r w:rsidR="00B315C6">
        <w:t xml:space="preserve"> osób niż w roku 2013 oraz w LOF – więcej o 2,7 </w:t>
      </w:r>
      <w:r w:rsidR="00E37BD0">
        <w:t>tys.</w:t>
      </w:r>
      <w:r w:rsidR="007F63B8">
        <w:t xml:space="preserve"> </w:t>
      </w:r>
      <w:r w:rsidR="00B315C6">
        <w:t xml:space="preserve">osób. </w:t>
      </w:r>
      <w:r w:rsidR="00281797">
        <w:t xml:space="preserve"> </w:t>
      </w:r>
    </w:p>
    <w:p w14:paraId="140508BB" w14:textId="11A6935D" w:rsidR="00155053" w:rsidRDefault="00AA03DD" w:rsidP="009B17DA">
      <w:pPr>
        <w:jc w:val="both"/>
      </w:pPr>
      <w:r>
        <w:t>Rzeszów oraz Białystok wraz ze swoimi obszarami funkcjonalnymi odnotowuj</w:t>
      </w:r>
      <w:r w:rsidR="00DC278B">
        <w:t>ą</w:t>
      </w:r>
      <w:r>
        <w:t xml:space="preserve"> dodatni bilans ludności</w:t>
      </w:r>
      <w:r w:rsidR="00884256">
        <w:t xml:space="preserve"> (w Rzeszowie – więcej o 13,1 </w:t>
      </w:r>
      <w:r w:rsidR="00E37BD0">
        <w:t xml:space="preserve">tys. </w:t>
      </w:r>
      <w:r w:rsidR="00884256">
        <w:t xml:space="preserve">mieszkańców, w Rzeszowskim Obszarze Funkcjonalnym – więcej </w:t>
      </w:r>
      <w:r w:rsidR="00A16E1A">
        <w:br/>
      </w:r>
      <w:r w:rsidR="00884256">
        <w:t xml:space="preserve">o 17,5 </w:t>
      </w:r>
      <w:r w:rsidR="00E37BD0">
        <w:t>tys.</w:t>
      </w:r>
      <w:r w:rsidR="007F63B8">
        <w:t xml:space="preserve"> </w:t>
      </w:r>
      <w:r w:rsidR="00884256">
        <w:t xml:space="preserve">osób; w Białymstoku – wzrost o 2,2 </w:t>
      </w:r>
      <w:r w:rsidR="00E37BD0">
        <w:t xml:space="preserve">tys. </w:t>
      </w:r>
      <w:r w:rsidR="00884256">
        <w:t xml:space="preserve">mieszkańców oraz w Białostockim Obszarze Funkcjonalnym – wzrost o 8,5 </w:t>
      </w:r>
      <w:r w:rsidR="00E37BD0">
        <w:t>tys.</w:t>
      </w:r>
      <w:r w:rsidR="007F63B8">
        <w:t xml:space="preserve"> </w:t>
      </w:r>
      <w:r w:rsidR="00884256">
        <w:t>osób)</w:t>
      </w:r>
      <w:r>
        <w:t>.</w:t>
      </w:r>
      <w:r w:rsidR="009B17DA">
        <w:t xml:space="preserve"> </w:t>
      </w:r>
    </w:p>
    <w:p w14:paraId="202CAD8D" w14:textId="6D907A07" w:rsidR="004E262C" w:rsidRPr="002F2889" w:rsidRDefault="004F4C5C" w:rsidP="004F4C5C">
      <w:pPr>
        <w:pStyle w:val="Legenda"/>
        <w:rPr>
          <w:color w:val="000000" w:themeColor="text1"/>
          <w:sz w:val="22"/>
          <w:szCs w:val="22"/>
        </w:rPr>
      </w:pPr>
      <w:bookmarkStart w:id="3" w:name="_Toc73516063"/>
      <w:r w:rsidRPr="002F2889">
        <w:rPr>
          <w:color w:val="000000" w:themeColor="text1"/>
          <w:sz w:val="22"/>
          <w:szCs w:val="22"/>
        </w:rPr>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1</w:t>
      </w:r>
      <w:r w:rsidRPr="002F2889">
        <w:rPr>
          <w:color w:val="000000" w:themeColor="text1"/>
          <w:sz w:val="22"/>
          <w:szCs w:val="22"/>
        </w:rPr>
        <w:fldChar w:fldCharType="end"/>
      </w:r>
      <w:r w:rsidRPr="002F2889">
        <w:rPr>
          <w:color w:val="000000" w:themeColor="text1"/>
          <w:sz w:val="22"/>
          <w:szCs w:val="22"/>
        </w:rPr>
        <w:t>.</w:t>
      </w:r>
      <w:r w:rsidR="0007152D" w:rsidRPr="002F2889">
        <w:rPr>
          <w:color w:val="000000" w:themeColor="text1"/>
          <w:sz w:val="22"/>
          <w:szCs w:val="22"/>
        </w:rPr>
        <w:t xml:space="preserve"> Liczba ludności w wybranych miastach Polski Wschodniej i ich otoczeniu (2013 i 2019)</w:t>
      </w:r>
      <w:bookmarkEnd w:id="3"/>
      <w:r w:rsidR="0007152D" w:rsidRPr="002F2889">
        <w:rPr>
          <w:color w:val="000000" w:themeColor="text1"/>
          <w:sz w:val="22"/>
          <w:szCs w:val="22"/>
        </w:rPr>
        <w:t xml:space="preserve"> </w:t>
      </w:r>
    </w:p>
    <w:p w14:paraId="6D0AB5DD" w14:textId="77777777" w:rsidR="00A2294D" w:rsidRDefault="001B35A6" w:rsidP="006A5794">
      <w:pPr>
        <w:spacing w:after="0"/>
        <w:jc w:val="center"/>
      </w:pPr>
      <w:r>
        <w:rPr>
          <w:noProof/>
          <w:lang w:eastAsia="pl-PL"/>
        </w:rPr>
        <w:drawing>
          <wp:inline distT="0" distB="0" distL="0" distR="0" wp14:anchorId="1CFB0034" wp14:editId="76AD5293">
            <wp:extent cx="4947957" cy="4565837"/>
            <wp:effectExtent l="0" t="0" r="5080" b="6350"/>
            <wp:docPr id="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4EEFCF9A" w14:textId="77777777" w:rsidR="001B35A6" w:rsidRPr="0091031D" w:rsidRDefault="001B35A6" w:rsidP="006A5794">
      <w:pPr>
        <w:spacing w:after="0"/>
        <w:jc w:val="center"/>
        <w:rPr>
          <w:i/>
          <w:sz w:val="20"/>
          <w:szCs w:val="20"/>
        </w:rPr>
      </w:pPr>
      <w:r w:rsidRPr="0091031D">
        <w:rPr>
          <w:i/>
          <w:sz w:val="20"/>
          <w:szCs w:val="20"/>
        </w:rPr>
        <w:t>źródło: opracowanie własne na podstawie danych GUS</w:t>
      </w:r>
    </w:p>
    <w:p w14:paraId="60FC2B93" w14:textId="77777777" w:rsidR="00A74712" w:rsidRDefault="00A74712" w:rsidP="00A74712">
      <w:pPr>
        <w:jc w:val="both"/>
      </w:pPr>
    </w:p>
    <w:p w14:paraId="45207E12" w14:textId="77777777" w:rsidR="00A74712" w:rsidRDefault="00A74712" w:rsidP="00A74712">
      <w:pPr>
        <w:jc w:val="both"/>
      </w:pPr>
    </w:p>
    <w:p w14:paraId="0A913FF3" w14:textId="0485DBDF" w:rsidR="00086706" w:rsidRDefault="00A74712" w:rsidP="00A74712">
      <w:pPr>
        <w:jc w:val="both"/>
      </w:pPr>
      <w:r>
        <w:lastRenderedPageBreak/>
        <w:t xml:space="preserve">We wszystkich z poddanych analizie obszarów funkcjonalnych na przestrzeni lat 2013-2019 zauważalny jest stały trend wzrostowy w zakresie liczby mieszkańców (największy w ROF – więcej o 17,5 </w:t>
      </w:r>
      <w:r w:rsidR="00E37BD0">
        <w:t xml:space="preserve">tys. </w:t>
      </w:r>
      <w:r>
        <w:t xml:space="preserve">osób w roku 2019 w porównaniu do roku 2013; najmniejszy w LOF – więcej o 2,7 </w:t>
      </w:r>
      <w:r w:rsidR="00E37BD0">
        <w:t xml:space="preserve">tys. </w:t>
      </w:r>
      <w:r>
        <w:t>w roku 2019 w stosunku do roku 2013). Niekorzystny trend wyludniania się miast</w:t>
      </w:r>
      <w:r w:rsidR="00E37BD0">
        <w:t xml:space="preserve"> dotyczy trzech spośród pięciu </w:t>
      </w:r>
      <w:r>
        <w:t xml:space="preserve">z omawianych ośrodków wojewódzkich: największy spadek liczby ludności odnotowano w Kielcach (mniej o 5,0 </w:t>
      </w:r>
      <w:r w:rsidR="00E37BD0">
        <w:t xml:space="preserve">tys. </w:t>
      </w:r>
      <w:r>
        <w:t xml:space="preserve">osób w roku 2019 w porównaniu do roku 2013), najmniejszy w Olsztynie (o 2,6 </w:t>
      </w:r>
      <w:r w:rsidR="00E37BD0">
        <w:t xml:space="preserve">tys. </w:t>
      </w:r>
      <w:r>
        <w:t xml:space="preserve">mieszkańców). </w:t>
      </w:r>
    </w:p>
    <w:p w14:paraId="022FDF51" w14:textId="796C514A" w:rsidR="0007152D" w:rsidRPr="002F2889" w:rsidRDefault="004F4C5C" w:rsidP="004F4C5C">
      <w:pPr>
        <w:pStyle w:val="Legenda"/>
        <w:rPr>
          <w:color w:val="000000" w:themeColor="text1"/>
          <w:sz w:val="22"/>
          <w:szCs w:val="22"/>
        </w:rPr>
      </w:pPr>
      <w:bookmarkStart w:id="4" w:name="_Toc73516064"/>
      <w:r w:rsidRPr="002F2889">
        <w:rPr>
          <w:color w:val="000000" w:themeColor="text1"/>
          <w:sz w:val="22"/>
          <w:szCs w:val="22"/>
        </w:rPr>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2</w:t>
      </w:r>
      <w:r w:rsidRPr="002F2889">
        <w:rPr>
          <w:color w:val="000000" w:themeColor="text1"/>
          <w:sz w:val="22"/>
          <w:szCs w:val="22"/>
        </w:rPr>
        <w:fldChar w:fldCharType="end"/>
      </w:r>
      <w:r w:rsidR="0007152D" w:rsidRPr="002F2889">
        <w:rPr>
          <w:color w:val="000000" w:themeColor="text1"/>
          <w:sz w:val="22"/>
          <w:szCs w:val="22"/>
        </w:rPr>
        <w:t xml:space="preserve">. Zmiana liczby ludności w </w:t>
      </w:r>
      <w:r w:rsidR="00D62112" w:rsidRPr="002F2889">
        <w:rPr>
          <w:color w:val="000000" w:themeColor="text1"/>
          <w:sz w:val="22"/>
          <w:szCs w:val="22"/>
        </w:rPr>
        <w:t xml:space="preserve">wybranych </w:t>
      </w:r>
      <w:r w:rsidR="0007152D" w:rsidRPr="002F2889">
        <w:rPr>
          <w:color w:val="000000" w:themeColor="text1"/>
          <w:sz w:val="22"/>
          <w:szCs w:val="22"/>
        </w:rPr>
        <w:t>miastach Polski Wschodniej i ich otoczeniu w latach 2013 i 2019</w:t>
      </w:r>
      <w:bookmarkEnd w:id="4"/>
    </w:p>
    <w:p w14:paraId="014F04BA" w14:textId="77777777" w:rsidR="002D0E2C" w:rsidRDefault="00A17F53" w:rsidP="0007152D">
      <w:pPr>
        <w:spacing w:after="0"/>
        <w:ind w:left="993" w:hanging="993"/>
        <w:jc w:val="center"/>
      </w:pPr>
      <w:r>
        <w:rPr>
          <w:noProof/>
          <w:lang w:eastAsia="pl-PL"/>
        </w:rPr>
        <w:drawing>
          <wp:inline distT="0" distB="0" distL="0" distR="0" wp14:anchorId="0F1C8DC0" wp14:editId="6A85A495">
            <wp:extent cx="5760720" cy="2760345"/>
            <wp:effectExtent l="0" t="0" r="11430" b="1905"/>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F7516EE" w14:textId="77777777" w:rsidR="0091031D" w:rsidRPr="0091031D" w:rsidRDefault="0091031D" w:rsidP="006A5794">
      <w:pPr>
        <w:spacing w:after="0"/>
        <w:jc w:val="center"/>
        <w:rPr>
          <w:i/>
          <w:sz w:val="20"/>
          <w:szCs w:val="20"/>
        </w:rPr>
      </w:pPr>
      <w:r w:rsidRPr="0091031D">
        <w:rPr>
          <w:i/>
          <w:sz w:val="20"/>
          <w:szCs w:val="20"/>
        </w:rPr>
        <w:t>źródło: opracowanie własne na podstawie danych GUS</w:t>
      </w:r>
    </w:p>
    <w:p w14:paraId="59FD8D9D" w14:textId="77777777" w:rsidR="0091031D" w:rsidRDefault="0091031D" w:rsidP="00A2294D">
      <w:pPr>
        <w:jc w:val="center"/>
      </w:pPr>
    </w:p>
    <w:p w14:paraId="6F2EAD94" w14:textId="77777777" w:rsidR="00F80720" w:rsidRDefault="00F80720" w:rsidP="00F80720">
      <w:pPr>
        <w:jc w:val="both"/>
      </w:pPr>
      <w:r>
        <w:t>Prognoza GUS opublikowana w roku 2017</w:t>
      </w:r>
      <w:r>
        <w:rPr>
          <w:rStyle w:val="Odwoanieprzypisudolnego"/>
        </w:rPr>
        <w:footnoteReference w:id="2"/>
      </w:r>
      <w:r>
        <w:t xml:space="preserve"> przewiduje coroczny spadek liczby ludności w przypadku czterech spośród pięciu poddanych analizie miast (Olsztynie, Kielcach, Białymstoku, Lublinie). Największy spadek liczby mieszkańców w roku 2030 - w porównaniu do roku 2019 - nastąpi w Kielcach (mniej o 6,9% osób ogółem, w tym mężczyzn mniej o 7,9% oraz mniej o 6,1% kobiet). Spodziewać się należy, że populacja olsztyniaków ogółem w roku 2030 będzie mniejsza w porównaniu do roku 2019 </w:t>
      </w:r>
      <w:r>
        <w:br/>
        <w:t>o 2,1% (3 541 osób), w tym mniejsza o 2,6% (2 107 osób) w przypadku mężczyzn i mniejsza o 1,6% (1 434 osób) w odniesieniu do kobiet. Jedynie dla Rzeszowa prognoza dynamiki ludności (rok 2019 do 2030) wskazuje na wzrost o 5,4% liczby mieszkańców ogółem (w tym więcej: mężczyzn – o 4,7% i kobiet – o 5,4%).</w:t>
      </w:r>
    </w:p>
    <w:p w14:paraId="6CC5F608" w14:textId="2CFC0E88" w:rsidR="00C725CD" w:rsidRDefault="00C725CD" w:rsidP="003B05EF">
      <w:pPr>
        <w:jc w:val="both"/>
      </w:pPr>
    </w:p>
    <w:p w14:paraId="5CC632E6" w14:textId="13856EF9" w:rsidR="00306662" w:rsidRDefault="00306662">
      <w:r>
        <w:br w:type="page"/>
      </w:r>
    </w:p>
    <w:p w14:paraId="5E433F22" w14:textId="77777777" w:rsidR="005B6EC6" w:rsidRDefault="005B6EC6" w:rsidP="00306662">
      <w:pPr>
        <w:pStyle w:val="Legenda"/>
        <w:rPr>
          <w:color w:val="FF0000"/>
          <w:sz w:val="22"/>
          <w:szCs w:val="22"/>
        </w:rPr>
      </w:pPr>
    </w:p>
    <w:p w14:paraId="322107E5" w14:textId="7744D07A" w:rsidR="00306662" w:rsidRPr="0066560D" w:rsidRDefault="00306662" w:rsidP="00306662">
      <w:pPr>
        <w:pStyle w:val="Legenda"/>
        <w:rPr>
          <w:color w:val="000000" w:themeColor="text1"/>
          <w:sz w:val="22"/>
          <w:szCs w:val="22"/>
          <w:lang w:val="pl-PL"/>
        </w:rPr>
      </w:pPr>
      <w:bookmarkStart w:id="5" w:name="_Toc73516065"/>
      <w:r w:rsidRPr="002F2889">
        <w:rPr>
          <w:color w:val="000000" w:themeColor="text1"/>
          <w:sz w:val="22"/>
          <w:szCs w:val="22"/>
        </w:rPr>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3</w:t>
      </w:r>
      <w:r w:rsidRPr="002F2889">
        <w:rPr>
          <w:color w:val="000000" w:themeColor="text1"/>
          <w:sz w:val="22"/>
          <w:szCs w:val="22"/>
        </w:rPr>
        <w:fldChar w:fldCharType="end"/>
      </w:r>
      <w:r w:rsidRPr="002F2889">
        <w:rPr>
          <w:color w:val="000000" w:themeColor="text1"/>
          <w:sz w:val="22"/>
          <w:szCs w:val="22"/>
        </w:rPr>
        <w:t xml:space="preserve">. </w:t>
      </w:r>
      <w:r w:rsidRPr="002F2889">
        <w:rPr>
          <w:bCs/>
          <w:color w:val="000000" w:themeColor="text1"/>
          <w:sz w:val="22"/>
          <w:szCs w:val="22"/>
          <w:lang w:val="pl-PL"/>
        </w:rPr>
        <w:t>Prognoza dynamiki ludności wg płci w roku 2030 w</w:t>
      </w:r>
      <w:r w:rsidR="000E7DF8" w:rsidRPr="002F2889">
        <w:rPr>
          <w:bCs/>
          <w:color w:val="000000" w:themeColor="text1"/>
          <w:sz w:val="22"/>
          <w:szCs w:val="22"/>
          <w:lang w:val="pl-PL"/>
        </w:rPr>
        <w:t xml:space="preserve">zględem </w:t>
      </w:r>
      <w:r w:rsidRPr="002F2889">
        <w:rPr>
          <w:bCs/>
          <w:color w:val="000000" w:themeColor="text1"/>
          <w:sz w:val="22"/>
          <w:szCs w:val="22"/>
          <w:lang w:val="pl-PL"/>
        </w:rPr>
        <w:t xml:space="preserve">roku 2019 </w:t>
      </w:r>
      <w:r w:rsidRPr="0066560D">
        <w:rPr>
          <w:bCs/>
          <w:color w:val="000000" w:themeColor="text1"/>
          <w:sz w:val="22"/>
          <w:szCs w:val="22"/>
          <w:lang w:val="pl-PL"/>
        </w:rPr>
        <w:t>(%)</w:t>
      </w:r>
      <w:bookmarkEnd w:id="5"/>
    </w:p>
    <w:p w14:paraId="017C8713" w14:textId="77777777" w:rsidR="00704627" w:rsidRDefault="00704627" w:rsidP="006A5794">
      <w:pPr>
        <w:spacing w:after="0"/>
        <w:jc w:val="center"/>
      </w:pPr>
      <w:r>
        <w:rPr>
          <w:noProof/>
          <w:lang w:eastAsia="pl-PL"/>
        </w:rPr>
        <w:drawing>
          <wp:inline distT="0" distB="0" distL="0" distR="0" wp14:anchorId="479FD5B9" wp14:editId="27E84EC1">
            <wp:extent cx="5696631" cy="2707822"/>
            <wp:effectExtent l="0" t="0" r="18415" b="16510"/>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1568240" w14:textId="77777777" w:rsidR="0091031D" w:rsidRPr="0091031D" w:rsidRDefault="0091031D" w:rsidP="006A5794">
      <w:pPr>
        <w:spacing w:after="0"/>
        <w:jc w:val="center"/>
        <w:rPr>
          <w:i/>
          <w:sz w:val="20"/>
          <w:szCs w:val="20"/>
        </w:rPr>
      </w:pPr>
      <w:r w:rsidRPr="0091031D">
        <w:rPr>
          <w:i/>
          <w:sz w:val="20"/>
          <w:szCs w:val="20"/>
        </w:rPr>
        <w:t>źródło: opracowanie własne na podstawie danych GUS</w:t>
      </w:r>
      <w:r>
        <w:rPr>
          <w:rStyle w:val="Odwoanieprzypisudolnego"/>
          <w:i/>
          <w:sz w:val="20"/>
          <w:szCs w:val="20"/>
        </w:rPr>
        <w:footnoteReference w:id="3"/>
      </w:r>
    </w:p>
    <w:p w14:paraId="0ECF9A62" w14:textId="16AF9A12" w:rsidR="0091031D" w:rsidRDefault="0091031D" w:rsidP="00A2294D">
      <w:pPr>
        <w:jc w:val="center"/>
      </w:pPr>
    </w:p>
    <w:p w14:paraId="59A6C9C7" w14:textId="77777777" w:rsidR="005B6EC6" w:rsidRDefault="005B6EC6" w:rsidP="00306662">
      <w:pPr>
        <w:pStyle w:val="Legenda"/>
        <w:rPr>
          <w:color w:val="FF0000"/>
          <w:sz w:val="22"/>
          <w:szCs w:val="22"/>
        </w:rPr>
      </w:pPr>
    </w:p>
    <w:p w14:paraId="729406E6" w14:textId="05D03717" w:rsidR="00306662" w:rsidRPr="002F2889" w:rsidRDefault="00306662" w:rsidP="00306662">
      <w:pPr>
        <w:pStyle w:val="Legenda"/>
        <w:rPr>
          <w:color w:val="000000" w:themeColor="text1"/>
          <w:sz w:val="22"/>
          <w:szCs w:val="22"/>
        </w:rPr>
      </w:pPr>
      <w:bookmarkStart w:id="6" w:name="_Toc73516066"/>
      <w:r w:rsidRPr="002F2889">
        <w:rPr>
          <w:color w:val="000000" w:themeColor="text1"/>
          <w:sz w:val="22"/>
          <w:szCs w:val="22"/>
        </w:rPr>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4</w:t>
      </w:r>
      <w:r w:rsidRPr="002F2889">
        <w:rPr>
          <w:color w:val="000000" w:themeColor="text1"/>
          <w:sz w:val="22"/>
          <w:szCs w:val="22"/>
        </w:rPr>
        <w:fldChar w:fldCharType="end"/>
      </w:r>
      <w:r w:rsidRPr="002F2889">
        <w:rPr>
          <w:color w:val="000000" w:themeColor="text1"/>
          <w:sz w:val="22"/>
          <w:szCs w:val="22"/>
        </w:rPr>
        <w:t xml:space="preserve">. </w:t>
      </w:r>
      <w:r w:rsidRPr="002F2889">
        <w:rPr>
          <w:bCs/>
          <w:color w:val="000000" w:themeColor="text1"/>
          <w:sz w:val="22"/>
          <w:szCs w:val="22"/>
          <w:lang w:val="en-US"/>
        </w:rPr>
        <w:t xml:space="preserve">Prognoza </w:t>
      </w:r>
      <w:r w:rsidRPr="002F2889">
        <w:rPr>
          <w:bCs/>
          <w:color w:val="000000" w:themeColor="text1"/>
          <w:sz w:val="22"/>
          <w:szCs w:val="22"/>
        </w:rPr>
        <w:t xml:space="preserve">liczby </w:t>
      </w:r>
      <w:r w:rsidRPr="002F2889">
        <w:rPr>
          <w:bCs/>
          <w:color w:val="000000" w:themeColor="text1"/>
          <w:sz w:val="22"/>
          <w:szCs w:val="22"/>
          <w:lang w:val="en-US"/>
        </w:rPr>
        <w:t>mieszkańców Olsztyna w latach 2019</w:t>
      </w:r>
      <w:r w:rsidRPr="002F2889">
        <w:rPr>
          <w:bCs/>
          <w:color w:val="000000" w:themeColor="text1"/>
          <w:sz w:val="22"/>
          <w:szCs w:val="22"/>
        </w:rPr>
        <w:t>, 2020, 2025,</w:t>
      </w:r>
      <w:r w:rsidRPr="002F2889">
        <w:rPr>
          <w:bCs/>
          <w:color w:val="000000" w:themeColor="text1"/>
          <w:sz w:val="22"/>
          <w:szCs w:val="22"/>
          <w:lang w:val="en-US"/>
        </w:rPr>
        <w:t xml:space="preserve"> 20</w:t>
      </w:r>
      <w:r w:rsidRPr="002F2889">
        <w:rPr>
          <w:bCs/>
          <w:color w:val="000000" w:themeColor="text1"/>
          <w:sz w:val="22"/>
          <w:szCs w:val="22"/>
        </w:rPr>
        <w:t>30</w:t>
      </w:r>
      <w:r w:rsidRPr="002F2889">
        <w:rPr>
          <w:bCs/>
          <w:color w:val="000000" w:themeColor="text1"/>
          <w:sz w:val="22"/>
          <w:szCs w:val="22"/>
          <w:lang w:val="en-US"/>
        </w:rPr>
        <w:t xml:space="preserve"> (os.)</w:t>
      </w:r>
      <w:bookmarkEnd w:id="6"/>
    </w:p>
    <w:p w14:paraId="53BDDB76" w14:textId="77777777" w:rsidR="003241F0" w:rsidRDefault="003241F0" w:rsidP="00657CDB">
      <w:pPr>
        <w:spacing w:after="0"/>
        <w:jc w:val="center"/>
      </w:pPr>
      <w:r>
        <w:rPr>
          <w:noProof/>
          <w:lang w:eastAsia="pl-PL"/>
        </w:rPr>
        <w:drawing>
          <wp:inline distT="0" distB="0" distL="0" distR="0" wp14:anchorId="2599CAD4" wp14:editId="0EBE9A1C">
            <wp:extent cx="4572000" cy="2743200"/>
            <wp:effectExtent l="0" t="0" r="0" b="0"/>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5992C03" w14:textId="77777777" w:rsidR="00E11F79" w:rsidRDefault="00E11F79" w:rsidP="00657CDB">
      <w:pPr>
        <w:spacing w:after="0"/>
        <w:jc w:val="center"/>
        <w:rPr>
          <w:i/>
          <w:sz w:val="20"/>
          <w:szCs w:val="20"/>
        </w:rPr>
      </w:pPr>
      <w:r w:rsidRPr="0091031D">
        <w:rPr>
          <w:i/>
          <w:sz w:val="20"/>
          <w:szCs w:val="20"/>
        </w:rPr>
        <w:t>źródło: opracowanie własne na podstawie danych GUS</w:t>
      </w:r>
      <w:r>
        <w:rPr>
          <w:rStyle w:val="Odwoanieprzypisudolnego"/>
          <w:i/>
          <w:sz w:val="20"/>
          <w:szCs w:val="20"/>
        </w:rPr>
        <w:footnoteReference w:id="4"/>
      </w:r>
    </w:p>
    <w:p w14:paraId="503A4961" w14:textId="77777777" w:rsidR="00A74712" w:rsidRDefault="00A74712">
      <w:r>
        <w:br w:type="page"/>
      </w:r>
    </w:p>
    <w:p w14:paraId="00A80117" w14:textId="77777777" w:rsidR="00DB4B08" w:rsidRDefault="00C43733" w:rsidP="00A74712">
      <w:pPr>
        <w:jc w:val="both"/>
      </w:pPr>
      <w:r>
        <w:lastRenderedPageBreak/>
        <w:t xml:space="preserve">Proces starzenia się społeczeństwa w omawianym okresie jest dostrzegalny we wszystkich analizowanych miastach Polski Wschodniej. Udział osób w wieku poprodukcyjnym </w:t>
      </w:r>
      <w:r w:rsidR="00C22F9E">
        <w:t>w ogólnej liczbie olsztynian</w:t>
      </w:r>
      <w:r>
        <w:t xml:space="preserve"> zwiększył się o 4,9% w roku 2019 w porównaniu do 2013 roku i w roku 2030 </w:t>
      </w:r>
      <w:r w:rsidR="00C22F9E">
        <w:t xml:space="preserve">trend wzrostowy będzie się utrzymywał (o 2,9%). Porównywalne zmiany jak w Olsztynie dotyczą także Kielc. Nieco mniej intensywny proces zachodzi w Białymstoku, Rzeszowie i Lublinie. </w:t>
      </w:r>
    </w:p>
    <w:p w14:paraId="483E7977" w14:textId="77777777" w:rsidR="00B11D8C" w:rsidRDefault="00B11D8C" w:rsidP="00A74712">
      <w:pPr>
        <w:jc w:val="both"/>
      </w:pPr>
      <w:r>
        <w:t xml:space="preserve">We wszystkich badanych </w:t>
      </w:r>
      <w:r w:rsidR="00DB4B08">
        <w:t>miastach udział młodych osób w roku 2019 w porównaniu z rokiem 2013 był wyższy</w:t>
      </w:r>
      <w:r w:rsidR="00491F90">
        <w:t>:</w:t>
      </w:r>
      <w:r w:rsidR="00DB4B08">
        <w:t xml:space="preserve"> o 1,2 p.p. - w  Olsztynie</w:t>
      </w:r>
      <w:r w:rsidR="00491F90">
        <w:t xml:space="preserve">; o 0,3 p.p.- w </w:t>
      </w:r>
      <w:r w:rsidR="00DB4B08">
        <w:t>Kielcach</w:t>
      </w:r>
      <w:r w:rsidR="00491F90">
        <w:t>; o 1,</w:t>
      </w:r>
      <w:r w:rsidR="00DB4B08">
        <w:t>0</w:t>
      </w:r>
      <w:r w:rsidR="00491F90">
        <w:t xml:space="preserve"> p.p. - w</w:t>
      </w:r>
      <w:r w:rsidR="00DB4B08">
        <w:t xml:space="preserve"> Białymstoku</w:t>
      </w:r>
      <w:r w:rsidR="00491F90">
        <w:t xml:space="preserve">; o 1,4 p.p. – </w:t>
      </w:r>
      <w:r w:rsidR="00491F90">
        <w:br/>
        <w:t xml:space="preserve">w </w:t>
      </w:r>
      <w:r w:rsidR="00DB4B08">
        <w:t>Rzeszowie</w:t>
      </w:r>
      <w:r w:rsidR="00491F90">
        <w:t xml:space="preserve"> oraz o 0,9 p.p. – w Lublinie. </w:t>
      </w:r>
    </w:p>
    <w:p w14:paraId="1FC6A738" w14:textId="39396FF2" w:rsidR="00C43733" w:rsidRDefault="006A38C5" w:rsidP="00A74712">
      <w:pPr>
        <w:jc w:val="both"/>
      </w:pPr>
      <w:r>
        <w:t>Zgodnie z prognozą GUS, jedynie Rzeszów w roku 2030 (w porównaniu do roku 2019) odnotuje dodatni bilans osób w wieku przedprodukcyjnym i produkcyjnym.</w:t>
      </w:r>
    </w:p>
    <w:tbl>
      <w:tblPr>
        <w:tblW w:w="9274" w:type="dxa"/>
        <w:tblCellMar>
          <w:left w:w="70" w:type="dxa"/>
          <w:right w:w="70" w:type="dxa"/>
        </w:tblCellMar>
        <w:tblLook w:val="04A0" w:firstRow="1" w:lastRow="0" w:firstColumn="1" w:lastColumn="0" w:noHBand="0" w:noVBand="1"/>
      </w:tblPr>
      <w:tblGrid>
        <w:gridCol w:w="1134"/>
        <w:gridCol w:w="851"/>
        <w:gridCol w:w="992"/>
        <w:gridCol w:w="993"/>
        <w:gridCol w:w="850"/>
        <w:gridCol w:w="851"/>
        <w:gridCol w:w="850"/>
        <w:gridCol w:w="851"/>
        <w:gridCol w:w="850"/>
        <w:gridCol w:w="861"/>
        <w:gridCol w:w="191"/>
      </w:tblGrid>
      <w:tr w:rsidR="00AF7B21" w:rsidRPr="0066560D" w14:paraId="2AACF1BE" w14:textId="77777777" w:rsidTr="00C43733">
        <w:trPr>
          <w:trHeight w:val="300"/>
        </w:trPr>
        <w:tc>
          <w:tcPr>
            <w:tcW w:w="9274" w:type="dxa"/>
            <w:gridSpan w:val="11"/>
            <w:tcBorders>
              <w:top w:val="nil"/>
              <w:left w:val="nil"/>
              <w:bottom w:val="nil"/>
            </w:tcBorders>
            <w:shd w:val="clear" w:color="auto" w:fill="auto"/>
            <w:noWrap/>
            <w:vAlign w:val="bottom"/>
            <w:hideMark/>
          </w:tcPr>
          <w:p w14:paraId="4C9FD4A1" w14:textId="123FD9D8" w:rsidR="00FB0562" w:rsidRPr="0066560D" w:rsidRDefault="003F1905" w:rsidP="0032708B">
            <w:pPr>
              <w:pStyle w:val="Legenda"/>
              <w:rPr>
                <w:color w:val="000000" w:themeColor="text1"/>
                <w:sz w:val="22"/>
                <w:szCs w:val="22"/>
                <w:lang w:val="pl-PL"/>
              </w:rPr>
            </w:pPr>
            <w:bookmarkStart w:id="7" w:name="_Toc73534964"/>
            <w:r w:rsidRPr="0066560D">
              <w:rPr>
                <w:color w:val="000000" w:themeColor="text1"/>
                <w:sz w:val="22"/>
                <w:szCs w:val="22"/>
              </w:rPr>
              <w:t xml:space="preserve">Tabela </w:t>
            </w:r>
            <w:r w:rsidRPr="0066560D">
              <w:rPr>
                <w:color w:val="000000" w:themeColor="text1"/>
                <w:sz w:val="22"/>
                <w:szCs w:val="22"/>
              </w:rPr>
              <w:fldChar w:fldCharType="begin"/>
            </w:r>
            <w:r w:rsidRPr="0066560D">
              <w:rPr>
                <w:color w:val="000000" w:themeColor="text1"/>
                <w:sz w:val="22"/>
                <w:szCs w:val="22"/>
              </w:rPr>
              <w:instrText xml:space="preserve"> SEQ Tabela \* ARABIC </w:instrText>
            </w:r>
            <w:r w:rsidRPr="0066560D">
              <w:rPr>
                <w:color w:val="000000" w:themeColor="text1"/>
                <w:sz w:val="22"/>
                <w:szCs w:val="22"/>
              </w:rPr>
              <w:fldChar w:fldCharType="separate"/>
            </w:r>
            <w:r w:rsidR="00AD58C3">
              <w:rPr>
                <w:noProof/>
                <w:color w:val="000000" w:themeColor="text1"/>
                <w:sz w:val="22"/>
                <w:szCs w:val="22"/>
              </w:rPr>
              <w:t>1</w:t>
            </w:r>
            <w:r w:rsidRPr="0066560D">
              <w:rPr>
                <w:color w:val="000000" w:themeColor="text1"/>
                <w:sz w:val="22"/>
                <w:szCs w:val="22"/>
              </w:rPr>
              <w:fldChar w:fldCharType="end"/>
            </w:r>
            <w:r w:rsidRPr="0066560D">
              <w:rPr>
                <w:color w:val="000000" w:themeColor="text1"/>
                <w:sz w:val="22"/>
                <w:szCs w:val="22"/>
              </w:rPr>
              <w:t xml:space="preserve">. </w:t>
            </w:r>
            <w:r w:rsidR="00FB0562" w:rsidRPr="0066560D">
              <w:rPr>
                <w:color w:val="000000" w:themeColor="text1"/>
                <w:sz w:val="22"/>
                <w:szCs w:val="22"/>
                <w:lang w:eastAsia="pl-PL"/>
              </w:rPr>
              <w:t>Udział ludności wg ekonomicznych grup wieku w % ludności ogółem</w:t>
            </w:r>
            <w:r w:rsidR="0032708B">
              <w:rPr>
                <w:color w:val="000000" w:themeColor="text1"/>
                <w:sz w:val="22"/>
                <w:szCs w:val="22"/>
                <w:lang w:eastAsia="pl-PL"/>
              </w:rPr>
              <w:t xml:space="preserve"> (</w:t>
            </w:r>
            <w:r w:rsidR="00FB0562" w:rsidRPr="0066560D">
              <w:rPr>
                <w:color w:val="000000" w:themeColor="text1"/>
                <w:sz w:val="22"/>
                <w:szCs w:val="22"/>
                <w:lang w:eastAsia="pl-PL"/>
              </w:rPr>
              <w:t>2013, 2019</w:t>
            </w:r>
            <w:r w:rsidR="0032708B">
              <w:rPr>
                <w:color w:val="000000" w:themeColor="text1"/>
                <w:sz w:val="22"/>
                <w:szCs w:val="22"/>
                <w:lang w:eastAsia="pl-PL"/>
              </w:rPr>
              <w:t xml:space="preserve"> z prognozą na rok</w:t>
            </w:r>
            <w:r w:rsidR="00FB0562" w:rsidRPr="0066560D">
              <w:rPr>
                <w:color w:val="000000" w:themeColor="text1"/>
                <w:sz w:val="22"/>
                <w:szCs w:val="22"/>
                <w:lang w:eastAsia="pl-PL"/>
              </w:rPr>
              <w:t xml:space="preserve"> 2030</w:t>
            </w:r>
            <w:r w:rsidR="0032708B">
              <w:rPr>
                <w:color w:val="000000" w:themeColor="text1"/>
                <w:sz w:val="22"/>
                <w:szCs w:val="22"/>
                <w:lang w:eastAsia="pl-PL"/>
              </w:rPr>
              <w:t>)</w:t>
            </w:r>
            <w:r w:rsidR="0091031D" w:rsidRPr="0066560D">
              <w:rPr>
                <w:rStyle w:val="Odwoanieprzypisudolnego"/>
                <w:rFonts w:eastAsia="Times New Roman" w:cs="Times New Roman"/>
                <w:b/>
                <w:bCs/>
                <w:color w:val="000000" w:themeColor="text1"/>
                <w:sz w:val="22"/>
                <w:szCs w:val="22"/>
                <w:lang w:eastAsia="pl-PL"/>
              </w:rPr>
              <w:footnoteReference w:id="5"/>
            </w:r>
            <w:bookmarkEnd w:id="7"/>
          </w:p>
        </w:tc>
      </w:tr>
      <w:tr w:rsidR="00FB0562" w:rsidRPr="00FB0562" w14:paraId="1845307E" w14:textId="77777777" w:rsidTr="00C22F9E">
        <w:trPr>
          <w:gridAfter w:val="1"/>
          <w:wAfter w:w="191" w:type="dxa"/>
          <w:trHeight w:val="300"/>
        </w:trPr>
        <w:tc>
          <w:tcPr>
            <w:tcW w:w="1134" w:type="dxa"/>
            <w:tcBorders>
              <w:top w:val="nil"/>
              <w:left w:val="nil"/>
              <w:bottom w:val="nil"/>
              <w:right w:val="nil"/>
            </w:tcBorders>
            <w:shd w:val="clear" w:color="auto" w:fill="auto"/>
            <w:noWrap/>
            <w:vAlign w:val="bottom"/>
            <w:hideMark/>
          </w:tcPr>
          <w:p w14:paraId="47C2C3EA" w14:textId="77777777" w:rsidR="00FB0562" w:rsidRPr="00FB0562" w:rsidRDefault="00FB0562" w:rsidP="00FB0562">
            <w:pPr>
              <w:spacing w:after="0" w:line="240" w:lineRule="auto"/>
              <w:rPr>
                <w:rFonts w:ascii="Times New Roman" w:eastAsia="Times New Roman" w:hAnsi="Times New Roman" w:cs="Times New Roman"/>
                <w:sz w:val="20"/>
                <w:szCs w:val="20"/>
                <w:lang w:eastAsia="pl-PL"/>
              </w:rPr>
            </w:pPr>
          </w:p>
        </w:tc>
        <w:tc>
          <w:tcPr>
            <w:tcW w:w="2836" w:type="dxa"/>
            <w:gridSpan w:val="3"/>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15E2C333" w14:textId="77777777" w:rsidR="00FB0562" w:rsidRPr="00FB0562" w:rsidRDefault="00FB0562" w:rsidP="00FB0562">
            <w:pPr>
              <w:spacing w:after="0" w:line="240" w:lineRule="auto"/>
              <w:jc w:val="center"/>
              <w:rPr>
                <w:rFonts w:ascii="Calibri" w:eastAsia="Times New Roman" w:hAnsi="Calibri" w:cs="Times New Roman"/>
                <w:b/>
                <w:lang w:eastAsia="pl-PL"/>
              </w:rPr>
            </w:pPr>
            <w:r w:rsidRPr="00FB0562">
              <w:rPr>
                <w:rFonts w:ascii="Calibri" w:eastAsia="Times New Roman" w:hAnsi="Calibri" w:cs="Times New Roman"/>
                <w:b/>
                <w:lang w:eastAsia="pl-PL"/>
              </w:rPr>
              <w:t>wiek przedprodukcyjny</w:t>
            </w:r>
            <w:r w:rsidR="00C43733">
              <w:rPr>
                <w:rFonts w:ascii="Calibri" w:eastAsia="Times New Roman" w:hAnsi="Calibri" w:cs="Times New Roman"/>
                <w:b/>
                <w:lang w:eastAsia="pl-PL"/>
              </w:rPr>
              <w:t xml:space="preserve"> (%)</w:t>
            </w:r>
          </w:p>
        </w:tc>
        <w:tc>
          <w:tcPr>
            <w:tcW w:w="2551" w:type="dxa"/>
            <w:gridSpan w:val="3"/>
            <w:tcBorders>
              <w:top w:val="single" w:sz="4" w:space="0" w:color="auto"/>
              <w:left w:val="nil"/>
              <w:bottom w:val="single" w:sz="4" w:space="0" w:color="auto"/>
              <w:right w:val="single" w:sz="4" w:space="0" w:color="auto"/>
            </w:tcBorders>
            <w:shd w:val="clear" w:color="auto" w:fill="92D050"/>
            <w:noWrap/>
            <w:vAlign w:val="bottom"/>
            <w:hideMark/>
          </w:tcPr>
          <w:p w14:paraId="3767312D" w14:textId="77777777" w:rsidR="00C43733" w:rsidRPr="00FB0562" w:rsidRDefault="00FB0562" w:rsidP="00C43733">
            <w:pPr>
              <w:spacing w:after="0" w:line="240" w:lineRule="auto"/>
              <w:jc w:val="center"/>
              <w:rPr>
                <w:rFonts w:ascii="Calibri" w:eastAsia="Times New Roman" w:hAnsi="Calibri" w:cs="Times New Roman"/>
                <w:b/>
                <w:lang w:eastAsia="pl-PL"/>
              </w:rPr>
            </w:pPr>
            <w:r w:rsidRPr="00FB0562">
              <w:rPr>
                <w:rFonts w:ascii="Calibri" w:eastAsia="Times New Roman" w:hAnsi="Calibri" w:cs="Times New Roman"/>
                <w:b/>
                <w:lang w:eastAsia="pl-PL"/>
              </w:rPr>
              <w:t>wiek produkcyjny</w:t>
            </w:r>
            <w:r w:rsidR="00C43733">
              <w:rPr>
                <w:rFonts w:ascii="Calibri" w:eastAsia="Times New Roman" w:hAnsi="Calibri" w:cs="Times New Roman"/>
                <w:b/>
                <w:lang w:eastAsia="pl-PL"/>
              </w:rPr>
              <w:t xml:space="preserve"> (%)</w:t>
            </w:r>
          </w:p>
        </w:tc>
        <w:tc>
          <w:tcPr>
            <w:tcW w:w="2562" w:type="dxa"/>
            <w:gridSpan w:val="3"/>
            <w:tcBorders>
              <w:top w:val="single" w:sz="4" w:space="0" w:color="auto"/>
              <w:left w:val="nil"/>
              <w:bottom w:val="single" w:sz="4" w:space="0" w:color="auto"/>
              <w:right w:val="single" w:sz="4" w:space="0" w:color="auto"/>
            </w:tcBorders>
            <w:shd w:val="clear" w:color="auto" w:fill="92D050"/>
            <w:noWrap/>
            <w:vAlign w:val="bottom"/>
            <w:hideMark/>
          </w:tcPr>
          <w:p w14:paraId="0CD6674A" w14:textId="77777777" w:rsidR="00C43733" w:rsidRPr="00FB0562" w:rsidRDefault="00FB0562" w:rsidP="00C43733">
            <w:pPr>
              <w:spacing w:after="0" w:line="240" w:lineRule="auto"/>
              <w:jc w:val="center"/>
              <w:rPr>
                <w:rFonts w:ascii="Calibri" w:eastAsia="Times New Roman" w:hAnsi="Calibri" w:cs="Times New Roman"/>
                <w:b/>
                <w:lang w:eastAsia="pl-PL"/>
              </w:rPr>
            </w:pPr>
            <w:r w:rsidRPr="00FB0562">
              <w:rPr>
                <w:rFonts w:ascii="Calibri" w:eastAsia="Times New Roman" w:hAnsi="Calibri" w:cs="Times New Roman"/>
                <w:b/>
                <w:lang w:eastAsia="pl-PL"/>
              </w:rPr>
              <w:t>wiek poprodukcyjny</w:t>
            </w:r>
            <w:r w:rsidR="00C43733">
              <w:rPr>
                <w:rFonts w:ascii="Calibri" w:eastAsia="Times New Roman" w:hAnsi="Calibri" w:cs="Times New Roman"/>
                <w:b/>
                <w:lang w:eastAsia="pl-PL"/>
              </w:rPr>
              <w:t xml:space="preserve"> (%)</w:t>
            </w:r>
          </w:p>
        </w:tc>
      </w:tr>
      <w:tr w:rsidR="00FB0562" w:rsidRPr="00FB0562" w14:paraId="7ED1B806" w14:textId="77777777" w:rsidTr="00C22F9E">
        <w:trPr>
          <w:gridAfter w:val="1"/>
          <w:wAfter w:w="191" w:type="dxa"/>
          <w:trHeight w:val="300"/>
        </w:trPr>
        <w:tc>
          <w:tcPr>
            <w:tcW w:w="1134" w:type="dxa"/>
            <w:tcBorders>
              <w:top w:val="nil"/>
              <w:left w:val="nil"/>
              <w:bottom w:val="nil"/>
              <w:right w:val="nil"/>
            </w:tcBorders>
            <w:shd w:val="clear" w:color="auto" w:fill="auto"/>
            <w:noWrap/>
            <w:vAlign w:val="bottom"/>
            <w:hideMark/>
          </w:tcPr>
          <w:p w14:paraId="31620480" w14:textId="77777777" w:rsidR="00FB0562" w:rsidRPr="00FB0562" w:rsidRDefault="00FB0562" w:rsidP="00FB0562">
            <w:pPr>
              <w:spacing w:after="0" w:line="240" w:lineRule="auto"/>
              <w:jc w:val="center"/>
              <w:rPr>
                <w:rFonts w:ascii="Calibri" w:eastAsia="Times New Roman" w:hAnsi="Calibri" w:cs="Times New Roman"/>
                <w:lang w:eastAsia="pl-PL"/>
              </w:rPr>
            </w:pPr>
          </w:p>
        </w:tc>
        <w:tc>
          <w:tcPr>
            <w:tcW w:w="851" w:type="dxa"/>
            <w:tcBorders>
              <w:top w:val="nil"/>
              <w:left w:val="single" w:sz="4" w:space="0" w:color="auto"/>
              <w:bottom w:val="single" w:sz="4" w:space="0" w:color="auto"/>
              <w:right w:val="single" w:sz="4" w:space="0" w:color="auto"/>
            </w:tcBorders>
            <w:shd w:val="clear" w:color="auto" w:fill="92D050"/>
            <w:noWrap/>
            <w:vAlign w:val="bottom"/>
            <w:hideMark/>
          </w:tcPr>
          <w:p w14:paraId="18537B38" w14:textId="77777777" w:rsidR="00FB0562" w:rsidRPr="00FB0562" w:rsidRDefault="00FB0562" w:rsidP="00FB0562">
            <w:pPr>
              <w:spacing w:after="0" w:line="240" w:lineRule="auto"/>
              <w:jc w:val="right"/>
              <w:rPr>
                <w:rFonts w:ascii="Calibri" w:eastAsia="Times New Roman" w:hAnsi="Calibri" w:cs="Times New Roman"/>
                <w:b/>
                <w:bCs/>
                <w:lang w:eastAsia="pl-PL"/>
              </w:rPr>
            </w:pPr>
            <w:r w:rsidRPr="00FB0562">
              <w:rPr>
                <w:rFonts w:ascii="Calibri" w:eastAsia="Times New Roman" w:hAnsi="Calibri" w:cs="Times New Roman"/>
                <w:b/>
                <w:bCs/>
                <w:lang w:eastAsia="pl-PL"/>
              </w:rPr>
              <w:t>2013</w:t>
            </w:r>
          </w:p>
        </w:tc>
        <w:tc>
          <w:tcPr>
            <w:tcW w:w="992" w:type="dxa"/>
            <w:tcBorders>
              <w:top w:val="nil"/>
              <w:left w:val="nil"/>
              <w:bottom w:val="single" w:sz="4" w:space="0" w:color="auto"/>
              <w:right w:val="single" w:sz="4" w:space="0" w:color="auto"/>
            </w:tcBorders>
            <w:shd w:val="clear" w:color="auto" w:fill="92D050"/>
            <w:noWrap/>
            <w:vAlign w:val="bottom"/>
            <w:hideMark/>
          </w:tcPr>
          <w:p w14:paraId="55AAC937" w14:textId="77777777" w:rsidR="00FB0562" w:rsidRPr="00FB0562" w:rsidRDefault="00FB0562" w:rsidP="00FB0562">
            <w:pPr>
              <w:spacing w:after="0" w:line="240" w:lineRule="auto"/>
              <w:jc w:val="right"/>
              <w:rPr>
                <w:rFonts w:ascii="Calibri" w:eastAsia="Times New Roman" w:hAnsi="Calibri" w:cs="Times New Roman"/>
                <w:b/>
                <w:bCs/>
                <w:lang w:eastAsia="pl-PL"/>
              </w:rPr>
            </w:pPr>
            <w:r w:rsidRPr="00FB0562">
              <w:rPr>
                <w:rFonts w:ascii="Calibri" w:eastAsia="Times New Roman" w:hAnsi="Calibri" w:cs="Times New Roman"/>
                <w:b/>
                <w:bCs/>
                <w:lang w:eastAsia="pl-PL"/>
              </w:rPr>
              <w:t>2019</w:t>
            </w:r>
          </w:p>
        </w:tc>
        <w:tc>
          <w:tcPr>
            <w:tcW w:w="993" w:type="dxa"/>
            <w:tcBorders>
              <w:top w:val="nil"/>
              <w:left w:val="nil"/>
              <w:bottom w:val="single" w:sz="4" w:space="0" w:color="auto"/>
              <w:right w:val="single" w:sz="4" w:space="0" w:color="auto"/>
            </w:tcBorders>
            <w:shd w:val="clear" w:color="auto" w:fill="92D050"/>
            <w:noWrap/>
            <w:vAlign w:val="bottom"/>
            <w:hideMark/>
          </w:tcPr>
          <w:p w14:paraId="13F633D3" w14:textId="77777777" w:rsidR="00FB0562" w:rsidRPr="00FB0562" w:rsidRDefault="00FB0562" w:rsidP="00FB0562">
            <w:pPr>
              <w:spacing w:after="0" w:line="240" w:lineRule="auto"/>
              <w:jc w:val="right"/>
              <w:rPr>
                <w:rFonts w:ascii="Calibri" w:eastAsia="Times New Roman" w:hAnsi="Calibri" w:cs="Times New Roman"/>
                <w:b/>
                <w:bCs/>
                <w:lang w:eastAsia="pl-PL"/>
              </w:rPr>
            </w:pPr>
            <w:r w:rsidRPr="00FB0562">
              <w:rPr>
                <w:rFonts w:ascii="Calibri" w:eastAsia="Times New Roman" w:hAnsi="Calibri" w:cs="Times New Roman"/>
                <w:b/>
                <w:bCs/>
                <w:lang w:eastAsia="pl-PL"/>
              </w:rPr>
              <w:t>2030</w:t>
            </w:r>
            <w:r w:rsidR="003D2B0B">
              <w:rPr>
                <w:rFonts w:ascii="Calibri" w:eastAsia="Times New Roman" w:hAnsi="Calibri" w:cs="Times New Roman"/>
                <w:b/>
                <w:bCs/>
                <w:lang w:eastAsia="pl-PL"/>
              </w:rPr>
              <w:t>*</w:t>
            </w:r>
          </w:p>
        </w:tc>
        <w:tc>
          <w:tcPr>
            <w:tcW w:w="850" w:type="dxa"/>
            <w:tcBorders>
              <w:top w:val="nil"/>
              <w:left w:val="nil"/>
              <w:bottom w:val="single" w:sz="4" w:space="0" w:color="auto"/>
              <w:right w:val="single" w:sz="4" w:space="0" w:color="auto"/>
            </w:tcBorders>
            <w:shd w:val="clear" w:color="auto" w:fill="92D050"/>
            <w:noWrap/>
            <w:vAlign w:val="bottom"/>
            <w:hideMark/>
          </w:tcPr>
          <w:p w14:paraId="672EEE41" w14:textId="77777777" w:rsidR="00FB0562" w:rsidRPr="00FB0562" w:rsidRDefault="00FB0562" w:rsidP="00FB0562">
            <w:pPr>
              <w:spacing w:after="0" w:line="240" w:lineRule="auto"/>
              <w:jc w:val="right"/>
              <w:rPr>
                <w:rFonts w:ascii="Calibri" w:eastAsia="Times New Roman" w:hAnsi="Calibri" w:cs="Times New Roman"/>
                <w:b/>
                <w:bCs/>
                <w:lang w:eastAsia="pl-PL"/>
              </w:rPr>
            </w:pPr>
            <w:r w:rsidRPr="00FB0562">
              <w:rPr>
                <w:rFonts w:ascii="Calibri" w:eastAsia="Times New Roman" w:hAnsi="Calibri" w:cs="Times New Roman"/>
                <w:b/>
                <w:bCs/>
                <w:lang w:eastAsia="pl-PL"/>
              </w:rPr>
              <w:t>2013</w:t>
            </w:r>
          </w:p>
        </w:tc>
        <w:tc>
          <w:tcPr>
            <w:tcW w:w="851" w:type="dxa"/>
            <w:tcBorders>
              <w:top w:val="nil"/>
              <w:left w:val="nil"/>
              <w:bottom w:val="single" w:sz="4" w:space="0" w:color="auto"/>
              <w:right w:val="single" w:sz="4" w:space="0" w:color="auto"/>
            </w:tcBorders>
            <w:shd w:val="clear" w:color="auto" w:fill="92D050"/>
            <w:noWrap/>
            <w:vAlign w:val="bottom"/>
            <w:hideMark/>
          </w:tcPr>
          <w:p w14:paraId="0E773432" w14:textId="77777777" w:rsidR="00FB0562" w:rsidRPr="00FB0562" w:rsidRDefault="00FB0562" w:rsidP="00FB0562">
            <w:pPr>
              <w:spacing w:after="0" w:line="240" w:lineRule="auto"/>
              <w:jc w:val="right"/>
              <w:rPr>
                <w:rFonts w:ascii="Calibri" w:eastAsia="Times New Roman" w:hAnsi="Calibri" w:cs="Times New Roman"/>
                <w:b/>
                <w:bCs/>
                <w:lang w:eastAsia="pl-PL"/>
              </w:rPr>
            </w:pPr>
            <w:r w:rsidRPr="00FB0562">
              <w:rPr>
                <w:rFonts w:ascii="Calibri" w:eastAsia="Times New Roman" w:hAnsi="Calibri" w:cs="Times New Roman"/>
                <w:b/>
                <w:bCs/>
                <w:lang w:eastAsia="pl-PL"/>
              </w:rPr>
              <w:t>2019</w:t>
            </w:r>
          </w:p>
        </w:tc>
        <w:tc>
          <w:tcPr>
            <w:tcW w:w="850" w:type="dxa"/>
            <w:tcBorders>
              <w:top w:val="nil"/>
              <w:left w:val="nil"/>
              <w:bottom w:val="single" w:sz="4" w:space="0" w:color="auto"/>
              <w:right w:val="single" w:sz="4" w:space="0" w:color="auto"/>
            </w:tcBorders>
            <w:shd w:val="clear" w:color="auto" w:fill="92D050"/>
            <w:noWrap/>
            <w:vAlign w:val="bottom"/>
            <w:hideMark/>
          </w:tcPr>
          <w:p w14:paraId="0E1A09F4" w14:textId="77777777" w:rsidR="00FB0562" w:rsidRPr="00FB0562" w:rsidRDefault="00FB0562" w:rsidP="00FB0562">
            <w:pPr>
              <w:spacing w:after="0" w:line="240" w:lineRule="auto"/>
              <w:jc w:val="right"/>
              <w:rPr>
                <w:rFonts w:ascii="Calibri" w:eastAsia="Times New Roman" w:hAnsi="Calibri" w:cs="Times New Roman"/>
                <w:b/>
                <w:bCs/>
                <w:lang w:eastAsia="pl-PL"/>
              </w:rPr>
            </w:pPr>
            <w:r w:rsidRPr="00FB0562">
              <w:rPr>
                <w:rFonts w:ascii="Calibri" w:eastAsia="Times New Roman" w:hAnsi="Calibri" w:cs="Times New Roman"/>
                <w:b/>
                <w:bCs/>
                <w:lang w:eastAsia="pl-PL"/>
              </w:rPr>
              <w:t>2030</w:t>
            </w:r>
            <w:r w:rsidR="003D2B0B">
              <w:rPr>
                <w:rFonts w:ascii="Calibri" w:eastAsia="Times New Roman" w:hAnsi="Calibri" w:cs="Times New Roman"/>
                <w:b/>
                <w:bCs/>
                <w:lang w:eastAsia="pl-PL"/>
              </w:rPr>
              <w:t>*</w:t>
            </w:r>
          </w:p>
        </w:tc>
        <w:tc>
          <w:tcPr>
            <w:tcW w:w="851" w:type="dxa"/>
            <w:tcBorders>
              <w:top w:val="nil"/>
              <w:left w:val="nil"/>
              <w:bottom w:val="single" w:sz="4" w:space="0" w:color="auto"/>
              <w:right w:val="single" w:sz="4" w:space="0" w:color="auto"/>
            </w:tcBorders>
            <w:shd w:val="clear" w:color="auto" w:fill="92D050"/>
            <w:noWrap/>
            <w:vAlign w:val="bottom"/>
            <w:hideMark/>
          </w:tcPr>
          <w:p w14:paraId="17FC9A6D" w14:textId="77777777" w:rsidR="00FB0562" w:rsidRPr="00FB0562" w:rsidRDefault="00FB0562" w:rsidP="00FB0562">
            <w:pPr>
              <w:spacing w:after="0" w:line="240" w:lineRule="auto"/>
              <w:jc w:val="right"/>
              <w:rPr>
                <w:rFonts w:ascii="Calibri" w:eastAsia="Times New Roman" w:hAnsi="Calibri" w:cs="Times New Roman"/>
                <w:b/>
                <w:bCs/>
                <w:lang w:eastAsia="pl-PL"/>
              </w:rPr>
            </w:pPr>
            <w:r w:rsidRPr="00FB0562">
              <w:rPr>
                <w:rFonts w:ascii="Calibri" w:eastAsia="Times New Roman" w:hAnsi="Calibri" w:cs="Times New Roman"/>
                <w:b/>
                <w:bCs/>
                <w:lang w:eastAsia="pl-PL"/>
              </w:rPr>
              <w:t>2013</w:t>
            </w:r>
          </w:p>
        </w:tc>
        <w:tc>
          <w:tcPr>
            <w:tcW w:w="850" w:type="dxa"/>
            <w:tcBorders>
              <w:top w:val="nil"/>
              <w:left w:val="nil"/>
              <w:bottom w:val="single" w:sz="4" w:space="0" w:color="auto"/>
              <w:right w:val="single" w:sz="4" w:space="0" w:color="auto"/>
            </w:tcBorders>
            <w:shd w:val="clear" w:color="auto" w:fill="92D050"/>
            <w:noWrap/>
            <w:vAlign w:val="bottom"/>
            <w:hideMark/>
          </w:tcPr>
          <w:p w14:paraId="50BD17B2" w14:textId="77777777" w:rsidR="00FB0562" w:rsidRPr="00FB0562" w:rsidRDefault="00FB0562" w:rsidP="00FB0562">
            <w:pPr>
              <w:spacing w:after="0" w:line="240" w:lineRule="auto"/>
              <w:jc w:val="right"/>
              <w:rPr>
                <w:rFonts w:ascii="Calibri" w:eastAsia="Times New Roman" w:hAnsi="Calibri" w:cs="Times New Roman"/>
                <w:b/>
                <w:bCs/>
                <w:lang w:eastAsia="pl-PL"/>
              </w:rPr>
            </w:pPr>
            <w:r w:rsidRPr="00FB0562">
              <w:rPr>
                <w:rFonts w:ascii="Calibri" w:eastAsia="Times New Roman" w:hAnsi="Calibri" w:cs="Times New Roman"/>
                <w:b/>
                <w:bCs/>
                <w:lang w:eastAsia="pl-PL"/>
              </w:rPr>
              <w:t>2019</w:t>
            </w:r>
          </w:p>
        </w:tc>
        <w:tc>
          <w:tcPr>
            <w:tcW w:w="861" w:type="dxa"/>
            <w:tcBorders>
              <w:top w:val="nil"/>
              <w:left w:val="nil"/>
              <w:bottom w:val="single" w:sz="4" w:space="0" w:color="auto"/>
              <w:right w:val="single" w:sz="4" w:space="0" w:color="auto"/>
            </w:tcBorders>
            <w:shd w:val="clear" w:color="auto" w:fill="92D050"/>
            <w:noWrap/>
            <w:vAlign w:val="bottom"/>
            <w:hideMark/>
          </w:tcPr>
          <w:p w14:paraId="0142E82D" w14:textId="77777777" w:rsidR="00FB0562" w:rsidRPr="00FB0562" w:rsidRDefault="00FB0562" w:rsidP="00FB0562">
            <w:pPr>
              <w:spacing w:after="0" w:line="240" w:lineRule="auto"/>
              <w:jc w:val="right"/>
              <w:rPr>
                <w:rFonts w:ascii="Calibri" w:eastAsia="Times New Roman" w:hAnsi="Calibri" w:cs="Times New Roman"/>
                <w:b/>
                <w:bCs/>
                <w:lang w:eastAsia="pl-PL"/>
              </w:rPr>
            </w:pPr>
            <w:r w:rsidRPr="00FB0562">
              <w:rPr>
                <w:rFonts w:ascii="Calibri" w:eastAsia="Times New Roman" w:hAnsi="Calibri" w:cs="Times New Roman"/>
                <w:b/>
                <w:bCs/>
                <w:lang w:eastAsia="pl-PL"/>
              </w:rPr>
              <w:t>2030</w:t>
            </w:r>
            <w:r w:rsidR="003D2B0B">
              <w:rPr>
                <w:rFonts w:ascii="Calibri" w:eastAsia="Times New Roman" w:hAnsi="Calibri" w:cs="Times New Roman"/>
                <w:b/>
                <w:bCs/>
                <w:lang w:eastAsia="pl-PL"/>
              </w:rPr>
              <w:t>*</w:t>
            </w:r>
          </w:p>
        </w:tc>
      </w:tr>
      <w:tr w:rsidR="00FB0562" w:rsidRPr="00FB0562" w14:paraId="6D218971" w14:textId="77777777" w:rsidTr="00C22F9E">
        <w:trPr>
          <w:gridAfter w:val="1"/>
          <w:wAfter w:w="191" w:type="dxa"/>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8DA86E" w14:textId="77777777" w:rsidR="00FB0562" w:rsidRPr="00FB0562" w:rsidRDefault="00FB0562" w:rsidP="00FB0562">
            <w:pPr>
              <w:spacing w:after="0" w:line="240" w:lineRule="auto"/>
              <w:rPr>
                <w:rFonts w:ascii="Calibri" w:eastAsia="Times New Roman" w:hAnsi="Calibri" w:cs="Times New Roman"/>
                <w:lang w:eastAsia="pl-PL"/>
              </w:rPr>
            </w:pPr>
            <w:r w:rsidRPr="00FB0562">
              <w:rPr>
                <w:rFonts w:ascii="Calibri" w:eastAsia="Times New Roman" w:hAnsi="Calibri" w:cs="Times New Roman"/>
                <w:lang w:eastAsia="pl-PL"/>
              </w:rPr>
              <w:t>Olsztyn</w:t>
            </w:r>
          </w:p>
        </w:tc>
        <w:tc>
          <w:tcPr>
            <w:tcW w:w="851" w:type="dxa"/>
            <w:tcBorders>
              <w:top w:val="nil"/>
              <w:left w:val="nil"/>
              <w:bottom w:val="single" w:sz="4" w:space="0" w:color="auto"/>
              <w:right w:val="single" w:sz="4" w:space="0" w:color="auto"/>
            </w:tcBorders>
            <w:shd w:val="clear" w:color="auto" w:fill="auto"/>
            <w:noWrap/>
            <w:vAlign w:val="bottom"/>
            <w:hideMark/>
          </w:tcPr>
          <w:p w14:paraId="2B8358B5"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16,4</w:t>
            </w:r>
          </w:p>
        </w:tc>
        <w:tc>
          <w:tcPr>
            <w:tcW w:w="992" w:type="dxa"/>
            <w:tcBorders>
              <w:top w:val="nil"/>
              <w:left w:val="nil"/>
              <w:bottom w:val="single" w:sz="4" w:space="0" w:color="auto"/>
              <w:right w:val="single" w:sz="4" w:space="0" w:color="auto"/>
            </w:tcBorders>
            <w:shd w:val="clear" w:color="auto" w:fill="auto"/>
            <w:noWrap/>
            <w:vAlign w:val="bottom"/>
            <w:hideMark/>
          </w:tcPr>
          <w:p w14:paraId="68EEDBF0"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17,6</w:t>
            </w:r>
          </w:p>
        </w:tc>
        <w:tc>
          <w:tcPr>
            <w:tcW w:w="993" w:type="dxa"/>
            <w:tcBorders>
              <w:top w:val="nil"/>
              <w:left w:val="nil"/>
              <w:bottom w:val="single" w:sz="4" w:space="0" w:color="auto"/>
              <w:right w:val="single" w:sz="4" w:space="0" w:color="auto"/>
            </w:tcBorders>
            <w:shd w:val="clear" w:color="auto" w:fill="auto"/>
            <w:noWrap/>
            <w:vAlign w:val="bottom"/>
            <w:hideMark/>
          </w:tcPr>
          <w:p w14:paraId="2E786B44"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16,1</w:t>
            </w:r>
          </w:p>
        </w:tc>
        <w:tc>
          <w:tcPr>
            <w:tcW w:w="850" w:type="dxa"/>
            <w:tcBorders>
              <w:top w:val="nil"/>
              <w:left w:val="nil"/>
              <w:bottom w:val="single" w:sz="4" w:space="0" w:color="auto"/>
              <w:right w:val="single" w:sz="4" w:space="0" w:color="auto"/>
            </w:tcBorders>
            <w:shd w:val="clear" w:color="auto" w:fill="auto"/>
            <w:noWrap/>
            <w:vAlign w:val="bottom"/>
            <w:hideMark/>
          </w:tcPr>
          <w:p w14:paraId="5CB7EAD1"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65,0</w:t>
            </w:r>
          </w:p>
        </w:tc>
        <w:tc>
          <w:tcPr>
            <w:tcW w:w="851" w:type="dxa"/>
            <w:tcBorders>
              <w:top w:val="nil"/>
              <w:left w:val="nil"/>
              <w:bottom w:val="single" w:sz="4" w:space="0" w:color="auto"/>
              <w:right w:val="single" w:sz="4" w:space="0" w:color="auto"/>
            </w:tcBorders>
            <w:shd w:val="clear" w:color="auto" w:fill="auto"/>
            <w:noWrap/>
            <w:vAlign w:val="bottom"/>
            <w:hideMark/>
          </w:tcPr>
          <w:p w14:paraId="16B828F9"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58,9</w:t>
            </w:r>
          </w:p>
        </w:tc>
        <w:tc>
          <w:tcPr>
            <w:tcW w:w="850" w:type="dxa"/>
            <w:tcBorders>
              <w:top w:val="nil"/>
              <w:left w:val="nil"/>
              <w:bottom w:val="single" w:sz="4" w:space="0" w:color="auto"/>
              <w:right w:val="single" w:sz="4" w:space="0" w:color="auto"/>
            </w:tcBorders>
            <w:shd w:val="clear" w:color="auto" w:fill="auto"/>
            <w:noWrap/>
            <w:vAlign w:val="bottom"/>
            <w:hideMark/>
          </w:tcPr>
          <w:p w14:paraId="32089227"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57,6</w:t>
            </w:r>
          </w:p>
        </w:tc>
        <w:tc>
          <w:tcPr>
            <w:tcW w:w="851" w:type="dxa"/>
            <w:tcBorders>
              <w:top w:val="nil"/>
              <w:left w:val="nil"/>
              <w:bottom w:val="single" w:sz="4" w:space="0" w:color="auto"/>
              <w:right w:val="single" w:sz="4" w:space="0" w:color="auto"/>
            </w:tcBorders>
            <w:shd w:val="clear" w:color="auto" w:fill="auto"/>
            <w:noWrap/>
            <w:vAlign w:val="bottom"/>
            <w:hideMark/>
          </w:tcPr>
          <w:p w14:paraId="0DDBB6C4"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18,5</w:t>
            </w:r>
          </w:p>
        </w:tc>
        <w:tc>
          <w:tcPr>
            <w:tcW w:w="850" w:type="dxa"/>
            <w:tcBorders>
              <w:top w:val="nil"/>
              <w:left w:val="nil"/>
              <w:bottom w:val="single" w:sz="4" w:space="0" w:color="auto"/>
              <w:right w:val="single" w:sz="4" w:space="0" w:color="auto"/>
            </w:tcBorders>
            <w:shd w:val="clear" w:color="auto" w:fill="auto"/>
            <w:noWrap/>
            <w:vAlign w:val="bottom"/>
            <w:hideMark/>
          </w:tcPr>
          <w:p w14:paraId="40FF3374"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23,4</w:t>
            </w:r>
          </w:p>
        </w:tc>
        <w:tc>
          <w:tcPr>
            <w:tcW w:w="861" w:type="dxa"/>
            <w:tcBorders>
              <w:top w:val="nil"/>
              <w:left w:val="nil"/>
              <w:bottom w:val="single" w:sz="4" w:space="0" w:color="auto"/>
              <w:right w:val="single" w:sz="4" w:space="0" w:color="auto"/>
            </w:tcBorders>
            <w:shd w:val="clear" w:color="auto" w:fill="auto"/>
            <w:noWrap/>
            <w:vAlign w:val="bottom"/>
            <w:hideMark/>
          </w:tcPr>
          <w:p w14:paraId="1965B01A"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26,3</w:t>
            </w:r>
          </w:p>
        </w:tc>
      </w:tr>
      <w:tr w:rsidR="00FB0562" w:rsidRPr="00FB0562" w14:paraId="0556733B" w14:textId="77777777" w:rsidTr="00C22F9E">
        <w:trPr>
          <w:gridAfter w:val="1"/>
          <w:wAfter w:w="191" w:type="dxa"/>
          <w:trHeight w:val="30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AA2B680" w14:textId="77777777" w:rsidR="00FB0562" w:rsidRPr="00FB0562" w:rsidRDefault="00FB0562" w:rsidP="00FB0562">
            <w:pPr>
              <w:spacing w:after="0" w:line="240" w:lineRule="auto"/>
              <w:rPr>
                <w:rFonts w:ascii="Calibri" w:eastAsia="Times New Roman" w:hAnsi="Calibri" w:cs="Times New Roman"/>
                <w:lang w:eastAsia="pl-PL"/>
              </w:rPr>
            </w:pPr>
            <w:r w:rsidRPr="00FB0562">
              <w:rPr>
                <w:rFonts w:ascii="Calibri" w:eastAsia="Times New Roman" w:hAnsi="Calibri" w:cs="Times New Roman"/>
                <w:lang w:eastAsia="pl-PL"/>
              </w:rPr>
              <w:t>Kielce</w:t>
            </w:r>
          </w:p>
        </w:tc>
        <w:tc>
          <w:tcPr>
            <w:tcW w:w="851" w:type="dxa"/>
            <w:tcBorders>
              <w:top w:val="nil"/>
              <w:left w:val="nil"/>
              <w:bottom w:val="single" w:sz="4" w:space="0" w:color="auto"/>
              <w:right w:val="single" w:sz="4" w:space="0" w:color="auto"/>
            </w:tcBorders>
            <w:shd w:val="clear" w:color="auto" w:fill="auto"/>
            <w:noWrap/>
            <w:vAlign w:val="bottom"/>
            <w:hideMark/>
          </w:tcPr>
          <w:p w14:paraId="0F402F7C"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15,6</w:t>
            </w:r>
          </w:p>
        </w:tc>
        <w:tc>
          <w:tcPr>
            <w:tcW w:w="992" w:type="dxa"/>
            <w:tcBorders>
              <w:top w:val="nil"/>
              <w:left w:val="nil"/>
              <w:bottom w:val="single" w:sz="4" w:space="0" w:color="auto"/>
              <w:right w:val="single" w:sz="4" w:space="0" w:color="auto"/>
            </w:tcBorders>
            <w:shd w:val="clear" w:color="auto" w:fill="auto"/>
            <w:noWrap/>
            <w:vAlign w:val="bottom"/>
            <w:hideMark/>
          </w:tcPr>
          <w:p w14:paraId="2C6A5980"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15,9</w:t>
            </w:r>
          </w:p>
        </w:tc>
        <w:tc>
          <w:tcPr>
            <w:tcW w:w="993" w:type="dxa"/>
            <w:tcBorders>
              <w:top w:val="nil"/>
              <w:left w:val="nil"/>
              <w:bottom w:val="single" w:sz="4" w:space="0" w:color="auto"/>
              <w:right w:val="single" w:sz="4" w:space="0" w:color="auto"/>
            </w:tcBorders>
            <w:shd w:val="clear" w:color="auto" w:fill="auto"/>
            <w:noWrap/>
            <w:vAlign w:val="bottom"/>
            <w:hideMark/>
          </w:tcPr>
          <w:p w14:paraId="06F858D9"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15,1</w:t>
            </w:r>
          </w:p>
        </w:tc>
        <w:tc>
          <w:tcPr>
            <w:tcW w:w="850" w:type="dxa"/>
            <w:tcBorders>
              <w:top w:val="nil"/>
              <w:left w:val="nil"/>
              <w:bottom w:val="single" w:sz="4" w:space="0" w:color="auto"/>
              <w:right w:val="single" w:sz="4" w:space="0" w:color="auto"/>
            </w:tcBorders>
            <w:shd w:val="clear" w:color="auto" w:fill="auto"/>
            <w:noWrap/>
            <w:vAlign w:val="bottom"/>
            <w:hideMark/>
          </w:tcPr>
          <w:p w14:paraId="00752C0B"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62,8</w:t>
            </w:r>
          </w:p>
        </w:tc>
        <w:tc>
          <w:tcPr>
            <w:tcW w:w="851" w:type="dxa"/>
            <w:tcBorders>
              <w:top w:val="nil"/>
              <w:left w:val="nil"/>
              <w:bottom w:val="single" w:sz="4" w:space="0" w:color="auto"/>
              <w:right w:val="single" w:sz="4" w:space="0" w:color="auto"/>
            </w:tcBorders>
            <w:shd w:val="clear" w:color="auto" w:fill="auto"/>
            <w:noWrap/>
            <w:vAlign w:val="bottom"/>
            <w:hideMark/>
          </w:tcPr>
          <w:p w14:paraId="2A273FBF"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57,7</w:t>
            </w:r>
          </w:p>
        </w:tc>
        <w:tc>
          <w:tcPr>
            <w:tcW w:w="850" w:type="dxa"/>
            <w:tcBorders>
              <w:top w:val="nil"/>
              <w:left w:val="nil"/>
              <w:bottom w:val="single" w:sz="4" w:space="0" w:color="auto"/>
              <w:right w:val="single" w:sz="4" w:space="0" w:color="auto"/>
            </w:tcBorders>
            <w:shd w:val="clear" w:color="auto" w:fill="auto"/>
            <w:noWrap/>
            <w:vAlign w:val="bottom"/>
            <w:hideMark/>
          </w:tcPr>
          <w:p w14:paraId="3EC53A23"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55,1</w:t>
            </w:r>
          </w:p>
        </w:tc>
        <w:tc>
          <w:tcPr>
            <w:tcW w:w="851" w:type="dxa"/>
            <w:tcBorders>
              <w:top w:val="nil"/>
              <w:left w:val="nil"/>
              <w:bottom w:val="single" w:sz="4" w:space="0" w:color="auto"/>
              <w:right w:val="single" w:sz="4" w:space="0" w:color="auto"/>
            </w:tcBorders>
            <w:shd w:val="clear" w:color="auto" w:fill="auto"/>
            <w:noWrap/>
            <w:vAlign w:val="bottom"/>
            <w:hideMark/>
          </w:tcPr>
          <w:p w14:paraId="2F541517"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21,6</w:t>
            </w:r>
          </w:p>
        </w:tc>
        <w:tc>
          <w:tcPr>
            <w:tcW w:w="850" w:type="dxa"/>
            <w:tcBorders>
              <w:top w:val="nil"/>
              <w:left w:val="nil"/>
              <w:bottom w:val="single" w:sz="4" w:space="0" w:color="auto"/>
              <w:right w:val="single" w:sz="4" w:space="0" w:color="auto"/>
            </w:tcBorders>
            <w:shd w:val="clear" w:color="auto" w:fill="auto"/>
            <w:noWrap/>
            <w:vAlign w:val="bottom"/>
            <w:hideMark/>
          </w:tcPr>
          <w:p w14:paraId="47B9D059"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26,4</w:t>
            </w:r>
          </w:p>
        </w:tc>
        <w:tc>
          <w:tcPr>
            <w:tcW w:w="861" w:type="dxa"/>
            <w:tcBorders>
              <w:top w:val="nil"/>
              <w:left w:val="nil"/>
              <w:bottom w:val="single" w:sz="4" w:space="0" w:color="auto"/>
              <w:right w:val="single" w:sz="4" w:space="0" w:color="auto"/>
            </w:tcBorders>
            <w:shd w:val="clear" w:color="auto" w:fill="auto"/>
            <w:noWrap/>
            <w:vAlign w:val="bottom"/>
            <w:hideMark/>
          </w:tcPr>
          <w:p w14:paraId="3E7ABAA0"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29,8</w:t>
            </w:r>
          </w:p>
        </w:tc>
      </w:tr>
      <w:tr w:rsidR="00FB0562" w:rsidRPr="00FB0562" w14:paraId="18289B22" w14:textId="77777777" w:rsidTr="00C22F9E">
        <w:trPr>
          <w:gridAfter w:val="1"/>
          <w:wAfter w:w="191" w:type="dxa"/>
          <w:trHeight w:val="30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08F4F83" w14:textId="77777777" w:rsidR="00FB0562" w:rsidRPr="00FB0562" w:rsidRDefault="00FB0562" w:rsidP="00FB0562">
            <w:pPr>
              <w:spacing w:after="0" w:line="240" w:lineRule="auto"/>
              <w:rPr>
                <w:rFonts w:ascii="Calibri" w:eastAsia="Times New Roman" w:hAnsi="Calibri" w:cs="Times New Roman"/>
                <w:lang w:eastAsia="pl-PL"/>
              </w:rPr>
            </w:pPr>
            <w:r w:rsidRPr="00FB0562">
              <w:rPr>
                <w:rFonts w:ascii="Calibri" w:eastAsia="Times New Roman" w:hAnsi="Calibri" w:cs="Times New Roman"/>
                <w:lang w:eastAsia="pl-PL"/>
              </w:rPr>
              <w:t>Białystok</w:t>
            </w:r>
          </w:p>
        </w:tc>
        <w:tc>
          <w:tcPr>
            <w:tcW w:w="851" w:type="dxa"/>
            <w:tcBorders>
              <w:top w:val="nil"/>
              <w:left w:val="nil"/>
              <w:bottom w:val="single" w:sz="4" w:space="0" w:color="auto"/>
              <w:right w:val="single" w:sz="4" w:space="0" w:color="auto"/>
            </w:tcBorders>
            <w:shd w:val="clear" w:color="auto" w:fill="auto"/>
            <w:noWrap/>
            <w:vAlign w:val="bottom"/>
            <w:hideMark/>
          </w:tcPr>
          <w:p w14:paraId="74EA2D74"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16,9</w:t>
            </w:r>
          </w:p>
        </w:tc>
        <w:tc>
          <w:tcPr>
            <w:tcW w:w="992" w:type="dxa"/>
            <w:tcBorders>
              <w:top w:val="nil"/>
              <w:left w:val="nil"/>
              <w:bottom w:val="single" w:sz="4" w:space="0" w:color="auto"/>
              <w:right w:val="single" w:sz="4" w:space="0" w:color="auto"/>
            </w:tcBorders>
            <w:shd w:val="clear" w:color="auto" w:fill="auto"/>
            <w:noWrap/>
            <w:vAlign w:val="bottom"/>
            <w:hideMark/>
          </w:tcPr>
          <w:p w14:paraId="56DEA550"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17,9</w:t>
            </w:r>
          </w:p>
        </w:tc>
        <w:tc>
          <w:tcPr>
            <w:tcW w:w="993" w:type="dxa"/>
            <w:tcBorders>
              <w:top w:val="nil"/>
              <w:left w:val="nil"/>
              <w:bottom w:val="single" w:sz="4" w:space="0" w:color="auto"/>
              <w:right w:val="single" w:sz="4" w:space="0" w:color="auto"/>
            </w:tcBorders>
            <w:shd w:val="clear" w:color="auto" w:fill="auto"/>
            <w:noWrap/>
            <w:vAlign w:val="bottom"/>
            <w:hideMark/>
          </w:tcPr>
          <w:p w14:paraId="3678D6BD"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16,6</w:t>
            </w:r>
          </w:p>
        </w:tc>
        <w:tc>
          <w:tcPr>
            <w:tcW w:w="850" w:type="dxa"/>
            <w:tcBorders>
              <w:top w:val="nil"/>
              <w:left w:val="nil"/>
              <w:bottom w:val="single" w:sz="4" w:space="0" w:color="auto"/>
              <w:right w:val="single" w:sz="4" w:space="0" w:color="auto"/>
            </w:tcBorders>
            <w:shd w:val="clear" w:color="auto" w:fill="auto"/>
            <w:noWrap/>
            <w:vAlign w:val="bottom"/>
            <w:hideMark/>
          </w:tcPr>
          <w:p w14:paraId="54D2E0FB"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65,0</w:t>
            </w:r>
          </w:p>
        </w:tc>
        <w:tc>
          <w:tcPr>
            <w:tcW w:w="851" w:type="dxa"/>
            <w:tcBorders>
              <w:top w:val="nil"/>
              <w:left w:val="nil"/>
              <w:bottom w:val="single" w:sz="4" w:space="0" w:color="auto"/>
              <w:right w:val="single" w:sz="4" w:space="0" w:color="auto"/>
            </w:tcBorders>
            <w:shd w:val="clear" w:color="auto" w:fill="auto"/>
            <w:noWrap/>
            <w:vAlign w:val="bottom"/>
            <w:hideMark/>
          </w:tcPr>
          <w:p w14:paraId="390DF299"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60,3</w:t>
            </w:r>
          </w:p>
        </w:tc>
        <w:tc>
          <w:tcPr>
            <w:tcW w:w="850" w:type="dxa"/>
            <w:tcBorders>
              <w:top w:val="nil"/>
              <w:left w:val="nil"/>
              <w:bottom w:val="single" w:sz="4" w:space="0" w:color="auto"/>
              <w:right w:val="single" w:sz="4" w:space="0" w:color="auto"/>
            </w:tcBorders>
            <w:shd w:val="clear" w:color="auto" w:fill="auto"/>
            <w:noWrap/>
            <w:vAlign w:val="bottom"/>
            <w:hideMark/>
          </w:tcPr>
          <w:p w14:paraId="6720A342"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57,2</w:t>
            </w:r>
          </w:p>
        </w:tc>
        <w:tc>
          <w:tcPr>
            <w:tcW w:w="851" w:type="dxa"/>
            <w:tcBorders>
              <w:top w:val="nil"/>
              <w:left w:val="nil"/>
              <w:bottom w:val="single" w:sz="4" w:space="0" w:color="auto"/>
              <w:right w:val="single" w:sz="4" w:space="0" w:color="auto"/>
            </w:tcBorders>
            <w:shd w:val="clear" w:color="auto" w:fill="auto"/>
            <w:noWrap/>
            <w:vAlign w:val="bottom"/>
            <w:hideMark/>
          </w:tcPr>
          <w:p w14:paraId="6A240659"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18,1</w:t>
            </w:r>
          </w:p>
        </w:tc>
        <w:tc>
          <w:tcPr>
            <w:tcW w:w="850" w:type="dxa"/>
            <w:tcBorders>
              <w:top w:val="nil"/>
              <w:left w:val="nil"/>
              <w:bottom w:val="single" w:sz="4" w:space="0" w:color="auto"/>
              <w:right w:val="single" w:sz="4" w:space="0" w:color="auto"/>
            </w:tcBorders>
            <w:shd w:val="clear" w:color="auto" w:fill="auto"/>
            <w:noWrap/>
            <w:vAlign w:val="bottom"/>
            <w:hideMark/>
          </w:tcPr>
          <w:p w14:paraId="03146957"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21,8</w:t>
            </w:r>
          </w:p>
        </w:tc>
        <w:tc>
          <w:tcPr>
            <w:tcW w:w="861" w:type="dxa"/>
            <w:tcBorders>
              <w:top w:val="nil"/>
              <w:left w:val="nil"/>
              <w:bottom w:val="single" w:sz="4" w:space="0" w:color="auto"/>
              <w:right w:val="single" w:sz="4" w:space="0" w:color="auto"/>
            </w:tcBorders>
            <w:shd w:val="clear" w:color="auto" w:fill="auto"/>
            <w:noWrap/>
            <w:vAlign w:val="bottom"/>
            <w:hideMark/>
          </w:tcPr>
          <w:p w14:paraId="4119DC63"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26,1</w:t>
            </w:r>
          </w:p>
        </w:tc>
      </w:tr>
      <w:tr w:rsidR="00FB0562" w:rsidRPr="00FB0562" w14:paraId="1F32633B" w14:textId="77777777" w:rsidTr="00C22F9E">
        <w:trPr>
          <w:gridAfter w:val="1"/>
          <w:wAfter w:w="191" w:type="dxa"/>
          <w:trHeight w:val="30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8D437AC" w14:textId="77777777" w:rsidR="00FB0562" w:rsidRPr="00FB0562" w:rsidRDefault="00FB0562" w:rsidP="00FB0562">
            <w:pPr>
              <w:spacing w:after="0" w:line="240" w:lineRule="auto"/>
              <w:rPr>
                <w:rFonts w:ascii="Calibri" w:eastAsia="Times New Roman" w:hAnsi="Calibri" w:cs="Times New Roman"/>
                <w:lang w:eastAsia="pl-PL"/>
              </w:rPr>
            </w:pPr>
            <w:r w:rsidRPr="00FB0562">
              <w:rPr>
                <w:rFonts w:ascii="Calibri" w:eastAsia="Times New Roman" w:hAnsi="Calibri" w:cs="Times New Roman"/>
                <w:lang w:eastAsia="pl-PL"/>
              </w:rPr>
              <w:t>Rzeszów</w:t>
            </w:r>
          </w:p>
        </w:tc>
        <w:tc>
          <w:tcPr>
            <w:tcW w:w="851" w:type="dxa"/>
            <w:tcBorders>
              <w:top w:val="nil"/>
              <w:left w:val="nil"/>
              <w:bottom w:val="single" w:sz="4" w:space="0" w:color="auto"/>
              <w:right w:val="single" w:sz="4" w:space="0" w:color="auto"/>
            </w:tcBorders>
            <w:shd w:val="clear" w:color="auto" w:fill="auto"/>
            <w:noWrap/>
            <w:vAlign w:val="bottom"/>
            <w:hideMark/>
          </w:tcPr>
          <w:p w14:paraId="3068B6E6"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17,5</w:t>
            </w:r>
          </w:p>
        </w:tc>
        <w:tc>
          <w:tcPr>
            <w:tcW w:w="992" w:type="dxa"/>
            <w:tcBorders>
              <w:top w:val="nil"/>
              <w:left w:val="nil"/>
              <w:bottom w:val="single" w:sz="4" w:space="0" w:color="auto"/>
              <w:right w:val="single" w:sz="4" w:space="0" w:color="auto"/>
            </w:tcBorders>
            <w:shd w:val="clear" w:color="auto" w:fill="auto"/>
            <w:noWrap/>
            <w:vAlign w:val="bottom"/>
            <w:hideMark/>
          </w:tcPr>
          <w:p w14:paraId="3C3D613C"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18,9</w:t>
            </w:r>
          </w:p>
        </w:tc>
        <w:tc>
          <w:tcPr>
            <w:tcW w:w="993" w:type="dxa"/>
            <w:tcBorders>
              <w:top w:val="nil"/>
              <w:left w:val="nil"/>
              <w:bottom w:val="single" w:sz="4" w:space="0" w:color="auto"/>
              <w:right w:val="single" w:sz="4" w:space="0" w:color="auto"/>
            </w:tcBorders>
            <w:shd w:val="clear" w:color="auto" w:fill="auto"/>
            <w:noWrap/>
            <w:vAlign w:val="bottom"/>
            <w:hideMark/>
          </w:tcPr>
          <w:p w14:paraId="19C7FFCF"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18,6</w:t>
            </w:r>
          </w:p>
        </w:tc>
        <w:tc>
          <w:tcPr>
            <w:tcW w:w="850" w:type="dxa"/>
            <w:tcBorders>
              <w:top w:val="nil"/>
              <w:left w:val="nil"/>
              <w:bottom w:val="single" w:sz="4" w:space="0" w:color="auto"/>
              <w:right w:val="single" w:sz="4" w:space="0" w:color="auto"/>
            </w:tcBorders>
            <w:shd w:val="clear" w:color="auto" w:fill="auto"/>
            <w:noWrap/>
            <w:vAlign w:val="bottom"/>
            <w:hideMark/>
          </w:tcPr>
          <w:p w14:paraId="28AD66D7"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64,7</w:t>
            </w:r>
          </w:p>
        </w:tc>
        <w:tc>
          <w:tcPr>
            <w:tcW w:w="851" w:type="dxa"/>
            <w:tcBorders>
              <w:top w:val="nil"/>
              <w:left w:val="nil"/>
              <w:bottom w:val="single" w:sz="4" w:space="0" w:color="auto"/>
              <w:right w:val="single" w:sz="4" w:space="0" w:color="auto"/>
            </w:tcBorders>
            <w:shd w:val="clear" w:color="auto" w:fill="auto"/>
            <w:noWrap/>
            <w:vAlign w:val="bottom"/>
            <w:hideMark/>
          </w:tcPr>
          <w:p w14:paraId="1F4F1A41"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60,1</w:t>
            </w:r>
          </w:p>
        </w:tc>
        <w:tc>
          <w:tcPr>
            <w:tcW w:w="850" w:type="dxa"/>
            <w:tcBorders>
              <w:top w:val="nil"/>
              <w:left w:val="nil"/>
              <w:bottom w:val="single" w:sz="4" w:space="0" w:color="auto"/>
              <w:right w:val="single" w:sz="4" w:space="0" w:color="auto"/>
            </w:tcBorders>
            <w:shd w:val="clear" w:color="auto" w:fill="auto"/>
            <w:noWrap/>
            <w:vAlign w:val="bottom"/>
            <w:hideMark/>
          </w:tcPr>
          <w:p w14:paraId="38AEE26A"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58,3</w:t>
            </w:r>
          </w:p>
        </w:tc>
        <w:tc>
          <w:tcPr>
            <w:tcW w:w="851" w:type="dxa"/>
            <w:tcBorders>
              <w:top w:val="nil"/>
              <w:left w:val="nil"/>
              <w:bottom w:val="single" w:sz="4" w:space="0" w:color="auto"/>
              <w:right w:val="single" w:sz="4" w:space="0" w:color="auto"/>
            </w:tcBorders>
            <w:shd w:val="clear" w:color="auto" w:fill="auto"/>
            <w:noWrap/>
            <w:vAlign w:val="bottom"/>
            <w:hideMark/>
          </w:tcPr>
          <w:p w14:paraId="2830DC31"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17,8</w:t>
            </w:r>
          </w:p>
        </w:tc>
        <w:tc>
          <w:tcPr>
            <w:tcW w:w="850" w:type="dxa"/>
            <w:tcBorders>
              <w:top w:val="nil"/>
              <w:left w:val="nil"/>
              <w:bottom w:val="single" w:sz="4" w:space="0" w:color="auto"/>
              <w:right w:val="single" w:sz="4" w:space="0" w:color="auto"/>
            </w:tcBorders>
            <w:shd w:val="clear" w:color="auto" w:fill="auto"/>
            <w:noWrap/>
            <w:vAlign w:val="bottom"/>
            <w:hideMark/>
          </w:tcPr>
          <w:p w14:paraId="757C1BEA"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21,0</w:t>
            </w:r>
          </w:p>
        </w:tc>
        <w:tc>
          <w:tcPr>
            <w:tcW w:w="861" w:type="dxa"/>
            <w:tcBorders>
              <w:top w:val="nil"/>
              <w:left w:val="nil"/>
              <w:bottom w:val="single" w:sz="4" w:space="0" w:color="auto"/>
              <w:right w:val="single" w:sz="4" w:space="0" w:color="auto"/>
            </w:tcBorders>
            <w:shd w:val="clear" w:color="auto" w:fill="auto"/>
            <w:noWrap/>
            <w:vAlign w:val="bottom"/>
            <w:hideMark/>
          </w:tcPr>
          <w:p w14:paraId="3547D13A" w14:textId="77777777" w:rsidR="00FB0562" w:rsidRPr="00FB0562" w:rsidRDefault="00FB0562" w:rsidP="00FB0562">
            <w:pPr>
              <w:spacing w:after="0" w:line="240" w:lineRule="auto"/>
              <w:jc w:val="right"/>
              <w:rPr>
                <w:rFonts w:ascii="Calibri" w:eastAsia="Times New Roman" w:hAnsi="Calibri" w:cs="Times New Roman"/>
                <w:lang w:eastAsia="pl-PL"/>
              </w:rPr>
            </w:pPr>
            <w:r w:rsidRPr="00FB0562">
              <w:rPr>
                <w:rFonts w:ascii="Calibri" w:eastAsia="Times New Roman" w:hAnsi="Calibri" w:cs="Times New Roman"/>
                <w:lang w:eastAsia="pl-PL"/>
              </w:rPr>
              <w:t>23,1</w:t>
            </w:r>
          </w:p>
        </w:tc>
      </w:tr>
      <w:tr w:rsidR="004E0DFC" w:rsidRPr="00FB0562" w14:paraId="071D19B2" w14:textId="77777777" w:rsidTr="00C22F9E">
        <w:trPr>
          <w:gridAfter w:val="1"/>
          <w:wAfter w:w="191" w:type="dxa"/>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159B02" w14:textId="77777777" w:rsidR="004E0DFC" w:rsidRPr="00FB0562" w:rsidRDefault="004E0DFC" w:rsidP="00FB0562">
            <w:pPr>
              <w:spacing w:after="0" w:line="240" w:lineRule="auto"/>
              <w:rPr>
                <w:rFonts w:ascii="Calibri" w:eastAsia="Times New Roman" w:hAnsi="Calibri" w:cs="Times New Roman"/>
                <w:lang w:eastAsia="pl-PL"/>
              </w:rPr>
            </w:pPr>
            <w:r>
              <w:rPr>
                <w:rFonts w:ascii="Calibri" w:eastAsia="Times New Roman" w:hAnsi="Calibri" w:cs="Times New Roman"/>
                <w:lang w:eastAsia="pl-PL"/>
              </w:rPr>
              <w:t>Lublin</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36E88DFE" w14:textId="77777777" w:rsidR="004E0DFC" w:rsidRPr="00FB0562" w:rsidRDefault="004E0DFC" w:rsidP="00FB0562">
            <w:pPr>
              <w:spacing w:after="0" w:line="240" w:lineRule="auto"/>
              <w:jc w:val="right"/>
              <w:rPr>
                <w:rFonts w:ascii="Calibri" w:eastAsia="Times New Roman" w:hAnsi="Calibri" w:cs="Times New Roman"/>
                <w:lang w:eastAsia="pl-PL"/>
              </w:rPr>
            </w:pPr>
            <w:r>
              <w:rPr>
                <w:rFonts w:ascii="Calibri" w:eastAsia="Times New Roman" w:hAnsi="Calibri" w:cs="Times New Roman"/>
                <w:lang w:eastAsia="pl-PL"/>
              </w:rPr>
              <w:t>16,3</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129C2344" w14:textId="77777777" w:rsidR="004E0DFC" w:rsidRPr="00FB0562" w:rsidRDefault="004E0DFC" w:rsidP="00FB0562">
            <w:pPr>
              <w:spacing w:after="0" w:line="240" w:lineRule="auto"/>
              <w:jc w:val="right"/>
              <w:rPr>
                <w:rFonts w:ascii="Calibri" w:eastAsia="Times New Roman" w:hAnsi="Calibri" w:cs="Times New Roman"/>
                <w:lang w:eastAsia="pl-PL"/>
              </w:rPr>
            </w:pPr>
            <w:r>
              <w:rPr>
                <w:rFonts w:ascii="Calibri" w:eastAsia="Times New Roman" w:hAnsi="Calibri" w:cs="Times New Roman"/>
                <w:lang w:eastAsia="pl-PL"/>
              </w:rPr>
              <w:t>17,2</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0B01A0F4" w14:textId="77777777" w:rsidR="004E0DFC" w:rsidRPr="00FB0562" w:rsidRDefault="004E0DFC" w:rsidP="00FB0562">
            <w:pPr>
              <w:spacing w:after="0" w:line="240" w:lineRule="auto"/>
              <w:jc w:val="right"/>
              <w:rPr>
                <w:rFonts w:ascii="Calibri" w:eastAsia="Times New Roman" w:hAnsi="Calibri" w:cs="Times New Roman"/>
                <w:lang w:eastAsia="pl-PL"/>
              </w:rPr>
            </w:pPr>
            <w:r>
              <w:rPr>
                <w:rFonts w:ascii="Calibri" w:eastAsia="Times New Roman" w:hAnsi="Calibri" w:cs="Times New Roman"/>
                <w:lang w:eastAsia="pl-PL"/>
              </w:rPr>
              <w:t>16,0</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58885B6C" w14:textId="77777777" w:rsidR="004E0DFC" w:rsidRPr="00FB0562" w:rsidRDefault="004E0DFC" w:rsidP="00FB0562">
            <w:pPr>
              <w:spacing w:after="0" w:line="240" w:lineRule="auto"/>
              <w:jc w:val="right"/>
              <w:rPr>
                <w:rFonts w:ascii="Calibri" w:eastAsia="Times New Roman" w:hAnsi="Calibri" w:cs="Times New Roman"/>
                <w:lang w:eastAsia="pl-PL"/>
              </w:rPr>
            </w:pPr>
            <w:r>
              <w:rPr>
                <w:rFonts w:ascii="Calibri" w:eastAsia="Times New Roman" w:hAnsi="Calibri" w:cs="Times New Roman"/>
                <w:lang w:eastAsia="pl-PL"/>
              </w:rPr>
              <w:t>63,3</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02283394" w14:textId="77777777" w:rsidR="004E0DFC" w:rsidRPr="00FB0562" w:rsidRDefault="004E0DFC" w:rsidP="00FB0562">
            <w:pPr>
              <w:spacing w:after="0" w:line="240" w:lineRule="auto"/>
              <w:jc w:val="right"/>
              <w:rPr>
                <w:rFonts w:ascii="Calibri" w:eastAsia="Times New Roman" w:hAnsi="Calibri" w:cs="Times New Roman"/>
                <w:lang w:eastAsia="pl-PL"/>
              </w:rPr>
            </w:pPr>
            <w:r>
              <w:rPr>
                <w:rFonts w:ascii="Calibri" w:eastAsia="Times New Roman" w:hAnsi="Calibri" w:cs="Times New Roman"/>
                <w:lang w:eastAsia="pl-PL"/>
              </w:rPr>
              <w:t>58,6</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5B4F531C" w14:textId="77777777" w:rsidR="004E0DFC" w:rsidRPr="00FB0562" w:rsidRDefault="004E0DFC" w:rsidP="00FB0562">
            <w:pPr>
              <w:spacing w:after="0" w:line="240" w:lineRule="auto"/>
              <w:jc w:val="right"/>
              <w:rPr>
                <w:rFonts w:ascii="Calibri" w:eastAsia="Times New Roman" w:hAnsi="Calibri" w:cs="Times New Roman"/>
                <w:lang w:eastAsia="pl-PL"/>
              </w:rPr>
            </w:pPr>
            <w:r>
              <w:rPr>
                <w:rFonts w:ascii="Calibri" w:eastAsia="Times New Roman" w:hAnsi="Calibri" w:cs="Times New Roman"/>
                <w:lang w:eastAsia="pl-PL"/>
              </w:rPr>
              <w:t>56,4</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0D3448AC" w14:textId="77777777" w:rsidR="004E0DFC" w:rsidRPr="00FB0562" w:rsidRDefault="004E0DFC" w:rsidP="00FB0562">
            <w:pPr>
              <w:spacing w:after="0" w:line="240" w:lineRule="auto"/>
              <w:jc w:val="right"/>
              <w:rPr>
                <w:rFonts w:ascii="Calibri" w:eastAsia="Times New Roman" w:hAnsi="Calibri" w:cs="Times New Roman"/>
                <w:lang w:eastAsia="pl-PL"/>
              </w:rPr>
            </w:pPr>
            <w:r>
              <w:rPr>
                <w:rFonts w:ascii="Calibri" w:eastAsia="Times New Roman" w:hAnsi="Calibri" w:cs="Times New Roman"/>
                <w:lang w:eastAsia="pl-PL"/>
              </w:rPr>
              <w:t>20,4</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29D49D64" w14:textId="77777777" w:rsidR="004E0DFC" w:rsidRPr="00FB0562" w:rsidRDefault="004E0DFC" w:rsidP="00FB0562">
            <w:pPr>
              <w:spacing w:after="0" w:line="240" w:lineRule="auto"/>
              <w:jc w:val="right"/>
              <w:rPr>
                <w:rFonts w:ascii="Calibri" w:eastAsia="Times New Roman" w:hAnsi="Calibri" w:cs="Times New Roman"/>
                <w:lang w:eastAsia="pl-PL"/>
              </w:rPr>
            </w:pPr>
            <w:r>
              <w:rPr>
                <w:rFonts w:ascii="Calibri" w:eastAsia="Times New Roman" w:hAnsi="Calibri" w:cs="Times New Roman"/>
                <w:lang w:eastAsia="pl-PL"/>
              </w:rPr>
              <w:t>24,2</w:t>
            </w:r>
          </w:p>
        </w:tc>
        <w:tc>
          <w:tcPr>
            <w:tcW w:w="861" w:type="dxa"/>
            <w:tcBorders>
              <w:top w:val="single" w:sz="4" w:space="0" w:color="auto"/>
              <w:left w:val="nil"/>
              <w:bottom w:val="single" w:sz="4" w:space="0" w:color="auto"/>
              <w:right w:val="single" w:sz="4" w:space="0" w:color="auto"/>
            </w:tcBorders>
            <w:shd w:val="clear" w:color="auto" w:fill="auto"/>
            <w:noWrap/>
            <w:vAlign w:val="bottom"/>
          </w:tcPr>
          <w:p w14:paraId="5CA6D3ED" w14:textId="77777777" w:rsidR="004E0DFC" w:rsidRPr="00FB0562" w:rsidRDefault="004E0DFC" w:rsidP="00FB0562">
            <w:pPr>
              <w:spacing w:after="0" w:line="240" w:lineRule="auto"/>
              <w:jc w:val="right"/>
              <w:rPr>
                <w:rFonts w:ascii="Calibri" w:eastAsia="Times New Roman" w:hAnsi="Calibri" w:cs="Times New Roman"/>
                <w:lang w:eastAsia="pl-PL"/>
              </w:rPr>
            </w:pPr>
            <w:r>
              <w:rPr>
                <w:rFonts w:ascii="Calibri" w:eastAsia="Times New Roman" w:hAnsi="Calibri" w:cs="Times New Roman"/>
                <w:lang w:eastAsia="pl-PL"/>
              </w:rPr>
              <w:t>27,6</w:t>
            </w:r>
          </w:p>
        </w:tc>
      </w:tr>
    </w:tbl>
    <w:p w14:paraId="026F790A" w14:textId="6E0EE385" w:rsidR="0083110E" w:rsidRDefault="00E11F79" w:rsidP="00A2294D">
      <w:pPr>
        <w:jc w:val="center"/>
        <w:rPr>
          <w:i/>
          <w:sz w:val="20"/>
          <w:szCs w:val="20"/>
        </w:rPr>
      </w:pPr>
      <w:r w:rsidRPr="0091031D">
        <w:rPr>
          <w:i/>
          <w:sz w:val="20"/>
          <w:szCs w:val="20"/>
        </w:rPr>
        <w:t>źródło: opracowanie własne na podstawie danych GUS</w:t>
      </w:r>
    </w:p>
    <w:p w14:paraId="4C3B5A6E" w14:textId="59EA309F" w:rsidR="00B811C7" w:rsidRDefault="00B811C7" w:rsidP="00A2294D">
      <w:pPr>
        <w:jc w:val="center"/>
      </w:pPr>
    </w:p>
    <w:p w14:paraId="08581BE2" w14:textId="22A75D4D" w:rsidR="000844FF" w:rsidRPr="002F2889" w:rsidRDefault="000844FF" w:rsidP="000844FF">
      <w:pPr>
        <w:pStyle w:val="Legenda"/>
        <w:ind w:right="-284"/>
        <w:rPr>
          <w:color w:val="000000" w:themeColor="text1"/>
          <w:sz w:val="22"/>
          <w:szCs w:val="22"/>
        </w:rPr>
      </w:pPr>
      <w:bookmarkStart w:id="8" w:name="_Toc73516067"/>
      <w:r w:rsidRPr="002F2889">
        <w:rPr>
          <w:color w:val="000000" w:themeColor="text1"/>
          <w:sz w:val="22"/>
          <w:szCs w:val="22"/>
        </w:rPr>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5</w:t>
      </w:r>
      <w:r w:rsidRPr="002F2889">
        <w:rPr>
          <w:color w:val="000000" w:themeColor="text1"/>
          <w:sz w:val="22"/>
          <w:szCs w:val="22"/>
        </w:rPr>
        <w:fldChar w:fldCharType="end"/>
      </w:r>
      <w:r w:rsidRPr="002F2889">
        <w:rPr>
          <w:color w:val="000000" w:themeColor="text1"/>
          <w:sz w:val="22"/>
          <w:szCs w:val="22"/>
        </w:rPr>
        <w:t xml:space="preserve">. </w:t>
      </w:r>
      <w:r w:rsidRPr="002F2889">
        <w:rPr>
          <w:bCs/>
          <w:color w:val="000000" w:themeColor="text1"/>
          <w:sz w:val="22"/>
          <w:szCs w:val="22"/>
          <w:lang w:val="pl-PL"/>
        </w:rPr>
        <w:t>Prognoza dynamiki ludności wg ekonomicznych grup wieku w roku 2030 w</w:t>
      </w:r>
      <w:r w:rsidR="00AB6EAD">
        <w:rPr>
          <w:bCs/>
          <w:color w:val="000000" w:themeColor="text1"/>
          <w:sz w:val="22"/>
          <w:szCs w:val="22"/>
          <w:lang w:val="pl-PL"/>
        </w:rPr>
        <w:t xml:space="preserve">zględem </w:t>
      </w:r>
      <w:r w:rsidRPr="002F2889">
        <w:rPr>
          <w:bCs/>
          <w:color w:val="000000" w:themeColor="text1"/>
          <w:sz w:val="22"/>
          <w:szCs w:val="22"/>
          <w:lang w:val="pl-PL"/>
        </w:rPr>
        <w:t>do roku 2019 (%)</w:t>
      </w:r>
      <w:bookmarkEnd w:id="8"/>
    </w:p>
    <w:p w14:paraId="08FC9C76" w14:textId="77777777" w:rsidR="00E11F79" w:rsidRDefault="006A38C5" w:rsidP="00657CDB">
      <w:pPr>
        <w:spacing w:after="0"/>
        <w:jc w:val="center"/>
      </w:pPr>
      <w:r>
        <w:rPr>
          <w:noProof/>
          <w:lang w:eastAsia="pl-PL"/>
        </w:rPr>
        <w:drawing>
          <wp:inline distT="0" distB="0" distL="0" distR="0" wp14:anchorId="5BA8120C" wp14:editId="0C4B367A">
            <wp:extent cx="4588329" cy="2750003"/>
            <wp:effectExtent l="0" t="0" r="3175" b="12700"/>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E0B06D7" w14:textId="77777777" w:rsidR="007E0803" w:rsidRDefault="007E0803" w:rsidP="00657CDB">
      <w:pPr>
        <w:spacing w:after="0"/>
        <w:jc w:val="center"/>
      </w:pPr>
      <w:r w:rsidRPr="0091031D">
        <w:rPr>
          <w:i/>
          <w:sz w:val="20"/>
          <w:szCs w:val="20"/>
        </w:rPr>
        <w:t>źródło: opracowanie własne na podstawie danych GUS</w:t>
      </w:r>
    </w:p>
    <w:p w14:paraId="68124896" w14:textId="77777777" w:rsidR="00233F0F" w:rsidRDefault="0092279B" w:rsidP="00233F0F">
      <w:pPr>
        <w:pStyle w:val="Nagwek3"/>
      </w:pPr>
      <w:bookmarkStart w:id="9" w:name="_Toc73534885"/>
      <w:r>
        <w:lastRenderedPageBreak/>
        <w:t xml:space="preserve">1.1.2 </w:t>
      </w:r>
      <w:r w:rsidR="00233F0F">
        <w:t>Gęstość zaludnienia</w:t>
      </w:r>
      <w:bookmarkEnd w:id="9"/>
    </w:p>
    <w:p w14:paraId="20779DAD" w14:textId="77777777" w:rsidR="00233F0F" w:rsidRDefault="00233F0F" w:rsidP="00233F0F">
      <w:pPr>
        <w:jc w:val="both"/>
      </w:pPr>
      <w:r>
        <w:t>W rezultacie opisanych zmian demograficznych wzrosła gęstość zaludnienia w stolicy województwa podlaskiego a także jego obszarze funkcjonalnym. W pozostałych omawianych ośrodkach wojewódzkich tzw. miastach-rdzeniach odnotowuje się spadek gęstości zaludnienia na rzecz wzrastającej liczby ludności w ich otoczeniu. W dalszym ciągu otoczenie Olsztyna pozostaje najrzadziej  zaludnionym obszarem spośród wskazanych w zestawieniu poniżej.</w:t>
      </w:r>
    </w:p>
    <w:p w14:paraId="27E8C101" w14:textId="6B17B5AA" w:rsidR="00233F0F" w:rsidRPr="0066560D" w:rsidRDefault="00FD58E1" w:rsidP="00FD58E1">
      <w:pPr>
        <w:pStyle w:val="Legenda"/>
        <w:rPr>
          <w:color w:val="000000" w:themeColor="text1"/>
          <w:sz w:val="22"/>
          <w:szCs w:val="22"/>
        </w:rPr>
      </w:pPr>
      <w:bookmarkStart w:id="10" w:name="_Toc73534965"/>
      <w:r w:rsidRPr="0066560D">
        <w:rPr>
          <w:color w:val="000000" w:themeColor="text1"/>
          <w:sz w:val="22"/>
          <w:szCs w:val="22"/>
        </w:rPr>
        <w:t xml:space="preserve">Tabela </w:t>
      </w:r>
      <w:r w:rsidRPr="0066560D">
        <w:rPr>
          <w:color w:val="000000" w:themeColor="text1"/>
          <w:sz w:val="22"/>
          <w:szCs w:val="22"/>
        </w:rPr>
        <w:fldChar w:fldCharType="begin"/>
      </w:r>
      <w:r w:rsidRPr="0066560D">
        <w:rPr>
          <w:color w:val="000000" w:themeColor="text1"/>
          <w:sz w:val="22"/>
          <w:szCs w:val="22"/>
        </w:rPr>
        <w:instrText xml:space="preserve"> SEQ Tabela \* ARABIC </w:instrText>
      </w:r>
      <w:r w:rsidRPr="0066560D">
        <w:rPr>
          <w:color w:val="000000" w:themeColor="text1"/>
          <w:sz w:val="22"/>
          <w:szCs w:val="22"/>
        </w:rPr>
        <w:fldChar w:fldCharType="separate"/>
      </w:r>
      <w:r w:rsidR="00AD58C3">
        <w:rPr>
          <w:noProof/>
          <w:color w:val="000000" w:themeColor="text1"/>
          <w:sz w:val="22"/>
          <w:szCs w:val="22"/>
        </w:rPr>
        <w:t>2</w:t>
      </w:r>
      <w:r w:rsidRPr="0066560D">
        <w:rPr>
          <w:color w:val="000000" w:themeColor="text1"/>
          <w:sz w:val="22"/>
          <w:szCs w:val="22"/>
        </w:rPr>
        <w:fldChar w:fldCharType="end"/>
      </w:r>
      <w:r w:rsidRPr="0066560D">
        <w:rPr>
          <w:color w:val="000000" w:themeColor="text1"/>
          <w:sz w:val="22"/>
          <w:szCs w:val="22"/>
        </w:rPr>
        <w:t xml:space="preserve">. </w:t>
      </w:r>
      <w:r w:rsidR="00233F0F" w:rsidRPr="0066560D">
        <w:rPr>
          <w:rFonts w:eastAsia="Times New Roman" w:cs="Times New Roman"/>
          <w:bCs/>
          <w:color w:val="000000" w:themeColor="text1"/>
          <w:sz w:val="22"/>
          <w:szCs w:val="22"/>
          <w:lang w:eastAsia="pl-PL"/>
        </w:rPr>
        <w:t>Gęstość zaludnienia</w:t>
      </w:r>
      <w:r w:rsidR="00A86DCA">
        <w:rPr>
          <w:rFonts w:eastAsia="Times New Roman" w:cs="Times New Roman"/>
          <w:bCs/>
          <w:color w:val="000000" w:themeColor="text1"/>
          <w:sz w:val="22"/>
          <w:szCs w:val="22"/>
          <w:lang w:eastAsia="pl-PL"/>
        </w:rPr>
        <w:t xml:space="preserve"> </w:t>
      </w:r>
      <w:r w:rsidR="00A86DCA" w:rsidRPr="0066560D">
        <w:rPr>
          <w:rFonts w:eastAsia="Times New Roman" w:cs="Times New Roman"/>
          <w:bCs/>
          <w:color w:val="000000" w:themeColor="text1"/>
          <w:sz w:val="22"/>
          <w:szCs w:val="22"/>
          <w:lang w:eastAsia="pl-PL"/>
        </w:rPr>
        <w:t>w roku 2019</w:t>
      </w:r>
      <w:r w:rsidR="00233F0F" w:rsidRPr="0066560D">
        <w:rPr>
          <w:rFonts w:eastAsia="Times New Roman" w:cs="Times New Roman"/>
          <w:bCs/>
          <w:color w:val="000000" w:themeColor="text1"/>
          <w:sz w:val="22"/>
          <w:szCs w:val="22"/>
          <w:lang w:eastAsia="pl-PL"/>
        </w:rPr>
        <w:t xml:space="preserve"> </w:t>
      </w:r>
      <w:r w:rsidR="00233F0F" w:rsidRPr="0066560D">
        <w:rPr>
          <w:color w:val="000000" w:themeColor="text1"/>
          <w:sz w:val="22"/>
          <w:szCs w:val="22"/>
        </w:rPr>
        <w:t xml:space="preserve">w wybranych miastach Polski Wschodniej i ich otoczeniu </w:t>
      </w:r>
      <w:r w:rsidR="00233F0F" w:rsidRPr="0066560D">
        <w:rPr>
          <w:rFonts w:eastAsia="Times New Roman" w:cs="Times New Roman"/>
          <w:bCs/>
          <w:color w:val="000000" w:themeColor="text1"/>
          <w:sz w:val="22"/>
          <w:szCs w:val="22"/>
          <w:lang w:eastAsia="pl-PL"/>
        </w:rPr>
        <w:t>(osoby na 1 km</w:t>
      </w:r>
      <w:r w:rsidR="00233F0F" w:rsidRPr="0066560D">
        <w:rPr>
          <w:rFonts w:eastAsia="Times New Roman" w:cs="Times New Roman"/>
          <w:bCs/>
          <w:color w:val="000000" w:themeColor="text1"/>
          <w:sz w:val="22"/>
          <w:szCs w:val="22"/>
          <w:vertAlign w:val="superscript"/>
          <w:lang w:eastAsia="pl-PL"/>
        </w:rPr>
        <w:t>2</w:t>
      </w:r>
      <w:r w:rsidR="00233F0F" w:rsidRPr="0066560D">
        <w:rPr>
          <w:rFonts w:eastAsia="Times New Roman" w:cs="Times New Roman"/>
          <w:bCs/>
          <w:color w:val="000000" w:themeColor="text1"/>
          <w:sz w:val="22"/>
          <w:szCs w:val="22"/>
          <w:lang w:eastAsia="pl-PL"/>
        </w:rPr>
        <w:t>)</w:t>
      </w:r>
      <w:bookmarkEnd w:id="10"/>
      <w:r w:rsidR="00233F0F" w:rsidRPr="0066560D">
        <w:rPr>
          <w:rFonts w:eastAsia="Times New Roman" w:cs="Times New Roman"/>
          <w:bCs/>
          <w:color w:val="000000" w:themeColor="text1"/>
          <w:sz w:val="22"/>
          <w:szCs w:val="22"/>
          <w:lang w:eastAsia="pl-PL"/>
        </w:rPr>
        <w:t xml:space="preserve"> </w:t>
      </w:r>
    </w:p>
    <w:tbl>
      <w:tblPr>
        <w:tblW w:w="4536" w:type="dxa"/>
        <w:jc w:val="center"/>
        <w:tblCellMar>
          <w:left w:w="70" w:type="dxa"/>
          <w:right w:w="70" w:type="dxa"/>
        </w:tblCellMar>
        <w:tblLook w:val="04A0" w:firstRow="1" w:lastRow="0" w:firstColumn="1" w:lastColumn="0" w:noHBand="0" w:noVBand="1"/>
      </w:tblPr>
      <w:tblGrid>
        <w:gridCol w:w="1173"/>
        <w:gridCol w:w="1521"/>
        <w:gridCol w:w="1842"/>
      </w:tblGrid>
      <w:tr w:rsidR="00233F0F" w:rsidRPr="00791CDA" w14:paraId="1BD0C911" w14:textId="77777777" w:rsidTr="00254960">
        <w:trPr>
          <w:trHeight w:val="300"/>
          <w:jc w:val="center"/>
        </w:trPr>
        <w:tc>
          <w:tcPr>
            <w:tcW w:w="1173" w:type="dxa"/>
            <w:tcBorders>
              <w:top w:val="nil"/>
              <w:left w:val="nil"/>
              <w:bottom w:val="nil"/>
              <w:right w:val="nil"/>
            </w:tcBorders>
            <w:shd w:val="clear" w:color="auto" w:fill="auto"/>
            <w:noWrap/>
            <w:vAlign w:val="bottom"/>
            <w:hideMark/>
          </w:tcPr>
          <w:p w14:paraId="2740FDF6" w14:textId="77777777" w:rsidR="00233F0F" w:rsidRPr="00791CDA" w:rsidRDefault="00233F0F" w:rsidP="003C758A">
            <w:pPr>
              <w:spacing w:after="0" w:line="240" w:lineRule="auto"/>
              <w:rPr>
                <w:rFonts w:ascii="Calibri" w:eastAsia="Times New Roman" w:hAnsi="Calibri" w:cs="Times New Roman"/>
                <w:b/>
                <w:bCs/>
                <w:lang w:eastAsia="pl-PL"/>
              </w:rPr>
            </w:pPr>
          </w:p>
        </w:tc>
        <w:tc>
          <w:tcPr>
            <w:tcW w:w="1521"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035B7B7F" w14:textId="77777777" w:rsidR="00233F0F" w:rsidRPr="00791CDA" w:rsidRDefault="00233F0F" w:rsidP="003C758A">
            <w:pPr>
              <w:spacing w:after="0" w:line="240" w:lineRule="auto"/>
              <w:jc w:val="center"/>
              <w:rPr>
                <w:rFonts w:ascii="Calibri" w:eastAsia="Times New Roman" w:hAnsi="Calibri" w:cs="Times New Roman"/>
                <w:b/>
                <w:lang w:eastAsia="pl-PL"/>
              </w:rPr>
            </w:pPr>
            <w:r w:rsidRPr="00791CDA">
              <w:rPr>
                <w:rFonts w:ascii="Calibri" w:eastAsia="Times New Roman" w:hAnsi="Calibri" w:cs="Times New Roman"/>
                <w:b/>
                <w:lang w:eastAsia="pl-PL"/>
              </w:rPr>
              <w:t>miasto</w:t>
            </w:r>
          </w:p>
        </w:tc>
        <w:tc>
          <w:tcPr>
            <w:tcW w:w="1842" w:type="dxa"/>
            <w:tcBorders>
              <w:top w:val="single" w:sz="4" w:space="0" w:color="auto"/>
              <w:left w:val="nil"/>
              <w:bottom w:val="single" w:sz="4" w:space="0" w:color="auto"/>
              <w:right w:val="single" w:sz="4" w:space="0" w:color="auto"/>
            </w:tcBorders>
            <w:shd w:val="clear" w:color="auto" w:fill="92D050"/>
            <w:noWrap/>
            <w:vAlign w:val="bottom"/>
            <w:hideMark/>
          </w:tcPr>
          <w:p w14:paraId="679D624B" w14:textId="77777777" w:rsidR="00233F0F" w:rsidRPr="00791CDA" w:rsidRDefault="00233F0F" w:rsidP="00254960">
            <w:pPr>
              <w:spacing w:after="0" w:line="240" w:lineRule="auto"/>
              <w:jc w:val="center"/>
              <w:rPr>
                <w:rFonts w:ascii="Calibri" w:eastAsia="Times New Roman" w:hAnsi="Calibri" w:cs="Times New Roman"/>
                <w:b/>
                <w:lang w:eastAsia="pl-PL"/>
              </w:rPr>
            </w:pPr>
            <w:r w:rsidRPr="00791CDA">
              <w:rPr>
                <w:rFonts w:ascii="Calibri" w:eastAsia="Times New Roman" w:hAnsi="Calibri" w:cs="Times New Roman"/>
                <w:b/>
                <w:lang w:eastAsia="pl-PL"/>
              </w:rPr>
              <w:t>otoczenie miasta</w:t>
            </w:r>
          </w:p>
        </w:tc>
      </w:tr>
      <w:tr w:rsidR="00233F0F" w:rsidRPr="00791CDA" w14:paraId="53C1F1BD" w14:textId="77777777" w:rsidTr="00254960">
        <w:trPr>
          <w:trHeight w:val="300"/>
          <w:jc w:val="center"/>
        </w:trPr>
        <w:tc>
          <w:tcPr>
            <w:tcW w:w="11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BE4148" w14:textId="77777777" w:rsidR="00233F0F" w:rsidRPr="00791CDA" w:rsidRDefault="00233F0F" w:rsidP="003C758A">
            <w:pPr>
              <w:spacing w:after="0" w:line="240" w:lineRule="auto"/>
              <w:rPr>
                <w:rFonts w:ascii="Calibri" w:eastAsia="Times New Roman" w:hAnsi="Calibri" w:cs="Times New Roman"/>
                <w:lang w:eastAsia="pl-PL"/>
              </w:rPr>
            </w:pPr>
            <w:r w:rsidRPr="00791CDA">
              <w:rPr>
                <w:rFonts w:ascii="Calibri" w:eastAsia="Times New Roman" w:hAnsi="Calibri" w:cs="Times New Roman"/>
                <w:lang w:eastAsia="pl-PL"/>
              </w:rPr>
              <w:t>Olsztyn</w:t>
            </w:r>
          </w:p>
        </w:tc>
        <w:tc>
          <w:tcPr>
            <w:tcW w:w="1521" w:type="dxa"/>
            <w:tcBorders>
              <w:top w:val="nil"/>
              <w:left w:val="nil"/>
              <w:bottom w:val="single" w:sz="4" w:space="0" w:color="auto"/>
              <w:right w:val="single" w:sz="4" w:space="0" w:color="auto"/>
            </w:tcBorders>
            <w:shd w:val="clear" w:color="auto" w:fill="auto"/>
            <w:noWrap/>
            <w:vAlign w:val="bottom"/>
            <w:hideMark/>
          </w:tcPr>
          <w:p w14:paraId="24DB3229" w14:textId="1D09DB2A" w:rsidR="00233F0F" w:rsidRPr="00721F70" w:rsidRDefault="00233F0F" w:rsidP="003C758A">
            <w:pPr>
              <w:spacing w:after="0" w:line="240" w:lineRule="auto"/>
              <w:jc w:val="center"/>
              <w:rPr>
                <w:rFonts w:ascii="Calibri" w:eastAsia="Times New Roman" w:hAnsi="Calibri" w:cs="Times New Roman"/>
                <w:color w:val="000000" w:themeColor="text1"/>
                <w:lang w:eastAsia="pl-PL"/>
              </w:rPr>
            </w:pPr>
            <w:r w:rsidRPr="00721F70">
              <w:rPr>
                <w:rFonts w:ascii="Calibri" w:eastAsia="Times New Roman" w:hAnsi="Calibri" w:cs="Times New Roman"/>
                <w:color w:val="000000" w:themeColor="text1"/>
                <w:lang w:eastAsia="pl-PL"/>
              </w:rPr>
              <w:t xml:space="preserve">1 </w:t>
            </w:r>
            <w:r w:rsidR="00FD58E1" w:rsidRPr="00721F70">
              <w:rPr>
                <w:rFonts w:ascii="Calibri" w:eastAsia="Times New Roman" w:hAnsi="Calibri" w:cs="Times New Roman"/>
                <w:color w:val="000000" w:themeColor="text1"/>
                <w:lang w:eastAsia="pl-PL"/>
              </w:rPr>
              <w:t>947</w:t>
            </w:r>
          </w:p>
        </w:tc>
        <w:tc>
          <w:tcPr>
            <w:tcW w:w="1842" w:type="dxa"/>
            <w:tcBorders>
              <w:top w:val="nil"/>
              <w:left w:val="nil"/>
              <w:bottom w:val="single" w:sz="4" w:space="0" w:color="auto"/>
              <w:right w:val="single" w:sz="4" w:space="0" w:color="auto"/>
            </w:tcBorders>
            <w:shd w:val="clear" w:color="auto" w:fill="auto"/>
            <w:noWrap/>
            <w:vAlign w:val="bottom"/>
            <w:hideMark/>
          </w:tcPr>
          <w:p w14:paraId="082021EB" w14:textId="77777777" w:rsidR="00233F0F" w:rsidRPr="00721F70" w:rsidRDefault="00233F0F" w:rsidP="003C758A">
            <w:pPr>
              <w:spacing w:after="0" w:line="240" w:lineRule="auto"/>
              <w:jc w:val="center"/>
              <w:rPr>
                <w:rFonts w:ascii="Calibri" w:eastAsia="Times New Roman" w:hAnsi="Calibri" w:cs="Times New Roman"/>
                <w:color w:val="000000" w:themeColor="text1"/>
                <w:lang w:eastAsia="pl-PL"/>
              </w:rPr>
            </w:pPr>
            <w:r w:rsidRPr="00721F70">
              <w:rPr>
                <w:rFonts w:ascii="Calibri" w:eastAsia="Times New Roman" w:hAnsi="Calibri" w:cs="Times New Roman"/>
                <w:color w:val="000000" w:themeColor="text1"/>
                <w:lang w:eastAsia="pl-PL"/>
              </w:rPr>
              <w:t>162</w:t>
            </w:r>
            <w:r w:rsidR="00254960" w:rsidRPr="00721F70">
              <w:rPr>
                <w:rStyle w:val="Odwoanieprzypisudolnego"/>
                <w:rFonts w:ascii="Calibri" w:eastAsia="Times New Roman" w:hAnsi="Calibri" w:cs="Times New Roman"/>
                <w:color w:val="000000" w:themeColor="text1"/>
                <w:lang w:eastAsia="pl-PL"/>
              </w:rPr>
              <w:footnoteReference w:id="6"/>
            </w:r>
          </w:p>
        </w:tc>
      </w:tr>
      <w:tr w:rsidR="00233F0F" w:rsidRPr="00791CDA" w14:paraId="3079F291" w14:textId="77777777" w:rsidTr="00254960">
        <w:trPr>
          <w:trHeight w:val="300"/>
          <w:jc w:val="center"/>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5263B06F" w14:textId="77777777" w:rsidR="00233F0F" w:rsidRPr="00791CDA" w:rsidRDefault="00233F0F" w:rsidP="003C758A">
            <w:pPr>
              <w:spacing w:after="0" w:line="240" w:lineRule="auto"/>
              <w:rPr>
                <w:rFonts w:ascii="Calibri" w:eastAsia="Times New Roman" w:hAnsi="Calibri" w:cs="Times New Roman"/>
                <w:lang w:eastAsia="pl-PL"/>
              </w:rPr>
            </w:pPr>
            <w:r w:rsidRPr="00791CDA">
              <w:rPr>
                <w:rFonts w:ascii="Calibri" w:eastAsia="Times New Roman" w:hAnsi="Calibri" w:cs="Times New Roman"/>
                <w:lang w:eastAsia="pl-PL"/>
              </w:rPr>
              <w:t>Kielce</w:t>
            </w:r>
          </w:p>
        </w:tc>
        <w:tc>
          <w:tcPr>
            <w:tcW w:w="1521" w:type="dxa"/>
            <w:tcBorders>
              <w:top w:val="nil"/>
              <w:left w:val="nil"/>
              <w:bottom w:val="single" w:sz="4" w:space="0" w:color="auto"/>
              <w:right w:val="single" w:sz="4" w:space="0" w:color="auto"/>
            </w:tcBorders>
            <w:shd w:val="clear" w:color="auto" w:fill="auto"/>
            <w:noWrap/>
            <w:vAlign w:val="bottom"/>
            <w:hideMark/>
          </w:tcPr>
          <w:p w14:paraId="557464D2" w14:textId="791062CA" w:rsidR="00233F0F" w:rsidRPr="00721F70" w:rsidRDefault="00233F0F" w:rsidP="003C758A">
            <w:pPr>
              <w:spacing w:after="0" w:line="240" w:lineRule="auto"/>
              <w:jc w:val="center"/>
              <w:rPr>
                <w:rFonts w:ascii="Calibri" w:eastAsia="Times New Roman" w:hAnsi="Calibri" w:cs="Times New Roman"/>
                <w:color w:val="000000" w:themeColor="text1"/>
                <w:lang w:eastAsia="pl-PL"/>
              </w:rPr>
            </w:pPr>
            <w:r w:rsidRPr="00721F70">
              <w:rPr>
                <w:rFonts w:ascii="Calibri" w:eastAsia="Times New Roman" w:hAnsi="Calibri" w:cs="Times New Roman"/>
                <w:color w:val="000000" w:themeColor="text1"/>
                <w:lang w:eastAsia="pl-PL"/>
              </w:rPr>
              <w:t xml:space="preserve">1 </w:t>
            </w:r>
            <w:r w:rsidR="00FD58E1" w:rsidRPr="00721F70">
              <w:rPr>
                <w:rFonts w:ascii="Calibri" w:eastAsia="Times New Roman" w:hAnsi="Calibri" w:cs="Times New Roman"/>
                <w:color w:val="000000" w:themeColor="text1"/>
                <w:lang w:eastAsia="pl-PL"/>
              </w:rPr>
              <w:t>777</w:t>
            </w:r>
          </w:p>
        </w:tc>
        <w:tc>
          <w:tcPr>
            <w:tcW w:w="1842" w:type="dxa"/>
            <w:tcBorders>
              <w:top w:val="nil"/>
              <w:left w:val="nil"/>
              <w:bottom w:val="single" w:sz="4" w:space="0" w:color="auto"/>
              <w:right w:val="single" w:sz="4" w:space="0" w:color="auto"/>
            </w:tcBorders>
            <w:shd w:val="clear" w:color="auto" w:fill="auto"/>
            <w:noWrap/>
            <w:vAlign w:val="bottom"/>
            <w:hideMark/>
          </w:tcPr>
          <w:p w14:paraId="6D4CA59A" w14:textId="77777777" w:rsidR="00233F0F" w:rsidRPr="00721F70" w:rsidRDefault="00233F0F" w:rsidP="003C758A">
            <w:pPr>
              <w:spacing w:after="0" w:line="240" w:lineRule="auto"/>
              <w:jc w:val="center"/>
              <w:rPr>
                <w:rFonts w:ascii="Calibri" w:eastAsia="Times New Roman" w:hAnsi="Calibri" w:cs="Times New Roman"/>
                <w:color w:val="000000" w:themeColor="text1"/>
                <w:lang w:eastAsia="pl-PL"/>
              </w:rPr>
            </w:pPr>
            <w:r w:rsidRPr="00721F70">
              <w:rPr>
                <w:rFonts w:ascii="Calibri" w:eastAsia="Times New Roman" w:hAnsi="Calibri" w:cs="Times New Roman"/>
                <w:color w:val="000000" w:themeColor="text1"/>
                <w:lang w:eastAsia="pl-PL"/>
              </w:rPr>
              <w:t>253</w:t>
            </w:r>
            <w:r w:rsidR="00254960" w:rsidRPr="00721F70">
              <w:rPr>
                <w:rStyle w:val="Odwoanieprzypisudolnego"/>
                <w:rFonts w:ascii="Calibri" w:eastAsia="Times New Roman" w:hAnsi="Calibri" w:cs="Times New Roman"/>
                <w:color w:val="000000" w:themeColor="text1"/>
                <w:lang w:eastAsia="pl-PL"/>
              </w:rPr>
              <w:footnoteReference w:id="7"/>
            </w:r>
          </w:p>
        </w:tc>
      </w:tr>
      <w:tr w:rsidR="00233F0F" w:rsidRPr="00791CDA" w14:paraId="2B40796A" w14:textId="77777777" w:rsidTr="00254960">
        <w:trPr>
          <w:trHeight w:val="300"/>
          <w:jc w:val="center"/>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515B74A0" w14:textId="77777777" w:rsidR="00233F0F" w:rsidRPr="00791CDA" w:rsidRDefault="00233F0F" w:rsidP="003C758A">
            <w:pPr>
              <w:spacing w:after="0" w:line="240" w:lineRule="auto"/>
              <w:rPr>
                <w:rFonts w:ascii="Calibri" w:eastAsia="Times New Roman" w:hAnsi="Calibri" w:cs="Times New Roman"/>
                <w:lang w:eastAsia="pl-PL"/>
              </w:rPr>
            </w:pPr>
            <w:r w:rsidRPr="00791CDA">
              <w:rPr>
                <w:rFonts w:ascii="Calibri" w:eastAsia="Times New Roman" w:hAnsi="Calibri" w:cs="Times New Roman"/>
                <w:lang w:eastAsia="pl-PL"/>
              </w:rPr>
              <w:t>Białystok</w:t>
            </w:r>
          </w:p>
        </w:tc>
        <w:tc>
          <w:tcPr>
            <w:tcW w:w="1521" w:type="dxa"/>
            <w:tcBorders>
              <w:top w:val="nil"/>
              <w:left w:val="nil"/>
              <w:bottom w:val="single" w:sz="4" w:space="0" w:color="auto"/>
              <w:right w:val="single" w:sz="4" w:space="0" w:color="auto"/>
            </w:tcBorders>
            <w:shd w:val="clear" w:color="auto" w:fill="auto"/>
            <w:noWrap/>
            <w:vAlign w:val="bottom"/>
            <w:hideMark/>
          </w:tcPr>
          <w:p w14:paraId="3C95F0B2" w14:textId="77777777" w:rsidR="00233F0F" w:rsidRPr="00721F70" w:rsidRDefault="00233F0F" w:rsidP="003C758A">
            <w:pPr>
              <w:spacing w:after="0" w:line="240" w:lineRule="auto"/>
              <w:jc w:val="center"/>
              <w:rPr>
                <w:rFonts w:ascii="Calibri" w:eastAsia="Times New Roman" w:hAnsi="Calibri" w:cs="Times New Roman"/>
                <w:color w:val="000000" w:themeColor="text1"/>
                <w:lang w:eastAsia="pl-PL"/>
              </w:rPr>
            </w:pPr>
            <w:r w:rsidRPr="00721F70">
              <w:rPr>
                <w:rFonts w:ascii="Calibri" w:eastAsia="Times New Roman" w:hAnsi="Calibri" w:cs="Times New Roman"/>
                <w:color w:val="000000" w:themeColor="text1"/>
                <w:lang w:eastAsia="pl-PL"/>
              </w:rPr>
              <w:t>2 913</w:t>
            </w:r>
          </w:p>
        </w:tc>
        <w:tc>
          <w:tcPr>
            <w:tcW w:w="1842" w:type="dxa"/>
            <w:tcBorders>
              <w:top w:val="nil"/>
              <w:left w:val="nil"/>
              <w:bottom w:val="single" w:sz="4" w:space="0" w:color="auto"/>
              <w:right w:val="single" w:sz="4" w:space="0" w:color="auto"/>
            </w:tcBorders>
            <w:shd w:val="clear" w:color="auto" w:fill="auto"/>
            <w:noWrap/>
            <w:vAlign w:val="bottom"/>
            <w:hideMark/>
          </w:tcPr>
          <w:p w14:paraId="5F3FBCF2" w14:textId="7473A244" w:rsidR="00233F0F" w:rsidRPr="00721F70" w:rsidRDefault="00FA73D8" w:rsidP="003C758A">
            <w:pPr>
              <w:spacing w:after="0" w:line="240" w:lineRule="auto"/>
              <w:jc w:val="center"/>
              <w:rPr>
                <w:rFonts w:ascii="Calibri" w:eastAsia="Times New Roman" w:hAnsi="Calibri" w:cs="Times New Roman"/>
                <w:color w:val="000000" w:themeColor="text1"/>
                <w:lang w:eastAsia="pl-PL"/>
              </w:rPr>
            </w:pPr>
            <w:r w:rsidRPr="00721F70">
              <w:rPr>
                <w:rFonts w:ascii="Calibri" w:eastAsia="Times New Roman" w:hAnsi="Calibri" w:cs="Times New Roman"/>
                <w:color w:val="000000" w:themeColor="text1"/>
                <w:lang w:eastAsia="pl-PL"/>
              </w:rPr>
              <w:t>244</w:t>
            </w:r>
            <w:r w:rsidR="00254960" w:rsidRPr="00721F70">
              <w:rPr>
                <w:rStyle w:val="Odwoanieprzypisudolnego"/>
                <w:rFonts w:ascii="Calibri" w:eastAsia="Times New Roman" w:hAnsi="Calibri" w:cs="Times New Roman"/>
                <w:color w:val="000000" w:themeColor="text1"/>
                <w:lang w:eastAsia="pl-PL"/>
              </w:rPr>
              <w:footnoteReference w:id="8"/>
            </w:r>
          </w:p>
        </w:tc>
      </w:tr>
      <w:tr w:rsidR="00233F0F" w:rsidRPr="00791CDA" w14:paraId="74672062" w14:textId="77777777" w:rsidTr="00254960">
        <w:trPr>
          <w:trHeight w:val="300"/>
          <w:jc w:val="center"/>
        </w:trPr>
        <w:tc>
          <w:tcPr>
            <w:tcW w:w="11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7EA7C1" w14:textId="77777777" w:rsidR="00233F0F" w:rsidRPr="00791CDA" w:rsidRDefault="00233F0F" w:rsidP="003C758A">
            <w:pPr>
              <w:spacing w:after="0" w:line="240" w:lineRule="auto"/>
              <w:rPr>
                <w:rFonts w:ascii="Calibri" w:eastAsia="Times New Roman" w:hAnsi="Calibri" w:cs="Times New Roman"/>
                <w:lang w:eastAsia="pl-PL"/>
              </w:rPr>
            </w:pPr>
            <w:r w:rsidRPr="00791CDA">
              <w:rPr>
                <w:rFonts w:ascii="Calibri" w:eastAsia="Times New Roman" w:hAnsi="Calibri" w:cs="Times New Roman"/>
                <w:lang w:eastAsia="pl-PL"/>
              </w:rPr>
              <w:t>Rzeszów</w:t>
            </w:r>
          </w:p>
        </w:tc>
        <w:tc>
          <w:tcPr>
            <w:tcW w:w="1521" w:type="dxa"/>
            <w:tcBorders>
              <w:top w:val="single" w:sz="4" w:space="0" w:color="auto"/>
              <w:left w:val="nil"/>
              <w:bottom w:val="single" w:sz="4" w:space="0" w:color="auto"/>
              <w:right w:val="single" w:sz="4" w:space="0" w:color="auto"/>
            </w:tcBorders>
            <w:shd w:val="clear" w:color="auto" w:fill="auto"/>
            <w:noWrap/>
            <w:vAlign w:val="bottom"/>
            <w:hideMark/>
          </w:tcPr>
          <w:p w14:paraId="0CF68590" w14:textId="7F4C5774" w:rsidR="00233F0F" w:rsidRPr="00721F70" w:rsidRDefault="00233F0F" w:rsidP="004B01FF">
            <w:pPr>
              <w:spacing w:after="0" w:line="240" w:lineRule="auto"/>
              <w:jc w:val="center"/>
              <w:rPr>
                <w:rFonts w:ascii="Calibri" w:eastAsia="Times New Roman" w:hAnsi="Calibri" w:cs="Times New Roman"/>
                <w:color w:val="000000" w:themeColor="text1"/>
                <w:lang w:eastAsia="pl-PL"/>
              </w:rPr>
            </w:pPr>
            <w:r w:rsidRPr="00721F70">
              <w:rPr>
                <w:rFonts w:ascii="Calibri" w:eastAsia="Times New Roman" w:hAnsi="Calibri" w:cs="Times New Roman"/>
                <w:color w:val="000000" w:themeColor="text1"/>
                <w:lang w:eastAsia="pl-PL"/>
              </w:rPr>
              <w:t>1 5</w:t>
            </w:r>
            <w:r w:rsidR="004B01FF" w:rsidRPr="00721F70">
              <w:rPr>
                <w:rFonts w:ascii="Calibri" w:eastAsia="Times New Roman" w:hAnsi="Calibri" w:cs="Times New Roman"/>
                <w:color w:val="000000" w:themeColor="text1"/>
                <w:lang w:eastAsia="pl-PL"/>
              </w:rPr>
              <w:t>50</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14:paraId="686E8EBF" w14:textId="35B5725D" w:rsidR="00233F0F" w:rsidRPr="00721F70" w:rsidRDefault="00233F0F" w:rsidP="004B01FF">
            <w:pPr>
              <w:spacing w:after="0" w:line="240" w:lineRule="auto"/>
              <w:jc w:val="center"/>
              <w:rPr>
                <w:rFonts w:ascii="Calibri" w:eastAsia="Times New Roman" w:hAnsi="Calibri" w:cs="Times New Roman"/>
                <w:color w:val="000000" w:themeColor="text1"/>
                <w:lang w:eastAsia="pl-PL"/>
              </w:rPr>
            </w:pPr>
            <w:r w:rsidRPr="00721F70">
              <w:rPr>
                <w:rFonts w:ascii="Calibri" w:eastAsia="Times New Roman" w:hAnsi="Calibri" w:cs="Times New Roman"/>
                <w:color w:val="000000" w:themeColor="text1"/>
                <w:lang w:eastAsia="pl-PL"/>
              </w:rPr>
              <w:t>35</w:t>
            </w:r>
            <w:r w:rsidR="004B01FF" w:rsidRPr="00721F70">
              <w:rPr>
                <w:rFonts w:ascii="Calibri" w:eastAsia="Times New Roman" w:hAnsi="Calibri" w:cs="Times New Roman"/>
                <w:color w:val="000000" w:themeColor="text1"/>
                <w:lang w:eastAsia="pl-PL"/>
              </w:rPr>
              <w:t>7</w:t>
            </w:r>
            <w:r w:rsidR="00254960" w:rsidRPr="00721F70">
              <w:rPr>
                <w:rStyle w:val="Odwoanieprzypisudolnego"/>
                <w:rFonts w:ascii="Calibri" w:eastAsia="Times New Roman" w:hAnsi="Calibri" w:cs="Times New Roman"/>
                <w:color w:val="000000" w:themeColor="text1"/>
                <w:lang w:eastAsia="pl-PL"/>
              </w:rPr>
              <w:footnoteReference w:id="9"/>
            </w:r>
          </w:p>
        </w:tc>
      </w:tr>
      <w:tr w:rsidR="00233F0F" w:rsidRPr="00791CDA" w14:paraId="6FFF2496" w14:textId="77777777" w:rsidTr="00254960">
        <w:trPr>
          <w:trHeight w:val="300"/>
          <w:jc w:val="center"/>
        </w:trPr>
        <w:tc>
          <w:tcPr>
            <w:tcW w:w="11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523821" w14:textId="77777777" w:rsidR="00233F0F" w:rsidRPr="00791CDA" w:rsidRDefault="00233F0F" w:rsidP="003C758A">
            <w:pPr>
              <w:spacing w:after="0" w:line="240" w:lineRule="auto"/>
              <w:rPr>
                <w:rFonts w:ascii="Calibri" w:eastAsia="Times New Roman" w:hAnsi="Calibri" w:cs="Times New Roman"/>
                <w:lang w:eastAsia="pl-PL"/>
              </w:rPr>
            </w:pPr>
            <w:r>
              <w:rPr>
                <w:rFonts w:ascii="Calibri" w:eastAsia="Times New Roman" w:hAnsi="Calibri" w:cs="Times New Roman"/>
                <w:lang w:eastAsia="pl-PL"/>
              </w:rPr>
              <w:t>Lublin</w:t>
            </w:r>
          </w:p>
        </w:tc>
        <w:tc>
          <w:tcPr>
            <w:tcW w:w="1521" w:type="dxa"/>
            <w:tcBorders>
              <w:top w:val="single" w:sz="4" w:space="0" w:color="auto"/>
              <w:left w:val="nil"/>
              <w:bottom w:val="single" w:sz="4" w:space="0" w:color="auto"/>
              <w:right w:val="single" w:sz="4" w:space="0" w:color="auto"/>
            </w:tcBorders>
            <w:shd w:val="clear" w:color="auto" w:fill="auto"/>
            <w:noWrap/>
            <w:vAlign w:val="bottom"/>
          </w:tcPr>
          <w:p w14:paraId="74400C72" w14:textId="358F53DA" w:rsidR="00233F0F" w:rsidRPr="00721F70" w:rsidRDefault="00233F0F" w:rsidP="003C758A">
            <w:pPr>
              <w:spacing w:after="0" w:line="240" w:lineRule="auto"/>
              <w:jc w:val="center"/>
              <w:rPr>
                <w:rFonts w:ascii="Calibri" w:eastAsia="Times New Roman" w:hAnsi="Calibri" w:cs="Times New Roman"/>
                <w:color w:val="000000" w:themeColor="text1"/>
                <w:lang w:eastAsia="pl-PL"/>
              </w:rPr>
            </w:pPr>
            <w:r w:rsidRPr="00721F70">
              <w:rPr>
                <w:rFonts w:ascii="Calibri" w:eastAsia="Times New Roman" w:hAnsi="Calibri" w:cs="Times New Roman"/>
                <w:color w:val="000000" w:themeColor="text1"/>
                <w:lang w:eastAsia="pl-PL"/>
              </w:rPr>
              <w:t>2</w:t>
            </w:r>
            <w:r w:rsidR="004B01FF" w:rsidRPr="00721F70">
              <w:rPr>
                <w:rFonts w:ascii="Calibri" w:eastAsia="Times New Roman" w:hAnsi="Calibri" w:cs="Times New Roman"/>
                <w:color w:val="000000" w:themeColor="text1"/>
                <w:lang w:eastAsia="pl-PL"/>
              </w:rPr>
              <w:t xml:space="preserve"> 304</w:t>
            </w:r>
          </w:p>
        </w:tc>
        <w:tc>
          <w:tcPr>
            <w:tcW w:w="1842" w:type="dxa"/>
            <w:tcBorders>
              <w:top w:val="single" w:sz="4" w:space="0" w:color="auto"/>
              <w:left w:val="nil"/>
              <w:bottom w:val="single" w:sz="4" w:space="0" w:color="auto"/>
              <w:right w:val="single" w:sz="4" w:space="0" w:color="auto"/>
            </w:tcBorders>
            <w:shd w:val="clear" w:color="auto" w:fill="auto"/>
            <w:noWrap/>
            <w:vAlign w:val="bottom"/>
          </w:tcPr>
          <w:p w14:paraId="582A7609" w14:textId="7A98E5E9" w:rsidR="00233F0F" w:rsidRPr="00721F70" w:rsidRDefault="00233F0F" w:rsidP="004B01FF">
            <w:pPr>
              <w:spacing w:after="0" w:line="240" w:lineRule="auto"/>
              <w:jc w:val="center"/>
              <w:rPr>
                <w:rFonts w:ascii="Calibri" w:eastAsia="Times New Roman" w:hAnsi="Calibri" w:cs="Times New Roman"/>
                <w:color w:val="000000" w:themeColor="text1"/>
                <w:lang w:eastAsia="pl-PL"/>
              </w:rPr>
            </w:pPr>
            <w:r w:rsidRPr="00721F70">
              <w:rPr>
                <w:rFonts w:ascii="Calibri" w:eastAsia="Times New Roman" w:hAnsi="Calibri" w:cs="Times New Roman"/>
                <w:color w:val="000000" w:themeColor="text1"/>
                <w:lang w:eastAsia="pl-PL"/>
              </w:rPr>
              <w:t>34</w:t>
            </w:r>
            <w:r w:rsidR="004B01FF" w:rsidRPr="00721F70">
              <w:rPr>
                <w:rFonts w:ascii="Calibri" w:eastAsia="Times New Roman" w:hAnsi="Calibri" w:cs="Times New Roman"/>
                <w:color w:val="000000" w:themeColor="text1"/>
                <w:lang w:eastAsia="pl-PL"/>
              </w:rPr>
              <w:t>6</w:t>
            </w:r>
            <w:r w:rsidR="00254960" w:rsidRPr="00721F70">
              <w:rPr>
                <w:rStyle w:val="Odwoanieprzypisudolnego"/>
                <w:rFonts w:ascii="Calibri" w:eastAsia="Times New Roman" w:hAnsi="Calibri" w:cs="Times New Roman"/>
                <w:color w:val="000000" w:themeColor="text1"/>
                <w:lang w:eastAsia="pl-PL"/>
              </w:rPr>
              <w:footnoteReference w:id="10"/>
            </w:r>
          </w:p>
        </w:tc>
      </w:tr>
    </w:tbl>
    <w:p w14:paraId="2A2B8F38" w14:textId="77777777" w:rsidR="005902E8" w:rsidRDefault="005902E8" w:rsidP="005902E8">
      <w:pPr>
        <w:jc w:val="center"/>
      </w:pPr>
      <w:r w:rsidRPr="0091031D">
        <w:rPr>
          <w:i/>
          <w:sz w:val="20"/>
          <w:szCs w:val="20"/>
        </w:rPr>
        <w:t>źródło: opracowanie własne na podstawie danych GUS</w:t>
      </w:r>
    </w:p>
    <w:p w14:paraId="64223394" w14:textId="717A4C77" w:rsidR="005902E8" w:rsidRDefault="005902E8" w:rsidP="005902E8"/>
    <w:p w14:paraId="11D9C989" w14:textId="77777777" w:rsidR="008E4EF6" w:rsidRPr="008E4EF6" w:rsidRDefault="008E4EF6" w:rsidP="00B606C2">
      <w:pPr>
        <w:jc w:val="both"/>
      </w:pPr>
      <w:r w:rsidRPr="008E4EF6">
        <w:t>W ramach wewnętrznego podziału administracyjnego Olsztyna wydzielone są 23 osiedla, które są jednostkami pomocniczymi</w:t>
      </w:r>
      <w:r w:rsidRPr="008E4EF6">
        <w:rPr>
          <w:vertAlign w:val="superscript"/>
        </w:rPr>
        <w:footnoteReference w:id="11"/>
      </w:r>
      <w:r w:rsidRPr="008E4EF6">
        <w:t xml:space="preserve">. Największe z nich pod względem powierzchni zajmują północną część miasta, z kolei centralna i południowa część jest dużo bardziej rozdrobniona. Wynika to z faktu większego zurbanizowania i koncentracji ludności w tych rejonach. </w:t>
      </w:r>
    </w:p>
    <w:p w14:paraId="6B155539" w14:textId="5CF9529E" w:rsidR="008E4EF6" w:rsidRDefault="008331EA" w:rsidP="00B606C2">
      <w:pPr>
        <w:jc w:val="both"/>
      </w:pPr>
      <w:r>
        <w:t>Największym osiedlem jest Podleśna</w:t>
      </w:r>
      <w:r w:rsidR="008E4EF6" w:rsidRPr="008E4EF6">
        <w:t>, której powierzchni wynosi niecałe 10 km</w:t>
      </w:r>
      <w:r w:rsidR="008E4EF6" w:rsidRPr="008E4EF6">
        <w:rPr>
          <w:vertAlign w:val="superscript"/>
        </w:rPr>
        <w:t>2</w:t>
      </w:r>
      <w:r w:rsidR="008E4EF6" w:rsidRPr="008E4EF6">
        <w:t>. Z kolei najmniejsze jest Zatorze (0,45 km</w:t>
      </w:r>
      <w:r w:rsidR="008E4EF6" w:rsidRPr="008E4EF6">
        <w:rPr>
          <w:vertAlign w:val="superscript"/>
        </w:rPr>
        <w:t>2</w:t>
      </w:r>
      <w:r w:rsidR="008E4EF6" w:rsidRPr="008E4EF6">
        <w:t>) i Śródmieście (0,58 km</w:t>
      </w:r>
      <w:r w:rsidR="008E4EF6" w:rsidRPr="008E4EF6">
        <w:rPr>
          <w:vertAlign w:val="superscript"/>
        </w:rPr>
        <w:t>2</w:t>
      </w:r>
      <w:r w:rsidR="008E4EF6" w:rsidRPr="008E4EF6">
        <w:t xml:space="preserve">), znajdujące się w samym centrum miasta. Największą liczbą ludności wyróżnia się z kolei osiedle Jaroty, liczące ponad 25 tys. mieszkańców i mieszczące się w południowej części miasta. Liczbą mieszkańców przekraczającą 10 tys. wyróżnia się 8 z 23 osiedli, natomiast kolejnych 8 nie przekracza 5 tys. </w:t>
      </w:r>
    </w:p>
    <w:p w14:paraId="0EFADB23" w14:textId="77777777" w:rsidR="0034048D" w:rsidRDefault="0034048D">
      <w:pPr>
        <w:rPr>
          <w:rFonts w:ascii="Calibri" w:eastAsia="Calibri" w:hAnsi="Calibri" w:cs="Mangal"/>
          <w:i/>
          <w:iCs/>
          <w:color w:val="00000A"/>
          <w:kern w:val="1"/>
          <w:sz w:val="20"/>
          <w:szCs w:val="20"/>
          <w:lang w:val="en-GB"/>
        </w:rPr>
      </w:pPr>
      <w:r>
        <w:rPr>
          <w:sz w:val="20"/>
          <w:szCs w:val="20"/>
        </w:rPr>
        <w:br w:type="page"/>
      </w:r>
    </w:p>
    <w:p w14:paraId="63E35F9F" w14:textId="3A00B3AE" w:rsidR="0034048D" w:rsidRPr="0034048D" w:rsidRDefault="0034048D" w:rsidP="0034048D">
      <w:pPr>
        <w:pStyle w:val="Legenda"/>
        <w:rPr>
          <w:sz w:val="22"/>
          <w:szCs w:val="22"/>
          <w:lang w:val="pl-PL"/>
        </w:rPr>
      </w:pPr>
      <w:bookmarkStart w:id="11" w:name="_Toc73516166"/>
      <w:r w:rsidRPr="0034048D">
        <w:rPr>
          <w:sz w:val="22"/>
          <w:szCs w:val="22"/>
        </w:rPr>
        <w:lastRenderedPageBreak/>
        <w:t xml:space="preserve">Rysunek </w:t>
      </w:r>
      <w:r w:rsidRPr="0034048D">
        <w:rPr>
          <w:sz w:val="22"/>
          <w:szCs w:val="22"/>
        </w:rPr>
        <w:fldChar w:fldCharType="begin"/>
      </w:r>
      <w:r w:rsidRPr="0034048D">
        <w:rPr>
          <w:sz w:val="22"/>
          <w:szCs w:val="22"/>
        </w:rPr>
        <w:instrText xml:space="preserve"> SEQ Rysunek \* ARABIC </w:instrText>
      </w:r>
      <w:r w:rsidRPr="0034048D">
        <w:rPr>
          <w:sz w:val="22"/>
          <w:szCs w:val="22"/>
        </w:rPr>
        <w:fldChar w:fldCharType="separate"/>
      </w:r>
      <w:r w:rsidR="00AD58C3">
        <w:rPr>
          <w:noProof/>
          <w:sz w:val="22"/>
          <w:szCs w:val="22"/>
        </w:rPr>
        <w:t>1</w:t>
      </w:r>
      <w:r w:rsidRPr="0034048D">
        <w:rPr>
          <w:sz w:val="22"/>
          <w:szCs w:val="22"/>
        </w:rPr>
        <w:fldChar w:fldCharType="end"/>
      </w:r>
      <w:r w:rsidRPr="0034048D">
        <w:rPr>
          <w:sz w:val="22"/>
          <w:szCs w:val="22"/>
          <w:lang w:val="pl-PL"/>
        </w:rPr>
        <w:t>. Gęstość zaludnienia osiedli Olsztyna</w:t>
      </w:r>
      <w:bookmarkEnd w:id="11"/>
    </w:p>
    <w:p w14:paraId="374D2CC9" w14:textId="77777777" w:rsidR="004E4701" w:rsidRDefault="008E4EF6" w:rsidP="004E4701">
      <w:pPr>
        <w:keepNext/>
        <w:jc w:val="center"/>
      </w:pPr>
      <w:r w:rsidRPr="008E4EF6">
        <w:rPr>
          <w:noProof/>
          <w:lang w:eastAsia="pl-PL"/>
        </w:rPr>
        <w:drawing>
          <wp:inline distT="0" distB="0" distL="0" distR="0" wp14:anchorId="7B7A8189" wp14:editId="25C85863">
            <wp:extent cx="5507772" cy="4714875"/>
            <wp:effectExtent l="0" t="0" r="0" b="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45997" cy="4747597"/>
                    </a:xfrm>
                    <a:prstGeom prst="rect">
                      <a:avLst/>
                    </a:prstGeom>
                  </pic:spPr>
                </pic:pic>
              </a:graphicData>
            </a:graphic>
          </wp:inline>
        </w:drawing>
      </w:r>
    </w:p>
    <w:p w14:paraId="2C735E59" w14:textId="1947052D" w:rsidR="008E4EF6" w:rsidRPr="00AD65AC" w:rsidRDefault="00AD65AC" w:rsidP="00AD65AC">
      <w:pPr>
        <w:jc w:val="center"/>
        <w:rPr>
          <w:i/>
          <w:sz w:val="20"/>
          <w:szCs w:val="20"/>
        </w:rPr>
      </w:pPr>
      <w:r w:rsidRPr="00AD65AC">
        <w:rPr>
          <w:i/>
          <w:sz w:val="20"/>
          <w:szCs w:val="20"/>
        </w:rPr>
        <w:t>ź</w:t>
      </w:r>
      <w:r w:rsidR="004E4701" w:rsidRPr="00AD65AC">
        <w:rPr>
          <w:i/>
          <w:sz w:val="20"/>
          <w:szCs w:val="20"/>
        </w:rPr>
        <w:t>ródło: Studium Rozwoju Systemów Komunikacyjnych Miasta Olsztyna str.12</w:t>
      </w:r>
    </w:p>
    <w:p w14:paraId="0B332D5A" w14:textId="77777777" w:rsidR="008E4EF6" w:rsidRPr="008E4EF6" w:rsidRDefault="008E4EF6" w:rsidP="008E4EF6"/>
    <w:p w14:paraId="7BD45A5A" w14:textId="7DD6CE3D" w:rsidR="008E4EF6" w:rsidRDefault="008E4EF6" w:rsidP="00A16E1A">
      <w:pPr>
        <w:jc w:val="both"/>
      </w:pPr>
      <w:r w:rsidRPr="008E4EF6">
        <w:t>Najniższą gęstością zaludnienia charakteryzuje się Zielona Górka (179 osób/km</w:t>
      </w:r>
      <w:r w:rsidRPr="008E4EF6">
        <w:rPr>
          <w:vertAlign w:val="superscript"/>
        </w:rPr>
        <w:t>2</w:t>
      </w:r>
      <w:r w:rsidRPr="008E4EF6">
        <w:t>, natomiast w dwóch osiedlach, Ko</w:t>
      </w:r>
      <w:r w:rsidR="000F3FDB">
        <w:t>r</w:t>
      </w:r>
      <w:r w:rsidRPr="008E4EF6">
        <w:t xml:space="preserve">moran i Zatorze, gęstość zaludnienia przekracza kilkanaście </w:t>
      </w:r>
      <w:r w:rsidR="00E37BD0">
        <w:t xml:space="preserve">tys. </w:t>
      </w:r>
      <w:r w:rsidRPr="008E4EF6">
        <w:t>osób/km</w:t>
      </w:r>
      <w:r w:rsidRPr="008E4EF6">
        <w:rPr>
          <w:vertAlign w:val="superscript"/>
        </w:rPr>
        <w:t>2</w:t>
      </w:r>
      <w:r w:rsidRPr="008E4EF6">
        <w:t>. Średnia gęstość zaludnienia dzielnic w Olsztynie w 2017 r. równała się ok. 3700 osób/km</w:t>
      </w:r>
      <w:r w:rsidRPr="008E4EF6">
        <w:rPr>
          <w:vertAlign w:val="superscript"/>
        </w:rPr>
        <w:t>2</w:t>
      </w:r>
      <w:r w:rsidRPr="008E4EF6">
        <w:t>.</w:t>
      </w:r>
    </w:p>
    <w:p w14:paraId="37676DA2" w14:textId="77777777" w:rsidR="008E4EF6" w:rsidRPr="005902E8" w:rsidRDefault="008E4EF6" w:rsidP="005902E8"/>
    <w:p w14:paraId="0F21A59C" w14:textId="77777777" w:rsidR="0083110E" w:rsidRDefault="0092279B" w:rsidP="0057104C">
      <w:pPr>
        <w:pStyle w:val="Nagwek3"/>
      </w:pPr>
      <w:bookmarkStart w:id="12" w:name="_Toc73534886"/>
      <w:r>
        <w:t xml:space="preserve">1.1.3 </w:t>
      </w:r>
      <w:r w:rsidR="009051FD">
        <w:t>Przyrost naturalny</w:t>
      </w:r>
      <w:bookmarkEnd w:id="12"/>
    </w:p>
    <w:p w14:paraId="18DB1A48" w14:textId="034586C2" w:rsidR="00E6414A" w:rsidRDefault="00B972C6" w:rsidP="00330DDD">
      <w:pPr>
        <w:jc w:val="both"/>
      </w:pPr>
      <w:r>
        <w:t>Współczynnik przyrostu naturalnego w przeliczeniu na 1000 mieszkańców w omawianych latach 2013-2019 utrzymuje się na dodatnim poziomie w przypadku czterech spośród pięciu omawianych miast</w:t>
      </w:r>
      <w:r w:rsidR="0034048D">
        <w:t xml:space="preserve"> </w:t>
      </w:r>
      <w:r>
        <w:t>-ośrodków wojewódzkich</w:t>
      </w:r>
      <w:r w:rsidR="00103B30">
        <w:t xml:space="preserve"> (Olsztyn, Białystok, Rzeszów, Lublin)</w:t>
      </w:r>
      <w:r>
        <w:t xml:space="preserve">. Jedynie </w:t>
      </w:r>
      <w:r w:rsidR="00330DDD">
        <w:t xml:space="preserve">w </w:t>
      </w:r>
      <w:r>
        <w:t>Kielc</w:t>
      </w:r>
      <w:r w:rsidR="00330DDD">
        <w:t xml:space="preserve">ach </w:t>
      </w:r>
      <w:r>
        <w:t>odnotow</w:t>
      </w:r>
      <w:r w:rsidR="00330DDD">
        <w:t>ano</w:t>
      </w:r>
      <w:r>
        <w:t xml:space="preserve"> ujemny przyrost naturalny. Prognozy demograficzn</w:t>
      </w:r>
      <w:r w:rsidR="00330DDD">
        <w:t xml:space="preserve">e </w:t>
      </w:r>
      <w:r w:rsidR="00103B30">
        <w:t xml:space="preserve">na kolejne lata nie </w:t>
      </w:r>
      <w:r w:rsidR="00330DDD">
        <w:t xml:space="preserve">są jednak optymistyczne </w:t>
      </w:r>
      <w:r w:rsidR="00103B30">
        <w:t xml:space="preserve">i </w:t>
      </w:r>
      <w:r>
        <w:t xml:space="preserve">wskazują, iż w roku 2020 i </w:t>
      </w:r>
      <w:r w:rsidR="00330DDD">
        <w:t>2030</w:t>
      </w:r>
      <w:r>
        <w:t xml:space="preserve"> do Kielc dołączy Olsztyn, Lublin, zaś w roku 203</w:t>
      </w:r>
      <w:r w:rsidR="00330DDD">
        <w:t>0 ujemny przyrost naturalny będzie dotyczył także Białegostoku.</w:t>
      </w:r>
    </w:p>
    <w:p w14:paraId="288BF002" w14:textId="5E4A2E20" w:rsidR="00C725CD" w:rsidRDefault="00C725CD" w:rsidP="00330DDD">
      <w:pPr>
        <w:jc w:val="both"/>
      </w:pPr>
    </w:p>
    <w:p w14:paraId="5ED87709" w14:textId="64D792CA" w:rsidR="0034048D" w:rsidRDefault="0034048D">
      <w:r>
        <w:br w:type="page"/>
      </w:r>
    </w:p>
    <w:p w14:paraId="3D274911" w14:textId="624FBFA6" w:rsidR="0034048D" w:rsidRDefault="0034048D" w:rsidP="00330DDD">
      <w:pPr>
        <w:jc w:val="both"/>
      </w:pPr>
    </w:p>
    <w:p w14:paraId="524BB148" w14:textId="01446414" w:rsidR="0034048D" w:rsidRPr="002F2889" w:rsidRDefault="0034048D" w:rsidP="0034048D">
      <w:pPr>
        <w:pStyle w:val="Legenda"/>
        <w:rPr>
          <w:color w:val="000000" w:themeColor="text1"/>
          <w:sz w:val="22"/>
          <w:szCs w:val="22"/>
          <w:lang w:val="pl-PL"/>
        </w:rPr>
      </w:pPr>
      <w:bookmarkStart w:id="13" w:name="_Toc73516068"/>
      <w:r w:rsidRPr="002F2889">
        <w:rPr>
          <w:color w:val="000000" w:themeColor="text1"/>
          <w:sz w:val="22"/>
          <w:szCs w:val="22"/>
        </w:rPr>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6</w:t>
      </w:r>
      <w:r w:rsidRPr="002F2889">
        <w:rPr>
          <w:color w:val="000000" w:themeColor="text1"/>
          <w:sz w:val="22"/>
          <w:szCs w:val="22"/>
        </w:rPr>
        <w:fldChar w:fldCharType="end"/>
      </w:r>
      <w:r w:rsidRPr="002F2889">
        <w:rPr>
          <w:color w:val="000000" w:themeColor="text1"/>
          <w:sz w:val="22"/>
          <w:szCs w:val="22"/>
        </w:rPr>
        <w:t xml:space="preserve">. </w:t>
      </w:r>
      <w:r w:rsidRPr="002F2889">
        <w:rPr>
          <w:bCs/>
          <w:color w:val="000000" w:themeColor="text1"/>
          <w:sz w:val="22"/>
          <w:szCs w:val="22"/>
          <w:lang w:val="en-US"/>
        </w:rPr>
        <w:t xml:space="preserve">Współczynnik przyrostu naturalnego na 1000 mieszkańców w latach 2013-2019 </w:t>
      </w:r>
      <w:r w:rsidRPr="002F2889">
        <w:rPr>
          <w:bCs/>
          <w:color w:val="000000" w:themeColor="text1"/>
          <w:sz w:val="22"/>
          <w:szCs w:val="22"/>
          <w:lang w:val="pl-PL"/>
        </w:rPr>
        <w:t>oraz</w:t>
      </w:r>
      <w:r w:rsidRPr="002F2889">
        <w:rPr>
          <w:bCs/>
          <w:color w:val="000000" w:themeColor="text1"/>
          <w:sz w:val="22"/>
          <w:szCs w:val="22"/>
          <w:lang w:val="en-US"/>
        </w:rPr>
        <w:t xml:space="preserve"> prognoza na lata 2020, 2030</w:t>
      </w:r>
      <w:bookmarkEnd w:id="13"/>
      <w:r w:rsidR="00D62112" w:rsidRPr="002F2889">
        <w:rPr>
          <w:bCs/>
          <w:color w:val="000000" w:themeColor="text1"/>
          <w:sz w:val="22"/>
          <w:szCs w:val="22"/>
          <w:lang w:val="en-US"/>
        </w:rPr>
        <w:t xml:space="preserve"> </w:t>
      </w:r>
    </w:p>
    <w:p w14:paraId="1B834AE1" w14:textId="77777777" w:rsidR="00C725CD" w:rsidRDefault="00C725CD" w:rsidP="00934138">
      <w:pPr>
        <w:spacing w:after="0"/>
        <w:jc w:val="both"/>
      </w:pPr>
      <w:r>
        <w:rPr>
          <w:noProof/>
          <w:lang w:eastAsia="pl-PL"/>
        </w:rPr>
        <w:drawing>
          <wp:inline distT="0" distB="0" distL="0" distR="0" wp14:anchorId="1592EE7B" wp14:editId="5EE1502F">
            <wp:extent cx="5760720" cy="3413125"/>
            <wp:effectExtent l="0" t="0" r="11430" b="15875"/>
            <wp:docPr id="6"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6DC5E86" w14:textId="77777777" w:rsidR="00572949" w:rsidRDefault="00572949" w:rsidP="00934138">
      <w:pPr>
        <w:spacing w:after="0"/>
        <w:jc w:val="center"/>
      </w:pPr>
      <w:r w:rsidRPr="0091031D">
        <w:rPr>
          <w:i/>
          <w:sz w:val="20"/>
          <w:szCs w:val="20"/>
        </w:rPr>
        <w:t>źródło: opracowanie własne na podstawie danych GUS</w:t>
      </w:r>
    </w:p>
    <w:p w14:paraId="1F230AC8" w14:textId="77777777" w:rsidR="00572949" w:rsidRDefault="00572949" w:rsidP="00330DDD">
      <w:pPr>
        <w:jc w:val="both"/>
      </w:pPr>
    </w:p>
    <w:p w14:paraId="1E6154CE" w14:textId="77777777" w:rsidR="00791CDA" w:rsidRDefault="0092279B" w:rsidP="00BE04EA">
      <w:pPr>
        <w:pStyle w:val="Nagwek3"/>
      </w:pPr>
      <w:bookmarkStart w:id="14" w:name="_Toc73534887"/>
      <w:r>
        <w:t xml:space="preserve">1.1.4 </w:t>
      </w:r>
      <w:r w:rsidR="009051FD">
        <w:t>Obciążenie demograficzne</w:t>
      </w:r>
      <w:bookmarkEnd w:id="14"/>
    </w:p>
    <w:p w14:paraId="16FF1484" w14:textId="498ABC1F" w:rsidR="00552FA1" w:rsidRDefault="0047754A" w:rsidP="0047754A">
      <w:pPr>
        <w:jc w:val="both"/>
      </w:pPr>
      <w:r>
        <w:t xml:space="preserve">W wyniku opisanych zmian demograficznych struktura </w:t>
      </w:r>
      <w:r w:rsidR="007554CC">
        <w:t>wieku mieszkańców Olsztyna, Kielc, Białegostoku, Rzeszowa i Lublina</w:t>
      </w:r>
      <w:r>
        <w:t xml:space="preserve"> stale zmienia się na mniej korzystną</w:t>
      </w:r>
      <w:r w:rsidR="007554CC">
        <w:t xml:space="preserve">. Udział osób w wieku nieprodukcyjnym </w:t>
      </w:r>
      <w:r w:rsidR="002D2053">
        <w:t xml:space="preserve">w przeliczeniu na 100 osób w wieku produkcyjnym jest w roku 2019 najwyższy </w:t>
      </w:r>
      <w:r w:rsidR="002D2053">
        <w:br/>
        <w:t>w Kielcach (73,3 osoby), przy czym w analizowanych latach 2013 i 2019 największa różnica dotyczy  Olsztyna (wzrost o 16 osób).</w:t>
      </w:r>
      <w:r w:rsidR="00FE7D07">
        <w:t xml:space="preserve"> Zmiany podobne jak w miastach-rdzeniach, choć o mniejszym zakresie   </w:t>
      </w:r>
      <w:r w:rsidR="009368A7">
        <w:t xml:space="preserve">dotyczą także </w:t>
      </w:r>
      <w:r w:rsidR="00FE7D07">
        <w:t>otoczenia miast</w:t>
      </w:r>
      <w:r w:rsidR="00415B36">
        <w:t xml:space="preserve"> (powiatów).</w:t>
      </w:r>
      <w:r w:rsidR="00572949">
        <w:t xml:space="preserve"> Należy przy tym zaznaczyć, że większy wzrost udziału </w:t>
      </w:r>
      <w:r w:rsidR="0085494E">
        <w:t>ludności</w:t>
      </w:r>
      <w:r w:rsidR="00572949">
        <w:t xml:space="preserve"> w wieku nieprodukcyjnym dotyczy </w:t>
      </w:r>
      <w:r w:rsidR="0085494E">
        <w:t xml:space="preserve">osób </w:t>
      </w:r>
      <w:r w:rsidR="00572949">
        <w:t>w wieku starszym niż dzieci i młodzieży.</w:t>
      </w:r>
    </w:p>
    <w:p w14:paraId="6A5FC6D4" w14:textId="3E7593CE" w:rsidR="004725B2" w:rsidRDefault="004725B2">
      <w:r>
        <w:br w:type="page"/>
      </w:r>
    </w:p>
    <w:p w14:paraId="6BD20A60" w14:textId="4D855FF5" w:rsidR="0066560D" w:rsidRPr="0066560D" w:rsidRDefault="004725B2" w:rsidP="0066560D">
      <w:pPr>
        <w:pStyle w:val="Legenda"/>
        <w:rPr>
          <w:color w:val="000000" w:themeColor="text1"/>
          <w:sz w:val="22"/>
          <w:szCs w:val="22"/>
          <w:lang w:val="pl-PL"/>
        </w:rPr>
      </w:pPr>
      <w:bookmarkStart w:id="15" w:name="_Toc73516069"/>
      <w:r w:rsidRPr="002F2889">
        <w:rPr>
          <w:color w:val="000000" w:themeColor="text1"/>
          <w:sz w:val="22"/>
          <w:szCs w:val="22"/>
        </w:rPr>
        <w:lastRenderedPageBreak/>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7</w:t>
      </w:r>
      <w:r w:rsidRPr="002F2889">
        <w:rPr>
          <w:color w:val="000000" w:themeColor="text1"/>
          <w:sz w:val="22"/>
          <w:szCs w:val="22"/>
        </w:rPr>
        <w:fldChar w:fldCharType="end"/>
      </w:r>
      <w:r w:rsidRPr="002F2889">
        <w:rPr>
          <w:color w:val="000000" w:themeColor="text1"/>
          <w:sz w:val="22"/>
          <w:szCs w:val="22"/>
        </w:rPr>
        <w:t xml:space="preserve">. </w:t>
      </w:r>
      <w:r w:rsidRPr="002F2889">
        <w:rPr>
          <w:bCs/>
          <w:color w:val="000000" w:themeColor="text1"/>
          <w:sz w:val="22"/>
          <w:szCs w:val="22"/>
          <w:lang w:val="en-US"/>
        </w:rPr>
        <w:t xml:space="preserve">Liczba mieszkańców w wieku nieprodukcyjnym na 100 osób w wieku produkcyjnym w </w:t>
      </w:r>
      <w:r w:rsidRPr="002F2889">
        <w:rPr>
          <w:bCs/>
          <w:color w:val="000000" w:themeColor="text1"/>
          <w:sz w:val="22"/>
          <w:szCs w:val="22"/>
          <w:lang w:val="pl-PL"/>
        </w:rPr>
        <w:t xml:space="preserve">latach </w:t>
      </w:r>
      <w:r w:rsidRPr="002F2889">
        <w:rPr>
          <w:bCs/>
          <w:color w:val="000000" w:themeColor="text1"/>
          <w:sz w:val="22"/>
          <w:szCs w:val="22"/>
          <w:lang w:val="en-US"/>
        </w:rPr>
        <w:t>2013 i 2019</w:t>
      </w:r>
      <w:bookmarkEnd w:id="15"/>
    </w:p>
    <w:p w14:paraId="52C2CFD6" w14:textId="77777777" w:rsidR="00E6414A" w:rsidRPr="00E6414A" w:rsidRDefault="00E6414A" w:rsidP="00934138">
      <w:pPr>
        <w:spacing w:after="0"/>
        <w:jc w:val="center"/>
      </w:pPr>
      <w:r>
        <w:rPr>
          <w:noProof/>
          <w:lang w:eastAsia="pl-PL"/>
        </w:rPr>
        <w:drawing>
          <wp:inline distT="0" distB="0" distL="0" distR="0" wp14:anchorId="0FB7F79F" wp14:editId="368F12AB">
            <wp:extent cx="4610100" cy="3086100"/>
            <wp:effectExtent l="0" t="0" r="0" b="0"/>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6AC3450" w14:textId="77777777" w:rsidR="00BE04EA" w:rsidRDefault="00572949" w:rsidP="0092279B">
      <w:pPr>
        <w:spacing w:after="0"/>
        <w:jc w:val="center"/>
      </w:pPr>
      <w:r w:rsidRPr="0091031D">
        <w:rPr>
          <w:i/>
          <w:sz w:val="20"/>
          <w:szCs w:val="20"/>
        </w:rPr>
        <w:t>źródło: opracowanie własne na podstawie danych GUS</w:t>
      </w:r>
    </w:p>
    <w:p w14:paraId="363024CF" w14:textId="77777777" w:rsidR="00D62112" w:rsidRDefault="00D62112" w:rsidP="0092279B">
      <w:pPr>
        <w:pStyle w:val="Nagwek2"/>
      </w:pPr>
    </w:p>
    <w:p w14:paraId="04989422" w14:textId="77777777" w:rsidR="00D62112" w:rsidRDefault="00D62112" w:rsidP="0092279B">
      <w:pPr>
        <w:pStyle w:val="Nagwek2"/>
      </w:pPr>
    </w:p>
    <w:p w14:paraId="675FA64B" w14:textId="6ADB92B8" w:rsidR="00BE04EA" w:rsidRDefault="0092279B" w:rsidP="0092279B">
      <w:pPr>
        <w:pStyle w:val="Nagwek2"/>
      </w:pPr>
      <w:bookmarkStart w:id="16" w:name="_Toc73534888"/>
      <w:r>
        <w:t xml:space="preserve">1.2 </w:t>
      </w:r>
      <w:r w:rsidR="00BE04EA">
        <w:t>Sytuacja społeczno-ekonomiczna</w:t>
      </w:r>
      <w:bookmarkEnd w:id="16"/>
    </w:p>
    <w:p w14:paraId="5B7B8527" w14:textId="77777777" w:rsidR="00BE04EA" w:rsidRDefault="0092279B" w:rsidP="00BE04EA">
      <w:pPr>
        <w:pStyle w:val="Nagwek3"/>
      </w:pPr>
      <w:bookmarkStart w:id="17" w:name="_Toc73534889"/>
      <w:r>
        <w:t xml:space="preserve">1.2.1 </w:t>
      </w:r>
      <w:r w:rsidR="00BE04EA">
        <w:t>Wynagrodzenia</w:t>
      </w:r>
      <w:bookmarkEnd w:id="17"/>
    </w:p>
    <w:p w14:paraId="653825D0" w14:textId="5FC0A7BC" w:rsidR="00D62112" w:rsidRPr="002A3CCE" w:rsidRDefault="00887275" w:rsidP="002A3CCE">
      <w:pPr>
        <w:jc w:val="both"/>
      </w:pPr>
      <w:r>
        <w:t>Średnie w</w:t>
      </w:r>
      <w:r w:rsidR="00FA291F">
        <w:t xml:space="preserve">ynagrodzenie </w:t>
      </w:r>
      <w:r>
        <w:t>brutto w s</w:t>
      </w:r>
      <w:r w:rsidR="00FA291F">
        <w:t>tolic</w:t>
      </w:r>
      <w:r>
        <w:t>y</w:t>
      </w:r>
      <w:r w:rsidR="00FA291F">
        <w:t xml:space="preserve"> Warmii </w:t>
      </w:r>
      <w:r>
        <w:t>i Maz</w:t>
      </w:r>
      <w:r w:rsidR="00721F70">
        <w:t>ur w roku 201</w:t>
      </w:r>
      <w:r w:rsidR="00C846EA">
        <w:t>9</w:t>
      </w:r>
      <w:r w:rsidR="00721F70">
        <w:t xml:space="preserve"> wynosiło </w:t>
      </w:r>
      <w:r w:rsidR="00C846EA">
        <w:t>5 018,92</w:t>
      </w:r>
      <w:r>
        <w:t xml:space="preserve"> zł i w relacji do średniej krajowej stanowiło 96,</w:t>
      </w:r>
      <w:r w:rsidR="00C846EA">
        <w:t>9</w:t>
      </w:r>
      <w:r>
        <w:t xml:space="preserve">%. </w:t>
      </w:r>
      <w:r w:rsidR="008A53FC">
        <w:t>W</w:t>
      </w:r>
      <w:r w:rsidR="00C846EA">
        <w:t xml:space="preserve"> </w:t>
      </w:r>
      <w:r>
        <w:t xml:space="preserve">województwie warmińsko-mazurskim i powiecie olsztyńskim </w:t>
      </w:r>
      <w:r w:rsidR="008A53FC">
        <w:t xml:space="preserve">było ono </w:t>
      </w:r>
      <w:r>
        <w:t>niższe niż w mi</w:t>
      </w:r>
      <w:r w:rsidR="00934138">
        <w:t>eście-rdzeniu</w:t>
      </w:r>
      <w:r w:rsidR="008A53FC">
        <w:t xml:space="preserve"> (Olsztynie) -</w:t>
      </w:r>
      <w:r w:rsidR="00CC6A00">
        <w:t xml:space="preserve"> odpowiednio o 13,94% oraz o </w:t>
      </w:r>
      <w:r w:rsidR="00934138">
        <w:t>12,</w:t>
      </w:r>
      <w:r w:rsidR="00CC6A00">
        <w:t>97%</w:t>
      </w:r>
      <w:r w:rsidR="00934138">
        <w:t>.</w:t>
      </w:r>
      <w:r>
        <w:t xml:space="preserve"> </w:t>
      </w:r>
      <w:r w:rsidR="008A53FC">
        <w:t>Średnie wynagrodzenie brutto w każdym omawianym mieście i jego otoczeniu charakteryzuje stała tendencja wzrostowa. Największy przyrost nastąpił w Kielcach oraz Rzeszowie (więcej odpowiednio o 1 282,15 zł oraz 1 257,40 zł - w roku 2019 w porównaniu do roku 2013).</w:t>
      </w:r>
    </w:p>
    <w:p w14:paraId="6FB30636" w14:textId="1D019460" w:rsidR="004725B2" w:rsidRDefault="004725B2" w:rsidP="004725B2">
      <w:pPr>
        <w:pStyle w:val="Legenda"/>
        <w:rPr>
          <w:bCs/>
          <w:color w:val="000000" w:themeColor="text1"/>
          <w:sz w:val="22"/>
          <w:szCs w:val="22"/>
          <w:lang w:val="en-US"/>
        </w:rPr>
      </w:pPr>
      <w:bookmarkStart w:id="18" w:name="_Toc73516070"/>
      <w:r w:rsidRPr="002F2889">
        <w:rPr>
          <w:color w:val="000000" w:themeColor="text1"/>
          <w:sz w:val="22"/>
          <w:szCs w:val="22"/>
        </w:rPr>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8</w:t>
      </w:r>
      <w:r w:rsidRPr="002F2889">
        <w:rPr>
          <w:color w:val="000000" w:themeColor="text1"/>
          <w:sz w:val="22"/>
          <w:szCs w:val="22"/>
        </w:rPr>
        <w:fldChar w:fldCharType="end"/>
      </w:r>
      <w:r w:rsidRPr="002F2889">
        <w:rPr>
          <w:color w:val="000000" w:themeColor="text1"/>
          <w:sz w:val="22"/>
          <w:szCs w:val="22"/>
        </w:rPr>
        <w:t xml:space="preserve">. </w:t>
      </w:r>
      <w:r w:rsidRPr="002F2889">
        <w:rPr>
          <w:bCs/>
          <w:color w:val="000000" w:themeColor="text1"/>
          <w:sz w:val="22"/>
          <w:szCs w:val="22"/>
          <w:lang w:val="en-US"/>
        </w:rPr>
        <w:t>Przeciętne miesięczne wynagrodzenia brutto ogółem w latach 2013-201</w:t>
      </w:r>
      <w:r w:rsidR="00801C4B">
        <w:rPr>
          <w:bCs/>
          <w:color w:val="000000" w:themeColor="text1"/>
          <w:sz w:val="22"/>
          <w:szCs w:val="22"/>
          <w:lang w:val="en-US"/>
        </w:rPr>
        <w:t>9</w:t>
      </w:r>
      <w:r w:rsidRPr="002F2889">
        <w:rPr>
          <w:bCs/>
          <w:color w:val="000000" w:themeColor="text1"/>
          <w:sz w:val="22"/>
          <w:szCs w:val="22"/>
          <w:lang w:val="en-US"/>
        </w:rPr>
        <w:t xml:space="preserve"> (zł)</w:t>
      </w:r>
      <w:bookmarkEnd w:id="18"/>
    </w:p>
    <w:p w14:paraId="78EFF86B" w14:textId="30F6292C" w:rsidR="00801C4B" w:rsidRDefault="00801C4B" w:rsidP="00801C4B">
      <w:pPr>
        <w:pStyle w:val="Legenda"/>
        <w:spacing w:before="0" w:after="0"/>
        <w:jc w:val="center"/>
        <w:rPr>
          <w:bCs/>
          <w:color w:val="000000" w:themeColor="text1"/>
          <w:sz w:val="22"/>
          <w:szCs w:val="22"/>
          <w:lang w:val="en-US"/>
        </w:rPr>
      </w:pPr>
      <w:r>
        <w:rPr>
          <w:noProof/>
          <w:lang w:val="pl-PL" w:eastAsia="pl-PL"/>
        </w:rPr>
        <w:drawing>
          <wp:inline distT="0" distB="0" distL="0" distR="0" wp14:anchorId="6E9652DA" wp14:editId="29293587">
            <wp:extent cx="4598035" cy="2438400"/>
            <wp:effectExtent l="0" t="0" r="12065" b="0"/>
            <wp:docPr id="178" name="Wykres 1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3477BD0" w14:textId="77777777" w:rsidR="004E1A6D" w:rsidRDefault="004E1A6D" w:rsidP="00801C4B">
      <w:pPr>
        <w:spacing w:after="0"/>
        <w:jc w:val="center"/>
      </w:pPr>
      <w:r w:rsidRPr="0091031D">
        <w:rPr>
          <w:i/>
          <w:sz w:val="20"/>
          <w:szCs w:val="20"/>
        </w:rPr>
        <w:t>źródło: opracowanie własne na podstawie danych GUS</w:t>
      </w:r>
    </w:p>
    <w:p w14:paraId="4865C197" w14:textId="77777777" w:rsidR="00887275" w:rsidRDefault="00887275" w:rsidP="00BE04EA"/>
    <w:p w14:paraId="02C08E55" w14:textId="77777777" w:rsidR="00BE04EA" w:rsidRDefault="002223EC" w:rsidP="00887275">
      <w:pPr>
        <w:pStyle w:val="Nagwek3"/>
      </w:pPr>
      <w:bookmarkStart w:id="19" w:name="_Toc73534890"/>
      <w:r>
        <w:t xml:space="preserve">1.2.2 </w:t>
      </w:r>
      <w:r w:rsidR="00887275">
        <w:t>Zagrożenie ubóstwem</w:t>
      </w:r>
      <w:bookmarkEnd w:id="19"/>
    </w:p>
    <w:p w14:paraId="30210981" w14:textId="625299F2" w:rsidR="00953CD4" w:rsidRPr="00ED4EDD" w:rsidRDefault="00953CD4" w:rsidP="00953CD4">
      <w:pPr>
        <w:jc w:val="both"/>
      </w:pPr>
      <w:r w:rsidRPr="00ED4EDD">
        <w:t xml:space="preserve">Z braku dostępnych danych statystyki publicznej </w:t>
      </w:r>
      <w:r>
        <w:t>na poziomie gmin i powiatów trudniej</w:t>
      </w:r>
      <w:r w:rsidRPr="00ED4EDD">
        <w:t xml:space="preserve"> ocenić rozmiary ubóstwa dla </w:t>
      </w:r>
      <w:r>
        <w:t>omawianych miast i ich obszarów funkcjonalnych</w:t>
      </w:r>
      <w:r w:rsidRPr="00ED4EDD">
        <w:t xml:space="preserve">. </w:t>
      </w:r>
      <w:r w:rsidR="008A53FC">
        <w:t xml:space="preserve">Dane dla </w:t>
      </w:r>
      <w:r w:rsidRPr="00ED4EDD">
        <w:t>województw</w:t>
      </w:r>
      <w:r w:rsidR="008A53FC">
        <w:t>a</w:t>
      </w:r>
      <w:r w:rsidRPr="00ED4EDD">
        <w:t xml:space="preserve"> warmińsko-mazurskie</w:t>
      </w:r>
      <w:r w:rsidR="008A53FC">
        <w:t xml:space="preserve">go </w:t>
      </w:r>
      <w:r w:rsidR="00280692">
        <w:t xml:space="preserve">oraz lubelskiego </w:t>
      </w:r>
      <w:r w:rsidR="008A53FC">
        <w:t xml:space="preserve">wskazują, że </w:t>
      </w:r>
      <w:r w:rsidRPr="00ED4EDD">
        <w:t>to region</w:t>
      </w:r>
      <w:r w:rsidR="00280692">
        <w:t>y</w:t>
      </w:r>
      <w:r w:rsidRPr="00ED4EDD">
        <w:t xml:space="preserve"> w którym występuje największe w kraju zagrożenie ubóstwem. Odsetek osób w gospodarstwach domowych w </w:t>
      </w:r>
      <w:r w:rsidR="00B93F7B" w:rsidRPr="00280692">
        <w:rPr>
          <w:color w:val="000000" w:themeColor="text1"/>
        </w:rPr>
        <w:t>2019</w:t>
      </w:r>
      <w:r w:rsidRPr="00280692">
        <w:rPr>
          <w:color w:val="000000" w:themeColor="text1"/>
        </w:rPr>
        <w:t xml:space="preserve"> </w:t>
      </w:r>
      <w:r w:rsidRPr="00ED4EDD">
        <w:t>r. żyjących poniżej granicy ubóstwa skrajnego</w:t>
      </w:r>
      <w:r w:rsidR="00280692">
        <w:t>,</w:t>
      </w:r>
      <w:r w:rsidRPr="00ED4EDD">
        <w:t xml:space="preserve"> tzn. poniżej poziomu minimum egzystencjalnego</w:t>
      </w:r>
      <w:r w:rsidR="00280692">
        <w:t xml:space="preserve">, </w:t>
      </w:r>
      <w:r w:rsidRPr="00ED4EDD">
        <w:t xml:space="preserve">wynosił </w:t>
      </w:r>
      <w:r w:rsidR="00280692">
        <w:t>6,8</w:t>
      </w:r>
      <w:r w:rsidRPr="00ED4EDD">
        <w:t xml:space="preserve">% </w:t>
      </w:r>
      <w:r w:rsidR="00280692">
        <w:t xml:space="preserve">- </w:t>
      </w:r>
      <w:r w:rsidRPr="00ED4EDD">
        <w:t xml:space="preserve">w </w:t>
      </w:r>
      <w:r w:rsidR="00280692">
        <w:t xml:space="preserve">roku </w:t>
      </w:r>
      <w:r w:rsidRPr="00ED4EDD">
        <w:t>201</w:t>
      </w:r>
      <w:r w:rsidR="00280692">
        <w:t>8</w:t>
      </w:r>
      <w:r w:rsidRPr="00ED4EDD">
        <w:t xml:space="preserve"> </w:t>
      </w:r>
      <w:r w:rsidR="00280692">
        <w:br/>
        <w:t xml:space="preserve">w województwie warmińsko-mazurskim </w:t>
      </w:r>
      <w:r w:rsidRPr="00ED4EDD">
        <w:t>– 9,</w:t>
      </w:r>
      <w:r w:rsidR="00280692">
        <w:t>6</w:t>
      </w:r>
      <w:r w:rsidRPr="00ED4EDD">
        <w:t>%</w:t>
      </w:r>
      <w:r w:rsidR="00280692">
        <w:t xml:space="preserve">, zaś w lubelskim 7,6%. </w:t>
      </w:r>
      <w:r w:rsidRPr="00ED4EDD">
        <w:t xml:space="preserve">Trzeba przy tym zauważyć, że </w:t>
      </w:r>
      <w:r w:rsidR="001D4E29">
        <w:t xml:space="preserve">na terenie Warmii i Mazur udział osób żyjących poniżej granicy ubóstwa wyraźnie </w:t>
      </w:r>
      <w:r w:rsidRPr="00ED4EDD">
        <w:t>zmniejsz</w:t>
      </w:r>
      <w:r w:rsidR="001D4E29">
        <w:t>a</w:t>
      </w:r>
      <w:r w:rsidRPr="00ED4EDD">
        <w:t xml:space="preserve"> się</w:t>
      </w:r>
      <w:r w:rsidR="001D4E29">
        <w:t xml:space="preserve"> </w:t>
      </w:r>
      <w:r w:rsidR="001D4E29">
        <w:br/>
        <w:t xml:space="preserve">w badanym okresie – 13,2% w roku </w:t>
      </w:r>
      <w:r w:rsidR="00AE5242">
        <w:t xml:space="preserve">2013 </w:t>
      </w:r>
      <w:r w:rsidR="001D4E29">
        <w:t xml:space="preserve">oraz 6,8% w roku 2019. Liczba osób dotkniętych </w:t>
      </w:r>
      <w:r w:rsidRPr="00ED4EDD">
        <w:t>ubóstw</w:t>
      </w:r>
      <w:r w:rsidR="001D4E29">
        <w:t xml:space="preserve">em </w:t>
      </w:r>
      <w:r w:rsidRPr="00ED4EDD">
        <w:t xml:space="preserve"> zmniejsza się w cał</w:t>
      </w:r>
      <w:r w:rsidR="00721F70">
        <w:t>ej Polsce</w:t>
      </w:r>
      <w:r w:rsidR="00AE5242">
        <w:t xml:space="preserve">, jednak warmińsko-mazurskie </w:t>
      </w:r>
      <w:r w:rsidRPr="00ED4EDD">
        <w:t>nadal pozostaj</w:t>
      </w:r>
      <w:r w:rsidR="00AE5242">
        <w:t>e</w:t>
      </w:r>
      <w:r w:rsidRPr="00ED4EDD">
        <w:t xml:space="preserve"> regionem najbardziej nim dotkniętym.</w:t>
      </w:r>
    </w:p>
    <w:p w14:paraId="057C81EA" w14:textId="680E3CDE" w:rsidR="00A8358B" w:rsidRDefault="00953CD4" w:rsidP="002A3CCE">
      <w:pPr>
        <w:jc w:val="both"/>
      </w:pPr>
      <w:r w:rsidRPr="00ED4EDD">
        <w:t xml:space="preserve">Można też zaobserwować, że </w:t>
      </w:r>
      <w:r w:rsidR="00AE5242">
        <w:t xml:space="preserve">na terenie Warmii i Mazur </w:t>
      </w:r>
      <w:r w:rsidRPr="00ED4EDD">
        <w:t>udział osób korzystających ze świadczeń pomocy społecznej</w:t>
      </w:r>
      <w:r w:rsidR="00AE5242">
        <w:t xml:space="preserve"> jest coraz niższy</w:t>
      </w:r>
      <w:r w:rsidRPr="00ED4EDD">
        <w:t>, co świadczy o stopniowej poprawie sytuacji</w:t>
      </w:r>
      <w:r w:rsidR="00AE5242">
        <w:t xml:space="preserve"> materialnej jego mieszkańców</w:t>
      </w:r>
      <w:r w:rsidRPr="00ED4EDD">
        <w:t xml:space="preserve">. Porównanie jednak do innych regionów nadal wypada niekorzystnie. Nawet spośród województw Polski Wschodniej region Warmii i Mazur wyróżnia się wysokim poziomem tego wskaźnika, a </w:t>
      </w:r>
      <w:r>
        <w:t xml:space="preserve">w porównaniu z </w:t>
      </w:r>
      <w:r w:rsidRPr="00ED4EDD">
        <w:t>województw</w:t>
      </w:r>
      <w:r>
        <w:t xml:space="preserve">em mazowieckim jest </w:t>
      </w:r>
      <w:r w:rsidR="00597998">
        <w:t>blisko</w:t>
      </w:r>
      <w:r>
        <w:t xml:space="preserve"> dwukrotnie wyższy</w:t>
      </w:r>
      <w:r w:rsidRPr="00ED4EDD">
        <w:t>.</w:t>
      </w:r>
    </w:p>
    <w:p w14:paraId="57ADE03D" w14:textId="3D2DC6A9" w:rsidR="00A8358B" w:rsidRDefault="00A8358B" w:rsidP="00A8358B">
      <w:pPr>
        <w:pStyle w:val="Legenda"/>
        <w:rPr>
          <w:bCs/>
          <w:color w:val="000000" w:themeColor="text1"/>
          <w:sz w:val="22"/>
          <w:szCs w:val="22"/>
          <w:lang w:val="pl-PL"/>
        </w:rPr>
      </w:pPr>
      <w:bookmarkStart w:id="20" w:name="_Toc73516071"/>
      <w:r w:rsidRPr="002F2889">
        <w:rPr>
          <w:color w:val="000000" w:themeColor="text1"/>
          <w:sz w:val="22"/>
          <w:szCs w:val="22"/>
        </w:rPr>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9</w:t>
      </w:r>
      <w:r w:rsidRPr="002F2889">
        <w:rPr>
          <w:color w:val="000000" w:themeColor="text1"/>
          <w:sz w:val="22"/>
          <w:szCs w:val="22"/>
        </w:rPr>
        <w:fldChar w:fldCharType="end"/>
      </w:r>
      <w:r w:rsidRPr="002F2889">
        <w:rPr>
          <w:color w:val="000000" w:themeColor="text1"/>
          <w:sz w:val="22"/>
          <w:szCs w:val="22"/>
        </w:rPr>
        <w:t xml:space="preserve">. </w:t>
      </w:r>
      <w:r w:rsidRPr="002F2889">
        <w:rPr>
          <w:bCs/>
          <w:color w:val="000000" w:themeColor="text1"/>
          <w:sz w:val="22"/>
          <w:szCs w:val="22"/>
          <w:lang w:val="pl-PL"/>
        </w:rPr>
        <w:t>Liczba osób korzystających ze świadczeń pomocy społecznej na 10 tys. ludności w latach 2013-201</w:t>
      </w:r>
      <w:r w:rsidR="00150650">
        <w:rPr>
          <w:bCs/>
          <w:color w:val="000000" w:themeColor="text1"/>
          <w:sz w:val="22"/>
          <w:szCs w:val="22"/>
          <w:lang w:val="pl-PL"/>
        </w:rPr>
        <w:t>9</w:t>
      </w:r>
      <w:bookmarkEnd w:id="20"/>
    </w:p>
    <w:p w14:paraId="61758F69" w14:textId="6E5CFA3D" w:rsidR="00E7185C" w:rsidRPr="002F2889" w:rsidRDefault="00E7185C" w:rsidP="00A8358B">
      <w:pPr>
        <w:pStyle w:val="Legenda"/>
        <w:rPr>
          <w:color w:val="000000" w:themeColor="text1"/>
          <w:sz w:val="22"/>
          <w:szCs w:val="22"/>
          <w:lang w:val="pl-PL"/>
        </w:rPr>
      </w:pPr>
      <w:r>
        <w:rPr>
          <w:noProof/>
          <w:lang w:val="pl-PL" w:eastAsia="pl-PL"/>
        </w:rPr>
        <w:drawing>
          <wp:inline distT="0" distB="0" distL="0" distR="0" wp14:anchorId="7FF8DED5" wp14:editId="0DFC26D7">
            <wp:extent cx="5760720" cy="4242390"/>
            <wp:effectExtent l="0" t="0" r="11430" b="6350"/>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2C21458" w14:textId="77777777" w:rsidR="004E1A6D" w:rsidRDefault="004E1A6D" w:rsidP="00934138">
      <w:pPr>
        <w:spacing w:after="0"/>
        <w:jc w:val="center"/>
      </w:pPr>
      <w:r w:rsidRPr="0091031D">
        <w:rPr>
          <w:i/>
          <w:sz w:val="20"/>
          <w:szCs w:val="20"/>
        </w:rPr>
        <w:t>źródło: opracowanie własne na podstawie danych GUS</w:t>
      </w:r>
    </w:p>
    <w:p w14:paraId="0A932DAB" w14:textId="77777777" w:rsidR="00953CD4" w:rsidRPr="00ED4EDD" w:rsidRDefault="00953CD4" w:rsidP="00953CD4">
      <w:pPr>
        <w:spacing w:after="0"/>
        <w:jc w:val="both"/>
      </w:pPr>
    </w:p>
    <w:p w14:paraId="4B4BA75A" w14:textId="1A9EC368" w:rsidR="00953CD4" w:rsidRDefault="00CF0F46" w:rsidP="00953CD4">
      <w:pPr>
        <w:jc w:val="both"/>
        <w:rPr>
          <w:color w:val="000000" w:themeColor="text1"/>
        </w:rPr>
      </w:pPr>
      <w:r>
        <w:rPr>
          <w:color w:val="000000" w:themeColor="text1"/>
        </w:rPr>
        <w:lastRenderedPageBreak/>
        <w:t>Nieco</w:t>
      </w:r>
      <w:r w:rsidR="00953CD4" w:rsidRPr="00A37822">
        <w:rPr>
          <w:color w:val="000000" w:themeColor="text1"/>
        </w:rPr>
        <w:t xml:space="preserve"> dokładniejszy obraz sytuacji w </w:t>
      </w:r>
      <w:r w:rsidR="00443D08" w:rsidRPr="00A37822">
        <w:rPr>
          <w:color w:val="000000" w:themeColor="text1"/>
        </w:rPr>
        <w:t xml:space="preserve">ośrodkach wojewódzkich </w:t>
      </w:r>
      <w:r w:rsidR="00953CD4" w:rsidRPr="00A37822">
        <w:rPr>
          <w:color w:val="000000" w:themeColor="text1"/>
        </w:rPr>
        <w:t>przynosi przegląd wydatków na pomoc społeczną i pozostałe zadania w zakresie polityki społecznej w budżetach gmin. Zaobserwować można spadek ich udziału w ogólnej sumie wydatków gmin, co może świadczyć o zmniejszeni</w:t>
      </w:r>
      <w:r w:rsidR="00443D08" w:rsidRPr="00A37822">
        <w:rPr>
          <w:color w:val="000000" w:themeColor="text1"/>
        </w:rPr>
        <w:t>u</w:t>
      </w:r>
      <w:r w:rsidR="00953CD4" w:rsidRPr="00A37822">
        <w:rPr>
          <w:color w:val="000000" w:themeColor="text1"/>
        </w:rPr>
        <w:t xml:space="preserve"> zagrożenia ubóstwem </w:t>
      </w:r>
      <w:r w:rsidR="00443D08" w:rsidRPr="00A37822">
        <w:rPr>
          <w:color w:val="000000" w:themeColor="text1"/>
        </w:rPr>
        <w:t>na obszarach miast</w:t>
      </w:r>
      <w:r w:rsidR="00A37822" w:rsidRPr="00A37822">
        <w:rPr>
          <w:color w:val="000000" w:themeColor="text1"/>
        </w:rPr>
        <w:t xml:space="preserve"> poddanych analizie</w:t>
      </w:r>
      <w:r w:rsidR="008C69E1">
        <w:rPr>
          <w:color w:val="000000" w:themeColor="text1"/>
        </w:rPr>
        <w:t xml:space="preserve"> (wykres 10)</w:t>
      </w:r>
      <w:r w:rsidR="00953CD4" w:rsidRPr="00A37822">
        <w:rPr>
          <w:color w:val="000000" w:themeColor="text1"/>
        </w:rPr>
        <w:t xml:space="preserve">. </w:t>
      </w:r>
      <w:r w:rsidR="00DE4227" w:rsidRPr="00A37822">
        <w:rPr>
          <w:color w:val="000000" w:themeColor="text1"/>
        </w:rPr>
        <w:t>Potwierdzeniem tego może być także fakt stale zmniejszającej się liczby rodzin, którym na podstawie decyzji przyznano pomoc z powodu ubóstwa. W roku 201</w:t>
      </w:r>
      <w:r w:rsidR="00597998">
        <w:rPr>
          <w:color w:val="000000" w:themeColor="text1"/>
        </w:rPr>
        <w:t>9</w:t>
      </w:r>
      <w:r w:rsidR="00DE4227" w:rsidRPr="00A37822">
        <w:rPr>
          <w:color w:val="000000" w:themeColor="text1"/>
        </w:rPr>
        <w:t xml:space="preserve"> w Olsztynie liczba rodzin</w:t>
      </w:r>
      <w:r w:rsidR="00597998">
        <w:rPr>
          <w:color w:val="000000" w:themeColor="text1"/>
        </w:rPr>
        <w:t xml:space="preserve"> objętych pomocą z powodu ubóstwa wyni</w:t>
      </w:r>
      <w:r w:rsidR="00A37822" w:rsidRPr="00A37822">
        <w:rPr>
          <w:color w:val="000000" w:themeColor="text1"/>
        </w:rPr>
        <w:t xml:space="preserve">osła </w:t>
      </w:r>
      <w:r w:rsidR="00597998">
        <w:rPr>
          <w:color w:val="000000" w:themeColor="text1"/>
        </w:rPr>
        <w:t xml:space="preserve">1 861 </w:t>
      </w:r>
      <w:r w:rsidR="00770214">
        <w:rPr>
          <w:color w:val="000000" w:themeColor="text1"/>
        </w:rPr>
        <w:t>(mniej o 2</w:t>
      </w:r>
      <w:r>
        <w:rPr>
          <w:color w:val="000000" w:themeColor="text1"/>
        </w:rPr>
        <w:t>9,5</w:t>
      </w:r>
      <w:r w:rsidR="00770214">
        <w:rPr>
          <w:color w:val="000000" w:themeColor="text1"/>
        </w:rPr>
        <w:t>% w stosunku do poziomu odnotowanego w roku 201</w:t>
      </w:r>
      <w:r>
        <w:rPr>
          <w:color w:val="000000" w:themeColor="text1"/>
        </w:rPr>
        <w:t>4</w:t>
      </w:r>
      <w:r w:rsidR="00770214">
        <w:rPr>
          <w:color w:val="000000" w:themeColor="text1"/>
        </w:rPr>
        <w:t xml:space="preserve">). Jednocześnie </w:t>
      </w:r>
      <w:r>
        <w:rPr>
          <w:color w:val="000000" w:themeColor="text1"/>
        </w:rPr>
        <w:t xml:space="preserve">wskaźnik ten </w:t>
      </w:r>
      <w:r w:rsidR="00F35C36">
        <w:rPr>
          <w:color w:val="000000" w:themeColor="text1"/>
        </w:rPr>
        <w:br/>
      </w:r>
      <w:r>
        <w:rPr>
          <w:color w:val="000000" w:themeColor="text1"/>
        </w:rPr>
        <w:t xml:space="preserve">w roku 2019 był jednym z najniższych </w:t>
      </w:r>
      <w:r w:rsidR="00A37822" w:rsidRPr="00A37822">
        <w:rPr>
          <w:color w:val="000000" w:themeColor="text1"/>
        </w:rPr>
        <w:t>spośród omawianych miast Polski Wsc</w:t>
      </w:r>
      <w:r>
        <w:rPr>
          <w:color w:val="000000" w:themeColor="text1"/>
        </w:rPr>
        <w:t>hodniej (mniejszą liczbę odnotowano jedynie w Rzeszowie – 1 828 rodzin).</w:t>
      </w:r>
    </w:p>
    <w:p w14:paraId="65D2C4B6" w14:textId="1A68D195" w:rsidR="008C69E1" w:rsidRDefault="008C69E1" w:rsidP="008C69E1">
      <w:pPr>
        <w:pStyle w:val="Legenda"/>
        <w:rPr>
          <w:bCs/>
          <w:color w:val="000000" w:themeColor="text1"/>
          <w:sz w:val="22"/>
          <w:szCs w:val="22"/>
          <w:lang w:val="en-US"/>
        </w:rPr>
      </w:pPr>
      <w:bookmarkStart w:id="21" w:name="_Toc73516072"/>
      <w:r w:rsidRPr="00CF0F46">
        <w:rPr>
          <w:sz w:val="22"/>
          <w:szCs w:val="22"/>
        </w:rPr>
        <w:t xml:space="preserve">Wykres </w:t>
      </w:r>
      <w:r w:rsidRPr="00CF0F46">
        <w:rPr>
          <w:sz w:val="22"/>
          <w:szCs w:val="22"/>
        </w:rPr>
        <w:fldChar w:fldCharType="begin"/>
      </w:r>
      <w:r w:rsidRPr="00CF0F46">
        <w:rPr>
          <w:sz w:val="22"/>
          <w:szCs w:val="22"/>
        </w:rPr>
        <w:instrText xml:space="preserve"> SEQ Wykres \* ARABIC </w:instrText>
      </w:r>
      <w:r w:rsidRPr="00CF0F46">
        <w:rPr>
          <w:sz w:val="22"/>
          <w:szCs w:val="22"/>
        </w:rPr>
        <w:fldChar w:fldCharType="separate"/>
      </w:r>
      <w:r w:rsidR="00AD58C3">
        <w:rPr>
          <w:noProof/>
          <w:sz w:val="22"/>
          <w:szCs w:val="22"/>
        </w:rPr>
        <w:t>10</w:t>
      </w:r>
      <w:r w:rsidRPr="00CF0F46">
        <w:rPr>
          <w:sz w:val="22"/>
          <w:szCs w:val="22"/>
        </w:rPr>
        <w:fldChar w:fldCharType="end"/>
      </w:r>
      <w:r w:rsidRPr="00CF0F46">
        <w:rPr>
          <w:color w:val="000000" w:themeColor="text1"/>
          <w:sz w:val="22"/>
          <w:szCs w:val="22"/>
        </w:rPr>
        <w:t xml:space="preserve">. </w:t>
      </w:r>
      <w:r w:rsidRPr="00CF0F46">
        <w:rPr>
          <w:bCs/>
          <w:color w:val="000000" w:themeColor="text1"/>
          <w:sz w:val="22"/>
          <w:szCs w:val="22"/>
          <w:lang w:val="en-US"/>
        </w:rPr>
        <w:t>Zmiana udziału wydatków na pomoc społeczną i politykę społeczną w wydatkach ogółem (%) w latach 2013 i 2019</w:t>
      </w:r>
      <w:bookmarkEnd w:id="21"/>
    </w:p>
    <w:p w14:paraId="34F5E875" w14:textId="747D9634" w:rsidR="00F35C36" w:rsidRDefault="00F35C36" w:rsidP="00BE71B3">
      <w:pPr>
        <w:pStyle w:val="Legenda"/>
        <w:spacing w:before="0" w:after="0"/>
        <w:jc w:val="center"/>
        <w:rPr>
          <w:color w:val="000000" w:themeColor="text1"/>
          <w:sz w:val="22"/>
          <w:szCs w:val="22"/>
          <w:lang w:val="pl-PL"/>
        </w:rPr>
      </w:pPr>
      <w:r>
        <w:rPr>
          <w:noProof/>
          <w:lang w:val="pl-PL" w:eastAsia="pl-PL"/>
        </w:rPr>
        <w:drawing>
          <wp:inline distT="0" distB="0" distL="0" distR="0" wp14:anchorId="28749E50" wp14:editId="657FB5EA">
            <wp:extent cx="4901609" cy="2806995"/>
            <wp:effectExtent l="0" t="0" r="13335" b="12700"/>
            <wp:docPr id="17" name="Wykres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B2647BB" w14:textId="77777777" w:rsidR="00F35C36" w:rsidRDefault="00F35C36" w:rsidP="00BE71B3">
      <w:pPr>
        <w:spacing w:after="0"/>
        <w:jc w:val="center"/>
      </w:pPr>
      <w:r w:rsidRPr="0091031D">
        <w:rPr>
          <w:i/>
          <w:sz w:val="20"/>
          <w:szCs w:val="20"/>
        </w:rPr>
        <w:t>źródło: opracowanie własne na podstawie danych GUS</w:t>
      </w:r>
    </w:p>
    <w:p w14:paraId="31450F3E" w14:textId="77777777" w:rsidR="008C69E1" w:rsidRDefault="008C69E1" w:rsidP="00953CD4">
      <w:pPr>
        <w:jc w:val="both"/>
        <w:rPr>
          <w:color w:val="000000" w:themeColor="text1"/>
        </w:rPr>
      </w:pPr>
    </w:p>
    <w:p w14:paraId="4B571A55" w14:textId="3C5ECBF4" w:rsidR="00CF0F46" w:rsidRPr="00CF0F46" w:rsidRDefault="00CF0F46" w:rsidP="00CF0F46">
      <w:pPr>
        <w:pStyle w:val="Legenda"/>
        <w:rPr>
          <w:sz w:val="22"/>
          <w:szCs w:val="22"/>
        </w:rPr>
      </w:pPr>
      <w:bookmarkStart w:id="22" w:name="_Toc73516073"/>
      <w:r w:rsidRPr="00CF0F46">
        <w:rPr>
          <w:sz w:val="22"/>
          <w:szCs w:val="22"/>
        </w:rPr>
        <w:t xml:space="preserve">Wykres </w:t>
      </w:r>
      <w:r w:rsidRPr="00CF0F46">
        <w:rPr>
          <w:sz w:val="22"/>
          <w:szCs w:val="22"/>
        </w:rPr>
        <w:fldChar w:fldCharType="begin"/>
      </w:r>
      <w:r w:rsidRPr="00CF0F46">
        <w:rPr>
          <w:sz w:val="22"/>
          <w:szCs w:val="22"/>
        </w:rPr>
        <w:instrText xml:space="preserve"> SEQ Wykres \* ARABIC </w:instrText>
      </w:r>
      <w:r w:rsidRPr="00CF0F46">
        <w:rPr>
          <w:sz w:val="22"/>
          <w:szCs w:val="22"/>
        </w:rPr>
        <w:fldChar w:fldCharType="separate"/>
      </w:r>
      <w:r w:rsidR="00AD58C3">
        <w:rPr>
          <w:noProof/>
          <w:sz w:val="22"/>
          <w:szCs w:val="22"/>
        </w:rPr>
        <w:t>11</w:t>
      </w:r>
      <w:r w:rsidRPr="00CF0F46">
        <w:rPr>
          <w:sz w:val="22"/>
          <w:szCs w:val="22"/>
        </w:rPr>
        <w:fldChar w:fldCharType="end"/>
      </w:r>
      <w:r w:rsidRPr="00CF0F46">
        <w:rPr>
          <w:sz w:val="22"/>
          <w:szCs w:val="22"/>
        </w:rPr>
        <w:t xml:space="preserve">. </w:t>
      </w:r>
      <w:r w:rsidRPr="00CF0F46">
        <w:rPr>
          <w:sz w:val="22"/>
          <w:szCs w:val="22"/>
          <w:lang w:val="en-US"/>
        </w:rPr>
        <w:t>Liczba rodzin dotkniętych ubóstwem w latach 2014 i 2019</w:t>
      </w:r>
      <w:bookmarkEnd w:id="22"/>
    </w:p>
    <w:p w14:paraId="7DAC3057" w14:textId="707C1931" w:rsidR="00415391" w:rsidRDefault="00CF0F46" w:rsidP="00CF0F46">
      <w:pPr>
        <w:spacing w:after="0"/>
        <w:jc w:val="center"/>
        <w:rPr>
          <w:rFonts w:ascii="Calibri" w:eastAsia="Calibri" w:hAnsi="Calibri" w:cs="Mangal"/>
          <w:i/>
          <w:iCs/>
          <w:color w:val="00000A"/>
          <w:kern w:val="1"/>
          <w:lang w:val="en-GB"/>
        </w:rPr>
      </w:pPr>
      <w:r>
        <w:rPr>
          <w:noProof/>
          <w:lang w:eastAsia="pl-PL"/>
        </w:rPr>
        <w:drawing>
          <wp:inline distT="0" distB="0" distL="0" distR="0" wp14:anchorId="1615C22F" wp14:editId="34DFF801">
            <wp:extent cx="4859079" cy="2721934"/>
            <wp:effectExtent l="0" t="0" r="17780" b="2540"/>
            <wp:docPr id="1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164AB7B" w14:textId="77777777" w:rsidR="00CF0F46" w:rsidRDefault="00CF0F46" w:rsidP="00CF0F46">
      <w:pPr>
        <w:spacing w:after="0"/>
        <w:jc w:val="center"/>
      </w:pPr>
      <w:r w:rsidRPr="0091031D">
        <w:rPr>
          <w:i/>
          <w:sz w:val="20"/>
          <w:szCs w:val="20"/>
        </w:rPr>
        <w:t>źródło: opracowanie własne na podstawie danych GUS</w:t>
      </w:r>
    </w:p>
    <w:p w14:paraId="643475B2" w14:textId="71C87A46" w:rsidR="008E4EF6" w:rsidRPr="008E4EF6" w:rsidRDefault="008E4EF6" w:rsidP="004A54EF">
      <w:pPr>
        <w:jc w:val="both"/>
      </w:pPr>
      <w:r w:rsidRPr="008E4EF6">
        <w:lastRenderedPageBreak/>
        <w:t xml:space="preserve">W ramach Miejskiego Programu Rewitalizacji Olsztyna 2023 z 2015 r. zbadana została skala problemów społecznych na terenie miasta w podziale na osiedla. Użyto do tego danych z Urzędu Miasta i jednostek organizacyjnych. Między innymi wzięto pod uwagę występowanie zjawiska ubóstwa. Na podstawie danych z 2015 r. opracowano wskaźnik liczby mieszkańców korzystających z pomocy społecznej </w:t>
      </w:r>
      <w:r w:rsidR="003D369A">
        <w:br/>
      </w:r>
      <w:r w:rsidRPr="008E4EF6">
        <w:t xml:space="preserve">z powodu ubóstwa na 1 tys. mieszkańców. </w:t>
      </w:r>
    </w:p>
    <w:p w14:paraId="75830EDB" w14:textId="43AC3F0B" w:rsidR="002C5331" w:rsidRPr="00B9144A" w:rsidRDefault="002C5331" w:rsidP="002C5331">
      <w:pPr>
        <w:pStyle w:val="Legenda"/>
        <w:keepNext/>
        <w:rPr>
          <w:sz w:val="22"/>
          <w:szCs w:val="22"/>
        </w:rPr>
      </w:pPr>
      <w:bookmarkStart w:id="23" w:name="_Toc73534966"/>
      <w:r w:rsidRPr="00B9144A">
        <w:rPr>
          <w:sz w:val="22"/>
          <w:szCs w:val="22"/>
          <w:lang w:val="pl-PL"/>
        </w:rPr>
        <w:t xml:space="preserve">Tabela </w:t>
      </w:r>
      <w:r w:rsidRPr="00B9144A">
        <w:rPr>
          <w:sz w:val="22"/>
          <w:szCs w:val="22"/>
        </w:rPr>
        <w:fldChar w:fldCharType="begin"/>
      </w:r>
      <w:r w:rsidRPr="00B9144A">
        <w:rPr>
          <w:sz w:val="22"/>
          <w:szCs w:val="22"/>
          <w:lang w:val="pl-PL"/>
        </w:rPr>
        <w:instrText xml:space="preserve"> SEQ Tabela \* ARABIC </w:instrText>
      </w:r>
      <w:r w:rsidRPr="00B9144A">
        <w:rPr>
          <w:sz w:val="22"/>
          <w:szCs w:val="22"/>
        </w:rPr>
        <w:fldChar w:fldCharType="separate"/>
      </w:r>
      <w:r w:rsidR="00AD58C3">
        <w:rPr>
          <w:noProof/>
          <w:sz w:val="22"/>
          <w:szCs w:val="22"/>
          <w:lang w:val="pl-PL"/>
        </w:rPr>
        <w:t>3</w:t>
      </w:r>
      <w:r w:rsidRPr="00B9144A">
        <w:rPr>
          <w:sz w:val="22"/>
          <w:szCs w:val="22"/>
        </w:rPr>
        <w:fldChar w:fldCharType="end"/>
      </w:r>
      <w:r w:rsidRPr="00B9144A">
        <w:rPr>
          <w:sz w:val="22"/>
          <w:szCs w:val="22"/>
          <w:lang w:val="pl-PL"/>
        </w:rPr>
        <w:t xml:space="preserve">. Liczba </w:t>
      </w:r>
      <w:r w:rsidR="003951E0">
        <w:rPr>
          <w:sz w:val="22"/>
          <w:szCs w:val="22"/>
          <w:lang w:val="pl-PL"/>
        </w:rPr>
        <w:t>mieszkańców</w:t>
      </w:r>
      <w:r w:rsidRPr="00B9144A">
        <w:rPr>
          <w:sz w:val="22"/>
          <w:szCs w:val="22"/>
          <w:lang w:val="pl-PL"/>
        </w:rPr>
        <w:t xml:space="preserve"> korzystających z pomocy społecznej z powodu ubóstwa na 1 tys. mieszkańców</w:t>
      </w:r>
      <w:bookmarkEnd w:id="23"/>
      <w:r w:rsidRPr="00B9144A">
        <w:rPr>
          <w:sz w:val="22"/>
          <w:szCs w:val="22"/>
          <w:lang w:val="pl-PL"/>
        </w:rPr>
        <w:t xml:space="preserve"> </w:t>
      </w:r>
    </w:p>
    <w:tbl>
      <w:tblPr>
        <w:tblW w:w="8931" w:type="dxa"/>
        <w:jc w:val="center"/>
        <w:tblCellMar>
          <w:left w:w="70" w:type="dxa"/>
          <w:right w:w="70" w:type="dxa"/>
        </w:tblCellMar>
        <w:tblLook w:val="04A0" w:firstRow="1" w:lastRow="0" w:firstColumn="1" w:lastColumn="0" w:noHBand="0" w:noVBand="1"/>
      </w:tblPr>
      <w:tblGrid>
        <w:gridCol w:w="4259"/>
        <w:gridCol w:w="4672"/>
      </w:tblGrid>
      <w:tr w:rsidR="008E4EF6" w:rsidRPr="008E4EF6" w14:paraId="475C3F50" w14:textId="77777777" w:rsidTr="004A54EF">
        <w:trPr>
          <w:trHeight w:val="900"/>
          <w:jc w:val="center"/>
        </w:trPr>
        <w:tc>
          <w:tcPr>
            <w:tcW w:w="4259"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60D72140" w14:textId="77777777" w:rsidR="008E4EF6" w:rsidRPr="004A54EF" w:rsidRDefault="008E4EF6" w:rsidP="004A54EF">
            <w:pPr>
              <w:spacing w:after="0"/>
              <w:jc w:val="center"/>
              <w:rPr>
                <w:b/>
              </w:rPr>
            </w:pPr>
            <w:r w:rsidRPr="004A54EF">
              <w:rPr>
                <w:b/>
              </w:rPr>
              <w:t>Nazwa osiedla</w:t>
            </w:r>
          </w:p>
        </w:tc>
        <w:tc>
          <w:tcPr>
            <w:tcW w:w="4672" w:type="dxa"/>
            <w:tcBorders>
              <w:top w:val="single" w:sz="4" w:space="0" w:color="auto"/>
              <w:left w:val="nil"/>
              <w:bottom w:val="single" w:sz="4" w:space="0" w:color="auto"/>
              <w:right w:val="single" w:sz="4" w:space="0" w:color="auto"/>
            </w:tcBorders>
            <w:shd w:val="clear" w:color="auto" w:fill="92D050"/>
            <w:vAlign w:val="center"/>
            <w:hideMark/>
          </w:tcPr>
          <w:p w14:paraId="3823901B" w14:textId="77777777" w:rsidR="008E4EF6" w:rsidRPr="004A54EF" w:rsidRDefault="008E4EF6" w:rsidP="004A54EF">
            <w:pPr>
              <w:spacing w:after="0"/>
              <w:jc w:val="center"/>
              <w:rPr>
                <w:b/>
              </w:rPr>
            </w:pPr>
            <w:r w:rsidRPr="004A54EF">
              <w:rPr>
                <w:b/>
              </w:rPr>
              <w:t>Korzystający z pomocy społecznej z powodu ubóstwa na 1 tys. mieszkańców</w:t>
            </w:r>
          </w:p>
        </w:tc>
      </w:tr>
      <w:tr w:rsidR="008E4EF6" w:rsidRPr="008E4EF6" w14:paraId="6E2A61FF"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38F5C24B" w14:textId="77777777" w:rsidR="008E4EF6" w:rsidRPr="008E4EF6" w:rsidRDefault="008E4EF6" w:rsidP="004A54EF">
            <w:pPr>
              <w:spacing w:after="0"/>
              <w:jc w:val="center"/>
            </w:pPr>
            <w:r w:rsidRPr="008E4EF6">
              <w:t>Zielona Górka</w:t>
            </w:r>
          </w:p>
        </w:tc>
        <w:tc>
          <w:tcPr>
            <w:tcW w:w="4672" w:type="dxa"/>
            <w:tcBorders>
              <w:top w:val="nil"/>
              <w:left w:val="nil"/>
              <w:bottom w:val="single" w:sz="4" w:space="0" w:color="auto"/>
              <w:right w:val="single" w:sz="4" w:space="0" w:color="auto"/>
            </w:tcBorders>
            <w:shd w:val="clear" w:color="auto" w:fill="auto"/>
            <w:vAlign w:val="bottom"/>
            <w:hideMark/>
          </w:tcPr>
          <w:p w14:paraId="472B961B" w14:textId="77777777" w:rsidR="008E4EF6" w:rsidRPr="008E4EF6" w:rsidRDefault="008E4EF6" w:rsidP="004A54EF">
            <w:pPr>
              <w:spacing w:after="0"/>
              <w:jc w:val="center"/>
            </w:pPr>
            <w:r w:rsidRPr="008E4EF6">
              <w:t>71,3</w:t>
            </w:r>
          </w:p>
        </w:tc>
      </w:tr>
      <w:tr w:rsidR="008E4EF6" w:rsidRPr="008E4EF6" w14:paraId="3C1DF975"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6AFE6BD2" w14:textId="77777777" w:rsidR="008E4EF6" w:rsidRPr="008E4EF6" w:rsidRDefault="008E4EF6" w:rsidP="004A54EF">
            <w:pPr>
              <w:spacing w:after="0"/>
              <w:jc w:val="center"/>
            </w:pPr>
            <w:r w:rsidRPr="008E4EF6">
              <w:t>Redykajny</w:t>
            </w:r>
          </w:p>
        </w:tc>
        <w:tc>
          <w:tcPr>
            <w:tcW w:w="4672" w:type="dxa"/>
            <w:tcBorders>
              <w:top w:val="nil"/>
              <w:left w:val="nil"/>
              <w:bottom w:val="single" w:sz="4" w:space="0" w:color="auto"/>
              <w:right w:val="single" w:sz="4" w:space="0" w:color="auto"/>
            </w:tcBorders>
            <w:shd w:val="clear" w:color="auto" w:fill="auto"/>
            <w:vAlign w:val="bottom"/>
            <w:hideMark/>
          </w:tcPr>
          <w:p w14:paraId="3D7B3E9E" w14:textId="77777777" w:rsidR="008E4EF6" w:rsidRPr="008E4EF6" w:rsidRDefault="008E4EF6" w:rsidP="004A54EF">
            <w:pPr>
              <w:spacing w:after="0"/>
              <w:jc w:val="center"/>
            </w:pPr>
            <w:r w:rsidRPr="008E4EF6">
              <w:t>59,1</w:t>
            </w:r>
          </w:p>
        </w:tc>
      </w:tr>
      <w:tr w:rsidR="008E4EF6" w:rsidRPr="008E4EF6" w14:paraId="5BAF7043"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64F7D0F9" w14:textId="77777777" w:rsidR="008E4EF6" w:rsidRPr="008E4EF6" w:rsidRDefault="008E4EF6" w:rsidP="004A54EF">
            <w:pPr>
              <w:spacing w:after="0"/>
              <w:jc w:val="center"/>
            </w:pPr>
            <w:r w:rsidRPr="008E4EF6">
              <w:t>Likusy</w:t>
            </w:r>
          </w:p>
        </w:tc>
        <w:tc>
          <w:tcPr>
            <w:tcW w:w="4672" w:type="dxa"/>
            <w:tcBorders>
              <w:top w:val="nil"/>
              <w:left w:val="nil"/>
              <w:bottom w:val="single" w:sz="4" w:space="0" w:color="auto"/>
              <w:right w:val="single" w:sz="4" w:space="0" w:color="auto"/>
            </w:tcBorders>
            <w:shd w:val="clear" w:color="auto" w:fill="auto"/>
            <w:vAlign w:val="bottom"/>
            <w:hideMark/>
          </w:tcPr>
          <w:p w14:paraId="1218C7A3" w14:textId="77777777" w:rsidR="008E4EF6" w:rsidRPr="008E4EF6" w:rsidRDefault="008E4EF6" w:rsidP="004A54EF">
            <w:pPr>
              <w:spacing w:after="0"/>
              <w:jc w:val="center"/>
            </w:pPr>
            <w:r w:rsidRPr="008E4EF6">
              <w:t>51,1</w:t>
            </w:r>
          </w:p>
        </w:tc>
      </w:tr>
      <w:tr w:rsidR="008E4EF6" w:rsidRPr="008E4EF6" w14:paraId="04CEBA94"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74728F15" w14:textId="77777777" w:rsidR="008E4EF6" w:rsidRPr="008E4EF6" w:rsidRDefault="008E4EF6" w:rsidP="004A54EF">
            <w:pPr>
              <w:spacing w:after="0"/>
              <w:jc w:val="center"/>
            </w:pPr>
            <w:r w:rsidRPr="008E4EF6">
              <w:t>Śródmieście</w:t>
            </w:r>
          </w:p>
        </w:tc>
        <w:tc>
          <w:tcPr>
            <w:tcW w:w="4672" w:type="dxa"/>
            <w:tcBorders>
              <w:top w:val="nil"/>
              <w:left w:val="nil"/>
              <w:bottom w:val="single" w:sz="4" w:space="0" w:color="auto"/>
              <w:right w:val="single" w:sz="4" w:space="0" w:color="auto"/>
            </w:tcBorders>
            <w:shd w:val="clear" w:color="auto" w:fill="auto"/>
            <w:vAlign w:val="bottom"/>
            <w:hideMark/>
          </w:tcPr>
          <w:p w14:paraId="69E8032D" w14:textId="77777777" w:rsidR="008E4EF6" w:rsidRPr="008E4EF6" w:rsidRDefault="008E4EF6" w:rsidP="004A54EF">
            <w:pPr>
              <w:spacing w:after="0"/>
              <w:jc w:val="center"/>
            </w:pPr>
            <w:r w:rsidRPr="008E4EF6">
              <w:t>48,1</w:t>
            </w:r>
          </w:p>
        </w:tc>
      </w:tr>
      <w:tr w:rsidR="008E4EF6" w:rsidRPr="008E4EF6" w14:paraId="00F3C65D"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09D88275" w14:textId="77777777" w:rsidR="008E4EF6" w:rsidRPr="008E4EF6" w:rsidRDefault="008E4EF6" w:rsidP="004A54EF">
            <w:pPr>
              <w:spacing w:after="0"/>
              <w:jc w:val="center"/>
            </w:pPr>
            <w:r w:rsidRPr="008E4EF6">
              <w:t>Gutkowo</w:t>
            </w:r>
          </w:p>
        </w:tc>
        <w:tc>
          <w:tcPr>
            <w:tcW w:w="4672" w:type="dxa"/>
            <w:tcBorders>
              <w:top w:val="nil"/>
              <w:left w:val="nil"/>
              <w:bottom w:val="single" w:sz="4" w:space="0" w:color="auto"/>
              <w:right w:val="single" w:sz="4" w:space="0" w:color="auto"/>
            </w:tcBorders>
            <w:shd w:val="clear" w:color="auto" w:fill="auto"/>
            <w:vAlign w:val="bottom"/>
            <w:hideMark/>
          </w:tcPr>
          <w:p w14:paraId="521168F1" w14:textId="77777777" w:rsidR="008E4EF6" w:rsidRPr="008E4EF6" w:rsidRDefault="008E4EF6" w:rsidP="004A54EF">
            <w:pPr>
              <w:spacing w:after="0"/>
              <w:jc w:val="center"/>
            </w:pPr>
            <w:r w:rsidRPr="008E4EF6">
              <w:t>39,1</w:t>
            </w:r>
          </w:p>
        </w:tc>
      </w:tr>
      <w:tr w:rsidR="008E4EF6" w:rsidRPr="008E4EF6" w14:paraId="6A9B46E9"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230D84FA" w14:textId="77777777" w:rsidR="008E4EF6" w:rsidRPr="008E4EF6" w:rsidRDefault="008E4EF6" w:rsidP="004A54EF">
            <w:pPr>
              <w:spacing w:after="0"/>
              <w:jc w:val="center"/>
            </w:pPr>
            <w:r w:rsidRPr="008E4EF6">
              <w:t>Nad Jeziorem Długim</w:t>
            </w:r>
          </w:p>
        </w:tc>
        <w:tc>
          <w:tcPr>
            <w:tcW w:w="4672" w:type="dxa"/>
            <w:tcBorders>
              <w:top w:val="nil"/>
              <w:left w:val="nil"/>
              <w:bottom w:val="single" w:sz="4" w:space="0" w:color="auto"/>
              <w:right w:val="single" w:sz="4" w:space="0" w:color="auto"/>
            </w:tcBorders>
            <w:shd w:val="clear" w:color="auto" w:fill="auto"/>
            <w:vAlign w:val="bottom"/>
            <w:hideMark/>
          </w:tcPr>
          <w:p w14:paraId="58B31E39" w14:textId="77777777" w:rsidR="008E4EF6" w:rsidRPr="008E4EF6" w:rsidRDefault="008E4EF6" w:rsidP="004A54EF">
            <w:pPr>
              <w:spacing w:after="0"/>
              <w:jc w:val="center"/>
            </w:pPr>
            <w:r w:rsidRPr="008E4EF6">
              <w:t>35,4</w:t>
            </w:r>
          </w:p>
        </w:tc>
      </w:tr>
      <w:tr w:rsidR="008E4EF6" w:rsidRPr="008E4EF6" w14:paraId="16051373"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61FC44D7" w14:textId="77777777" w:rsidR="008E4EF6" w:rsidRPr="008E4EF6" w:rsidRDefault="008E4EF6" w:rsidP="004A54EF">
            <w:pPr>
              <w:spacing w:after="0"/>
              <w:jc w:val="center"/>
            </w:pPr>
            <w:r w:rsidRPr="008E4EF6">
              <w:t>Kortowo</w:t>
            </w:r>
          </w:p>
        </w:tc>
        <w:tc>
          <w:tcPr>
            <w:tcW w:w="4672" w:type="dxa"/>
            <w:tcBorders>
              <w:top w:val="nil"/>
              <w:left w:val="nil"/>
              <w:bottom w:val="single" w:sz="4" w:space="0" w:color="auto"/>
              <w:right w:val="single" w:sz="4" w:space="0" w:color="auto"/>
            </w:tcBorders>
            <w:shd w:val="clear" w:color="auto" w:fill="auto"/>
            <w:vAlign w:val="bottom"/>
            <w:hideMark/>
          </w:tcPr>
          <w:p w14:paraId="25E9D109" w14:textId="77777777" w:rsidR="008E4EF6" w:rsidRPr="008E4EF6" w:rsidRDefault="008E4EF6" w:rsidP="004A54EF">
            <w:pPr>
              <w:spacing w:after="0"/>
              <w:jc w:val="center"/>
            </w:pPr>
            <w:r w:rsidRPr="008E4EF6">
              <w:t>33,1</w:t>
            </w:r>
          </w:p>
        </w:tc>
      </w:tr>
      <w:tr w:rsidR="008E4EF6" w:rsidRPr="008E4EF6" w14:paraId="5F0FC9E1"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5BC7D9B3" w14:textId="77777777" w:rsidR="008E4EF6" w:rsidRPr="008E4EF6" w:rsidRDefault="008E4EF6" w:rsidP="004A54EF">
            <w:pPr>
              <w:spacing w:after="0"/>
              <w:jc w:val="center"/>
            </w:pPr>
            <w:r w:rsidRPr="008E4EF6">
              <w:t>Dajtki</w:t>
            </w:r>
          </w:p>
        </w:tc>
        <w:tc>
          <w:tcPr>
            <w:tcW w:w="4672" w:type="dxa"/>
            <w:tcBorders>
              <w:top w:val="nil"/>
              <w:left w:val="nil"/>
              <w:bottom w:val="single" w:sz="4" w:space="0" w:color="auto"/>
              <w:right w:val="single" w:sz="4" w:space="0" w:color="auto"/>
            </w:tcBorders>
            <w:shd w:val="clear" w:color="auto" w:fill="auto"/>
            <w:vAlign w:val="bottom"/>
            <w:hideMark/>
          </w:tcPr>
          <w:p w14:paraId="1CF78757" w14:textId="77777777" w:rsidR="008E4EF6" w:rsidRPr="008E4EF6" w:rsidRDefault="008E4EF6" w:rsidP="004A54EF">
            <w:pPr>
              <w:spacing w:after="0"/>
              <w:jc w:val="center"/>
            </w:pPr>
            <w:r w:rsidRPr="008E4EF6">
              <w:t>32,0</w:t>
            </w:r>
          </w:p>
        </w:tc>
      </w:tr>
      <w:tr w:rsidR="008E4EF6" w:rsidRPr="008E4EF6" w14:paraId="3A4310F4"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7BC09C32" w14:textId="77777777" w:rsidR="008E4EF6" w:rsidRPr="008E4EF6" w:rsidRDefault="008E4EF6" w:rsidP="004A54EF">
            <w:pPr>
              <w:spacing w:after="0"/>
              <w:jc w:val="center"/>
            </w:pPr>
            <w:r w:rsidRPr="008E4EF6">
              <w:t>Kętrzyńskiego</w:t>
            </w:r>
          </w:p>
        </w:tc>
        <w:tc>
          <w:tcPr>
            <w:tcW w:w="4672" w:type="dxa"/>
            <w:tcBorders>
              <w:top w:val="nil"/>
              <w:left w:val="nil"/>
              <w:bottom w:val="single" w:sz="4" w:space="0" w:color="auto"/>
              <w:right w:val="single" w:sz="4" w:space="0" w:color="auto"/>
            </w:tcBorders>
            <w:shd w:val="clear" w:color="auto" w:fill="auto"/>
            <w:vAlign w:val="bottom"/>
            <w:hideMark/>
          </w:tcPr>
          <w:p w14:paraId="273513BD" w14:textId="77777777" w:rsidR="008E4EF6" w:rsidRPr="008E4EF6" w:rsidRDefault="008E4EF6" w:rsidP="004A54EF">
            <w:pPr>
              <w:spacing w:after="0"/>
              <w:jc w:val="center"/>
            </w:pPr>
            <w:r w:rsidRPr="008E4EF6">
              <w:t>29,7</w:t>
            </w:r>
          </w:p>
        </w:tc>
      </w:tr>
      <w:tr w:rsidR="008E4EF6" w:rsidRPr="008E4EF6" w14:paraId="0315F636"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39EE2B92" w14:textId="77777777" w:rsidR="008E4EF6" w:rsidRPr="008E4EF6" w:rsidRDefault="008E4EF6" w:rsidP="004A54EF">
            <w:pPr>
              <w:spacing w:after="0"/>
              <w:jc w:val="center"/>
            </w:pPr>
            <w:r w:rsidRPr="008E4EF6">
              <w:t>Mazurskie</w:t>
            </w:r>
          </w:p>
        </w:tc>
        <w:tc>
          <w:tcPr>
            <w:tcW w:w="4672" w:type="dxa"/>
            <w:tcBorders>
              <w:top w:val="nil"/>
              <w:left w:val="nil"/>
              <w:bottom w:val="single" w:sz="4" w:space="0" w:color="auto"/>
              <w:right w:val="single" w:sz="4" w:space="0" w:color="auto"/>
            </w:tcBorders>
            <w:shd w:val="clear" w:color="auto" w:fill="auto"/>
            <w:vAlign w:val="bottom"/>
            <w:hideMark/>
          </w:tcPr>
          <w:p w14:paraId="010A4C18" w14:textId="77777777" w:rsidR="008E4EF6" w:rsidRPr="008E4EF6" w:rsidRDefault="008E4EF6" w:rsidP="004A54EF">
            <w:pPr>
              <w:spacing w:after="0"/>
              <w:jc w:val="center"/>
            </w:pPr>
            <w:r w:rsidRPr="008E4EF6">
              <w:t>28,5</w:t>
            </w:r>
          </w:p>
        </w:tc>
      </w:tr>
      <w:tr w:rsidR="008E4EF6" w:rsidRPr="008E4EF6" w14:paraId="26AF8FC1"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7C931FA6" w14:textId="77777777" w:rsidR="008E4EF6" w:rsidRPr="008E4EF6" w:rsidRDefault="008E4EF6" w:rsidP="004A54EF">
            <w:pPr>
              <w:spacing w:after="0"/>
              <w:jc w:val="center"/>
            </w:pPr>
            <w:r w:rsidRPr="008E4EF6">
              <w:t>Zatorze</w:t>
            </w:r>
          </w:p>
        </w:tc>
        <w:tc>
          <w:tcPr>
            <w:tcW w:w="4672" w:type="dxa"/>
            <w:tcBorders>
              <w:top w:val="nil"/>
              <w:left w:val="nil"/>
              <w:bottom w:val="single" w:sz="4" w:space="0" w:color="auto"/>
              <w:right w:val="single" w:sz="4" w:space="0" w:color="auto"/>
            </w:tcBorders>
            <w:shd w:val="clear" w:color="auto" w:fill="auto"/>
            <w:vAlign w:val="bottom"/>
            <w:hideMark/>
          </w:tcPr>
          <w:p w14:paraId="33322B30" w14:textId="77777777" w:rsidR="008E4EF6" w:rsidRPr="008E4EF6" w:rsidRDefault="008E4EF6" w:rsidP="004A54EF">
            <w:pPr>
              <w:spacing w:after="0"/>
              <w:jc w:val="center"/>
            </w:pPr>
            <w:r w:rsidRPr="008E4EF6">
              <w:t>20,3</w:t>
            </w:r>
          </w:p>
        </w:tc>
      </w:tr>
      <w:tr w:rsidR="008E4EF6" w:rsidRPr="008E4EF6" w14:paraId="71A11F34"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382AA53F" w14:textId="77777777" w:rsidR="008E4EF6" w:rsidRPr="008E4EF6" w:rsidRDefault="008E4EF6" w:rsidP="004A54EF">
            <w:pPr>
              <w:spacing w:after="0"/>
              <w:jc w:val="center"/>
            </w:pPr>
            <w:r w:rsidRPr="008E4EF6">
              <w:t>Podleśna</w:t>
            </w:r>
          </w:p>
        </w:tc>
        <w:tc>
          <w:tcPr>
            <w:tcW w:w="4672" w:type="dxa"/>
            <w:tcBorders>
              <w:top w:val="nil"/>
              <w:left w:val="nil"/>
              <w:bottom w:val="single" w:sz="4" w:space="0" w:color="auto"/>
              <w:right w:val="single" w:sz="4" w:space="0" w:color="auto"/>
            </w:tcBorders>
            <w:shd w:val="clear" w:color="auto" w:fill="auto"/>
            <w:vAlign w:val="bottom"/>
            <w:hideMark/>
          </w:tcPr>
          <w:p w14:paraId="57123C53" w14:textId="77777777" w:rsidR="008E4EF6" w:rsidRPr="008E4EF6" w:rsidRDefault="008E4EF6" w:rsidP="004A54EF">
            <w:pPr>
              <w:spacing w:after="0"/>
              <w:jc w:val="center"/>
            </w:pPr>
            <w:r w:rsidRPr="008E4EF6">
              <w:t>16,7</w:t>
            </w:r>
          </w:p>
        </w:tc>
      </w:tr>
      <w:tr w:rsidR="008E4EF6" w:rsidRPr="008E4EF6" w14:paraId="05888260"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4D37130A" w14:textId="77777777" w:rsidR="008E4EF6" w:rsidRPr="008E4EF6" w:rsidRDefault="008E4EF6" w:rsidP="004A54EF">
            <w:pPr>
              <w:spacing w:after="0"/>
              <w:jc w:val="center"/>
            </w:pPr>
            <w:r w:rsidRPr="008E4EF6">
              <w:t>Brzeziny</w:t>
            </w:r>
          </w:p>
        </w:tc>
        <w:tc>
          <w:tcPr>
            <w:tcW w:w="4672" w:type="dxa"/>
            <w:tcBorders>
              <w:top w:val="nil"/>
              <w:left w:val="nil"/>
              <w:bottom w:val="single" w:sz="4" w:space="0" w:color="auto"/>
              <w:right w:val="single" w:sz="4" w:space="0" w:color="auto"/>
            </w:tcBorders>
            <w:shd w:val="clear" w:color="auto" w:fill="auto"/>
            <w:vAlign w:val="bottom"/>
            <w:hideMark/>
          </w:tcPr>
          <w:p w14:paraId="54E237EE" w14:textId="77777777" w:rsidR="008E4EF6" w:rsidRPr="008E4EF6" w:rsidRDefault="008E4EF6" w:rsidP="004A54EF">
            <w:pPr>
              <w:spacing w:after="0"/>
              <w:jc w:val="center"/>
            </w:pPr>
            <w:r w:rsidRPr="008E4EF6">
              <w:t>11,5</w:t>
            </w:r>
          </w:p>
        </w:tc>
      </w:tr>
      <w:tr w:rsidR="008E4EF6" w:rsidRPr="008E4EF6" w14:paraId="24FBB86B"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60FE5957" w14:textId="77777777" w:rsidR="008E4EF6" w:rsidRPr="008E4EF6" w:rsidRDefault="008E4EF6" w:rsidP="004A54EF">
            <w:pPr>
              <w:spacing w:after="0"/>
              <w:jc w:val="center"/>
            </w:pPr>
            <w:r w:rsidRPr="008E4EF6">
              <w:t>Podgrodzie</w:t>
            </w:r>
          </w:p>
        </w:tc>
        <w:tc>
          <w:tcPr>
            <w:tcW w:w="4672" w:type="dxa"/>
            <w:tcBorders>
              <w:top w:val="nil"/>
              <w:left w:val="nil"/>
              <w:bottom w:val="single" w:sz="4" w:space="0" w:color="auto"/>
              <w:right w:val="single" w:sz="4" w:space="0" w:color="auto"/>
            </w:tcBorders>
            <w:shd w:val="clear" w:color="auto" w:fill="auto"/>
            <w:vAlign w:val="bottom"/>
            <w:hideMark/>
          </w:tcPr>
          <w:p w14:paraId="18B64EDA" w14:textId="77777777" w:rsidR="008E4EF6" w:rsidRPr="008E4EF6" w:rsidRDefault="008E4EF6" w:rsidP="004A54EF">
            <w:pPr>
              <w:spacing w:after="0"/>
              <w:jc w:val="center"/>
            </w:pPr>
            <w:r w:rsidRPr="008E4EF6">
              <w:t>11,4</w:t>
            </w:r>
          </w:p>
        </w:tc>
      </w:tr>
      <w:tr w:rsidR="008E4EF6" w:rsidRPr="008E4EF6" w14:paraId="52E9CD19"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67DEB5B0" w14:textId="77777777" w:rsidR="008E4EF6" w:rsidRPr="008E4EF6" w:rsidRDefault="008E4EF6" w:rsidP="004A54EF">
            <w:pPr>
              <w:spacing w:after="0"/>
              <w:jc w:val="center"/>
            </w:pPr>
            <w:r w:rsidRPr="008E4EF6">
              <w:t>Pojezierze</w:t>
            </w:r>
          </w:p>
        </w:tc>
        <w:tc>
          <w:tcPr>
            <w:tcW w:w="4672" w:type="dxa"/>
            <w:tcBorders>
              <w:top w:val="nil"/>
              <w:left w:val="nil"/>
              <w:bottom w:val="single" w:sz="4" w:space="0" w:color="auto"/>
              <w:right w:val="single" w:sz="4" w:space="0" w:color="auto"/>
            </w:tcBorders>
            <w:shd w:val="clear" w:color="auto" w:fill="auto"/>
            <w:vAlign w:val="bottom"/>
            <w:hideMark/>
          </w:tcPr>
          <w:p w14:paraId="65ED1274" w14:textId="77777777" w:rsidR="008E4EF6" w:rsidRPr="008E4EF6" w:rsidRDefault="008E4EF6" w:rsidP="004A54EF">
            <w:pPr>
              <w:spacing w:after="0"/>
              <w:jc w:val="center"/>
            </w:pPr>
            <w:r w:rsidRPr="008E4EF6">
              <w:t>10,5</w:t>
            </w:r>
          </w:p>
        </w:tc>
      </w:tr>
      <w:tr w:rsidR="008E4EF6" w:rsidRPr="008E4EF6" w14:paraId="429CF4C4"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6E6E1391" w14:textId="77777777" w:rsidR="008E4EF6" w:rsidRPr="008E4EF6" w:rsidRDefault="008E4EF6" w:rsidP="004A54EF">
            <w:pPr>
              <w:spacing w:after="0"/>
              <w:jc w:val="center"/>
            </w:pPr>
            <w:r w:rsidRPr="008E4EF6">
              <w:t>Grunwaldzkie</w:t>
            </w:r>
          </w:p>
        </w:tc>
        <w:tc>
          <w:tcPr>
            <w:tcW w:w="4672" w:type="dxa"/>
            <w:tcBorders>
              <w:top w:val="nil"/>
              <w:left w:val="nil"/>
              <w:bottom w:val="single" w:sz="4" w:space="0" w:color="auto"/>
              <w:right w:val="single" w:sz="4" w:space="0" w:color="auto"/>
            </w:tcBorders>
            <w:shd w:val="clear" w:color="auto" w:fill="auto"/>
            <w:vAlign w:val="bottom"/>
            <w:hideMark/>
          </w:tcPr>
          <w:p w14:paraId="0FF19990" w14:textId="77777777" w:rsidR="008E4EF6" w:rsidRPr="008E4EF6" w:rsidRDefault="008E4EF6" w:rsidP="004A54EF">
            <w:pPr>
              <w:spacing w:after="0"/>
              <w:jc w:val="center"/>
            </w:pPr>
            <w:r w:rsidRPr="008E4EF6">
              <w:t>6,9</w:t>
            </w:r>
          </w:p>
        </w:tc>
      </w:tr>
      <w:tr w:rsidR="008E4EF6" w:rsidRPr="008E4EF6" w14:paraId="419D9C6E"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1A66D9AC" w14:textId="77777777" w:rsidR="008E4EF6" w:rsidRPr="008E4EF6" w:rsidRDefault="008E4EF6" w:rsidP="004A54EF">
            <w:pPr>
              <w:spacing w:after="0"/>
              <w:jc w:val="center"/>
            </w:pPr>
            <w:r w:rsidRPr="008E4EF6">
              <w:t>Wojska Polskiego</w:t>
            </w:r>
          </w:p>
        </w:tc>
        <w:tc>
          <w:tcPr>
            <w:tcW w:w="4672" w:type="dxa"/>
            <w:tcBorders>
              <w:top w:val="nil"/>
              <w:left w:val="nil"/>
              <w:bottom w:val="single" w:sz="4" w:space="0" w:color="auto"/>
              <w:right w:val="single" w:sz="4" w:space="0" w:color="auto"/>
            </w:tcBorders>
            <w:shd w:val="clear" w:color="auto" w:fill="auto"/>
            <w:vAlign w:val="bottom"/>
            <w:hideMark/>
          </w:tcPr>
          <w:p w14:paraId="76B9667C" w14:textId="77777777" w:rsidR="008E4EF6" w:rsidRPr="008E4EF6" w:rsidRDefault="008E4EF6" w:rsidP="004A54EF">
            <w:pPr>
              <w:spacing w:after="0"/>
              <w:jc w:val="center"/>
            </w:pPr>
            <w:r w:rsidRPr="008E4EF6">
              <w:t>3,5</w:t>
            </w:r>
          </w:p>
        </w:tc>
      </w:tr>
      <w:tr w:rsidR="008E4EF6" w:rsidRPr="008E4EF6" w14:paraId="276AE966"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56870BB0" w14:textId="77777777" w:rsidR="008E4EF6" w:rsidRPr="008E4EF6" w:rsidRDefault="008E4EF6" w:rsidP="004A54EF">
            <w:pPr>
              <w:spacing w:after="0"/>
              <w:jc w:val="center"/>
            </w:pPr>
            <w:r w:rsidRPr="008E4EF6">
              <w:t>Kościuszki</w:t>
            </w:r>
          </w:p>
        </w:tc>
        <w:tc>
          <w:tcPr>
            <w:tcW w:w="4672" w:type="dxa"/>
            <w:tcBorders>
              <w:top w:val="nil"/>
              <w:left w:val="nil"/>
              <w:bottom w:val="single" w:sz="4" w:space="0" w:color="auto"/>
              <w:right w:val="single" w:sz="4" w:space="0" w:color="auto"/>
            </w:tcBorders>
            <w:shd w:val="clear" w:color="auto" w:fill="auto"/>
            <w:vAlign w:val="bottom"/>
            <w:hideMark/>
          </w:tcPr>
          <w:p w14:paraId="15D85614" w14:textId="77777777" w:rsidR="008E4EF6" w:rsidRPr="008E4EF6" w:rsidRDefault="008E4EF6" w:rsidP="004A54EF">
            <w:pPr>
              <w:spacing w:after="0"/>
              <w:jc w:val="center"/>
            </w:pPr>
            <w:r w:rsidRPr="008E4EF6">
              <w:t>2,4</w:t>
            </w:r>
          </w:p>
        </w:tc>
      </w:tr>
      <w:tr w:rsidR="008E4EF6" w:rsidRPr="008E4EF6" w14:paraId="38BBAB71"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4B88C75E" w14:textId="3D9D4D71" w:rsidR="008E4EF6" w:rsidRPr="008E4EF6" w:rsidRDefault="008E4EF6" w:rsidP="004A54EF">
            <w:pPr>
              <w:spacing w:after="0"/>
              <w:jc w:val="center"/>
            </w:pPr>
            <w:r w:rsidRPr="008E4EF6">
              <w:t>Ko</w:t>
            </w:r>
            <w:r w:rsidR="001451ED">
              <w:t>r</w:t>
            </w:r>
            <w:r w:rsidRPr="008E4EF6">
              <w:t>moran</w:t>
            </w:r>
          </w:p>
        </w:tc>
        <w:tc>
          <w:tcPr>
            <w:tcW w:w="4672" w:type="dxa"/>
            <w:tcBorders>
              <w:top w:val="nil"/>
              <w:left w:val="nil"/>
              <w:bottom w:val="single" w:sz="4" w:space="0" w:color="auto"/>
              <w:right w:val="single" w:sz="4" w:space="0" w:color="auto"/>
            </w:tcBorders>
            <w:shd w:val="clear" w:color="auto" w:fill="auto"/>
            <w:vAlign w:val="bottom"/>
            <w:hideMark/>
          </w:tcPr>
          <w:p w14:paraId="59554EC4" w14:textId="77777777" w:rsidR="008E4EF6" w:rsidRPr="008E4EF6" w:rsidRDefault="008E4EF6" w:rsidP="004A54EF">
            <w:pPr>
              <w:spacing w:after="0"/>
              <w:jc w:val="center"/>
            </w:pPr>
            <w:r w:rsidRPr="008E4EF6">
              <w:t>1,9</w:t>
            </w:r>
          </w:p>
        </w:tc>
      </w:tr>
      <w:tr w:rsidR="008E4EF6" w:rsidRPr="008E4EF6" w14:paraId="45A35BAA"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12ACD9A8" w14:textId="77777777" w:rsidR="008E4EF6" w:rsidRPr="008E4EF6" w:rsidRDefault="008E4EF6" w:rsidP="004A54EF">
            <w:pPr>
              <w:spacing w:after="0"/>
              <w:jc w:val="center"/>
            </w:pPr>
            <w:r w:rsidRPr="008E4EF6">
              <w:t>Pieczewo</w:t>
            </w:r>
          </w:p>
        </w:tc>
        <w:tc>
          <w:tcPr>
            <w:tcW w:w="4672" w:type="dxa"/>
            <w:tcBorders>
              <w:top w:val="nil"/>
              <w:left w:val="nil"/>
              <w:bottom w:val="single" w:sz="4" w:space="0" w:color="auto"/>
              <w:right w:val="single" w:sz="4" w:space="0" w:color="auto"/>
            </w:tcBorders>
            <w:shd w:val="clear" w:color="auto" w:fill="auto"/>
            <w:vAlign w:val="bottom"/>
            <w:hideMark/>
          </w:tcPr>
          <w:p w14:paraId="0C26C013" w14:textId="77777777" w:rsidR="008E4EF6" w:rsidRPr="008E4EF6" w:rsidRDefault="008E4EF6" w:rsidP="004A54EF">
            <w:pPr>
              <w:spacing w:after="0"/>
              <w:jc w:val="center"/>
            </w:pPr>
            <w:r w:rsidRPr="008E4EF6">
              <w:t>1,3</w:t>
            </w:r>
          </w:p>
        </w:tc>
      </w:tr>
      <w:tr w:rsidR="008E4EF6" w:rsidRPr="008E4EF6" w14:paraId="66CC6ADB"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27005C88" w14:textId="77777777" w:rsidR="008E4EF6" w:rsidRPr="008E4EF6" w:rsidRDefault="008E4EF6" w:rsidP="004A54EF">
            <w:pPr>
              <w:spacing w:after="0"/>
              <w:jc w:val="center"/>
            </w:pPr>
            <w:r w:rsidRPr="008E4EF6">
              <w:t>Generałów</w:t>
            </w:r>
          </w:p>
        </w:tc>
        <w:tc>
          <w:tcPr>
            <w:tcW w:w="4672" w:type="dxa"/>
            <w:tcBorders>
              <w:top w:val="nil"/>
              <w:left w:val="nil"/>
              <w:bottom w:val="single" w:sz="4" w:space="0" w:color="auto"/>
              <w:right w:val="single" w:sz="4" w:space="0" w:color="auto"/>
            </w:tcBorders>
            <w:shd w:val="clear" w:color="auto" w:fill="auto"/>
            <w:vAlign w:val="bottom"/>
            <w:hideMark/>
          </w:tcPr>
          <w:p w14:paraId="53EA83BA" w14:textId="77777777" w:rsidR="008E4EF6" w:rsidRPr="008E4EF6" w:rsidRDefault="008E4EF6" w:rsidP="004A54EF">
            <w:pPr>
              <w:spacing w:after="0"/>
              <w:jc w:val="center"/>
            </w:pPr>
            <w:r w:rsidRPr="008E4EF6">
              <w:t>1,2</w:t>
            </w:r>
          </w:p>
        </w:tc>
      </w:tr>
      <w:tr w:rsidR="008E4EF6" w:rsidRPr="008E4EF6" w14:paraId="35C26D3A"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4B2C502A" w14:textId="77777777" w:rsidR="008E4EF6" w:rsidRPr="008E4EF6" w:rsidRDefault="008E4EF6" w:rsidP="004A54EF">
            <w:pPr>
              <w:spacing w:after="0"/>
              <w:jc w:val="center"/>
            </w:pPr>
            <w:r w:rsidRPr="008E4EF6">
              <w:t>Jaroty</w:t>
            </w:r>
          </w:p>
        </w:tc>
        <w:tc>
          <w:tcPr>
            <w:tcW w:w="4672" w:type="dxa"/>
            <w:tcBorders>
              <w:top w:val="nil"/>
              <w:left w:val="nil"/>
              <w:bottom w:val="single" w:sz="4" w:space="0" w:color="auto"/>
              <w:right w:val="single" w:sz="4" w:space="0" w:color="auto"/>
            </w:tcBorders>
            <w:shd w:val="clear" w:color="auto" w:fill="auto"/>
            <w:vAlign w:val="bottom"/>
            <w:hideMark/>
          </w:tcPr>
          <w:p w14:paraId="7E0C37B7" w14:textId="77777777" w:rsidR="008E4EF6" w:rsidRPr="008E4EF6" w:rsidRDefault="008E4EF6" w:rsidP="004A54EF">
            <w:pPr>
              <w:spacing w:after="0"/>
              <w:jc w:val="center"/>
            </w:pPr>
            <w:r w:rsidRPr="008E4EF6">
              <w:t>0,7</w:t>
            </w:r>
          </w:p>
        </w:tc>
      </w:tr>
      <w:tr w:rsidR="008E4EF6" w:rsidRPr="008E4EF6" w14:paraId="4F8C92EA" w14:textId="77777777" w:rsidTr="004A54EF">
        <w:trPr>
          <w:trHeight w:val="300"/>
          <w:jc w:val="center"/>
        </w:trPr>
        <w:tc>
          <w:tcPr>
            <w:tcW w:w="4259" w:type="dxa"/>
            <w:tcBorders>
              <w:top w:val="nil"/>
              <w:left w:val="single" w:sz="4" w:space="0" w:color="auto"/>
              <w:bottom w:val="single" w:sz="4" w:space="0" w:color="auto"/>
              <w:right w:val="single" w:sz="4" w:space="0" w:color="auto"/>
            </w:tcBorders>
            <w:shd w:val="clear" w:color="auto" w:fill="auto"/>
            <w:vAlign w:val="center"/>
            <w:hideMark/>
          </w:tcPr>
          <w:p w14:paraId="7EE52CBF" w14:textId="77777777" w:rsidR="008E4EF6" w:rsidRPr="008E4EF6" w:rsidRDefault="008E4EF6" w:rsidP="004A54EF">
            <w:pPr>
              <w:spacing w:after="0"/>
              <w:jc w:val="center"/>
            </w:pPr>
            <w:r w:rsidRPr="008E4EF6">
              <w:t>Nagórki</w:t>
            </w:r>
          </w:p>
        </w:tc>
        <w:tc>
          <w:tcPr>
            <w:tcW w:w="4672" w:type="dxa"/>
            <w:tcBorders>
              <w:top w:val="nil"/>
              <w:left w:val="nil"/>
              <w:bottom w:val="single" w:sz="4" w:space="0" w:color="auto"/>
              <w:right w:val="single" w:sz="4" w:space="0" w:color="auto"/>
            </w:tcBorders>
            <w:shd w:val="clear" w:color="auto" w:fill="auto"/>
            <w:vAlign w:val="bottom"/>
            <w:hideMark/>
          </w:tcPr>
          <w:p w14:paraId="38F2A40F" w14:textId="77777777" w:rsidR="008E4EF6" w:rsidRPr="008E4EF6" w:rsidRDefault="008E4EF6" w:rsidP="004A54EF">
            <w:pPr>
              <w:spacing w:after="0"/>
              <w:jc w:val="center"/>
            </w:pPr>
            <w:r w:rsidRPr="008E4EF6">
              <w:t>-</w:t>
            </w:r>
          </w:p>
        </w:tc>
      </w:tr>
    </w:tbl>
    <w:p w14:paraId="01B0B12A" w14:textId="1D672F91" w:rsidR="00355F39" w:rsidRPr="002C5331" w:rsidRDefault="00B9144A" w:rsidP="00B9144A">
      <w:pPr>
        <w:pStyle w:val="Legenda"/>
        <w:keepNext/>
        <w:jc w:val="center"/>
        <w:rPr>
          <w:sz w:val="20"/>
        </w:rPr>
      </w:pPr>
      <w:r>
        <w:rPr>
          <w:sz w:val="20"/>
        </w:rPr>
        <w:t>ź</w:t>
      </w:r>
      <w:r w:rsidR="00355F39" w:rsidRPr="002C5331">
        <w:rPr>
          <w:sz w:val="20"/>
        </w:rPr>
        <w:t>ródło: Miejski Program Rewitalizacji Olsztyna 2023</w:t>
      </w:r>
    </w:p>
    <w:p w14:paraId="429CA476" w14:textId="45FB4912" w:rsidR="008E4EF6" w:rsidRPr="008E4EF6" w:rsidRDefault="008E4EF6" w:rsidP="004A54EF">
      <w:pPr>
        <w:jc w:val="both"/>
      </w:pPr>
      <w:r w:rsidRPr="008E4EF6">
        <w:t>Najwyższ</w:t>
      </w:r>
      <w:r w:rsidR="00721F70">
        <w:t>a</w:t>
      </w:r>
      <w:r w:rsidRPr="008E4EF6">
        <w:t xml:space="preserve"> wartość tego wskaźnika jest na osiedlu Zielona Górka (71,3 osób na 1000 mieszkańców). Także wysoki </w:t>
      </w:r>
      <w:r w:rsidR="00721F70">
        <w:t xml:space="preserve">poziom odnotowuje się na </w:t>
      </w:r>
      <w:r w:rsidRPr="008E4EF6">
        <w:t>Redykajn</w:t>
      </w:r>
      <w:r w:rsidR="00721F70">
        <w:t>ach</w:t>
      </w:r>
      <w:r w:rsidRPr="008E4EF6">
        <w:t xml:space="preserve">, </w:t>
      </w:r>
      <w:r w:rsidR="00721F70">
        <w:t xml:space="preserve">w </w:t>
      </w:r>
      <w:r w:rsidRPr="008E4EF6">
        <w:t>Śródmieście i Gutkow</w:t>
      </w:r>
      <w:r w:rsidR="00721F70">
        <w:t>ie</w:t>
      </w:r>
      <w:r w:rsidRPr="008E4EF6">
        <w:t>. Najmniejsze wartości uzyskały Jaroty (0,7), a zaraz za nimi Generałów (1,2), Pieczewo (1,3) i Ko</w:t>
      </w:r>
      <w:r w:rsidR="000F3FDB">
        <w:t>r</w:t>
      </w:r>
      <w:r w:rsidRPr="008E4EF6">
        <w:t>moran (1,9). Dla osiedla Nagórki nie pozyskano danych.</w:t>
      </w:r>
    </w:p>
    <w:p w14:paraId="0E5E26AD" w14:textId="00EC0A6E" w:rsidR="00B9144A" w:rsidRDefault="00B9144A">
      <w:r>
        <w:br w:type="page"/>
      </w:r>
    </w:p>
    <w:p w14:paraId="55228F2D" w14:textId="77777777" w:rsidR="00B9144A" w:rsidRDefault="00B9144A" w:rsidP="00B9144A">
      <w:pPr>
        <w:pStyle w:val="Legenda"/>
        <w:jc w:val="center"/>
        <w:rPr>
          <w:sz w:val="22"/>
          <w:szCs w:val="22"/>
          <w:lang w:val="pl-PL"/>
        </w:rPr>
      </w:pPr>
    </w:p>
    <w:p w14:paraId="61B729CF" w14:textId="2A41D26C" w:rsidR="00B9144A" w:rsidRPr="00B9144A" w:rsidRDefault="00B9144A" w:rsidP="00B9144A">
      <w:pPr>
        <w:pStyle w:val="Legenda"/>
        <w:jc w:val="center"/>
        <w:rPr>
          <w:sz w:val="22"/>
          <w:szCs w:val="22"/>
          <w:lang w:val="pl-PL"/>
        </w:rPr>
      </w:pPr>
      <w:bookmarkStart w:id="24" w:name="_Toc73516167"/>
      <w:r w:rsidRPr="00B9144A">
        <w:rPr>
          <w:sz w:val="22"/>
          <w:szCs w:val="22"/>
          <w:lang w:val="pl-PL"/>
        </w:rPr>
        <w:t xml:space="preserve">Rysunek </w:t>
      </w:r>
      <w:r w:rsidRPr="00B9144A">
        <w:rPr>
          <w:sz w:val="22"/>
          <w:szCs w:val="22"/>
        </w:rPr>
        <w:fldChar w:fldCharType="begin"/>
      </w:r>
      <w:r w:rsidRPr="00B9144A">
        <w:rPr>
          <w:sz w:val="22"/>
          <w:szCs w:val="22"/>
          <w:lang w:val="pl-PL"/>
        </w:rPr>
        <w:instrText xml:space="preserve"> SEQ Rysunek \* ARABIC </w:instrText>
      </w:r>
      <w:r w:rsidRPr="00B9144A">
        <w:rPr>
          <w:sz w:val="22"/>
          <w:szCs w:val="22"/>
        </w:rPr>
        <w:fldChar w:fldCharType="separate"/>
      </w:r>
      <w:r w:rsidR="00AD58C3">
        <w:rPr>
          <w:noProof/>
          <w:sz w:val="22"/>
          <w:szCs w:val="22"/>
          <w:lang w:val="pl-PL"/>
        </w:rPr>
        <w:t>2</w:t>
      </w:r>
      <w:r w:rsidRPr="00B9144A">
        <w:rPr>
          <w:sz w:val="22"/>
          <w:szCs w:val="22"/>
        </w:rPr>
        <w:fldChar w:fldCharType="end"/>
      </w:r>
      <w:r w:rsidRPr="00B9144A">
        <w:rPr>
          <w:sz w:val="22"/>
          <w:szCs w:val="22"/>
          <w:lang w:val="pl-PL"/>
        </w:rPr>
        <w:t>. Mieszkańcy korzystający z pomocy społecznej z powodu ubóstwa na 1 tys. mieszkańców</w:t>
      </w:r>
      <w:bookmarkEnd w:id="24"/>
      <w:r w:rsidRPr="00B9144A">
        <w:rPr>
          <w:sz w:val="22"/>
          <w:szCs w:val="22"/>
          <w:lang w:val="pl-PL"/>
        </w:rPr>
        <w:t xml:space="preserve"> </w:t>
      </w:r>
    </w:p>
    <w:p w14:paraId="45EFA99B" w14:textId="77777777" w:rsidR="004E4701" w:rsidRDefault="008E4EF6" w:rsidP="004E4701">
      <w:pPr>
        <w:keepNext/>
        <w:jc w:val="center"/>
      </w:pPr>
      <w:r w:rsidRPr="008E4EF6">
        <w:rPr>
          <w:noProof/>
          <w:lang w:eastAsia="pl-PL"/>
        </w:rPr>
        <w:drawing>
          <wp:inline distT="0" distB="0" distL="0" distR="0" wp14:anchorId="5CB83721" wp14:editId="2227C8D5">
            <wp:extent cx="5760720" cy="4723130"/>
            <wp:effectExtent l="0" t="0" r="0" b="1270"/>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4723130"/>
                    </a:xfrm>
                    <a:prstGeom prst="rect">
                      <a:avLst/>
                    </a:prstGeom>
                  </pic:spPr>
                </pic:pic>
              </a:graphicData>
            </a:graphic>
          </wp:inline>
        </w:drawing>
      </w:r>
    </w:p>
    <w:p w14:paraId="43342D52" w14:textId="5C32CA36" w:rsidR="00B9144A" w:rsidRDefault="00B9144A" w:rsidP="00B9144A">
      <w:pPr>
        <w:spacing w:after="0" w:line="240" w:lineRule="auto"/>
        <w:jc w:val="center"/>
        <w:rPr>
          <w:i/>
          <w:sz w:val="20"/>
          <w:szCs w:val="20"/>
        </w:rPr>
      </w:pPr>
      <w:r w:rsidRPr="00B9144A">
        <w:rPr>
          <w:i/>
          <w:sz w:val="20"/>
          <w:szCs w:val="20"/>
        </w:rPr>
        <w:t>ź</w:t>
      </w:r>
      <w:r w:rsidR="004E4701" w:rsidRPr="00B9144A">
        <w:rPr>
          <w:i/>
          <w:sz w:val="20"/>
          <w:szCs w:val="20"/>
        </w:rPr>
        <w:t>ródło: opracowanie własne na podstawie danych z Miejskiego Progr</w:t>
      </w:r>
      <w:r w:rsidR="00E71852">
        <w:rPr>
          <w:i/>
          <w:sz w:val="20"/>
          <w:szCs w:val="20"/>
        </w:rPr>
        <w:t>amu Rewitalizacji Olsztyna 2023</w:t>
      </w:r>
      <w:r w:rsidR="004E4701" w:rsidRPr="00B9144A">
        <w:rPr>
          <w:i/>
          <w:sz w:val="20"/>
          <w:szCs w:val="20"/>
        </w:rPr>
        <w:t xml:space="preserve"> </w:t>
      </w:r>
    </w:p>
    <w:p w14:paraId="337CAA99" w14:textId="72124D80" w:rsidR="004E4701" w:rsidRPr="00B9144A" w:rsidRDefault="004E4701" w:rsidP="00B9144A">
      <w:pPr>
        <w:spacing w:after="0" w:line="240" w:lineRule="auto"/>
        <w:jc w:val="center"/>
        <w:rPr>
          <w:i/>
          <w:sz w:val="20"/>
          <w:szCs w:val="20"/>
        </w:rPr>
      </w:pPr>
      <w:r w:rsidRPr="00B9144A">
        <w:rPr>
          <w:i/>
          <w:sz w:val="20"/>
          <w:szCs w:val="20"/>
        </w:rPr>
        <w:t>Podkład: Mapa akustyczna Olsztyna; str. 10</w:t>
      </w:r>
    </w:p>
    <w:p w14:paraId="703E90D4" w14:textId="7AE8DF58" w:rsidR="004E4701" w:rsidRDefault="004E4701" w:rsidP="008E4EF6"/>
    <w:p w14:paraId="1A130331" w14:textId="320A27E3" w:rsidR="008E4EF6" w:rsidRDefault="008E4EF6" w:rsidP="003D369A">
      <w:pPr>
        <w:jc w:val="both"/>
      </w:pPr>
      <w:r w:rsidRPr="008E4EF6">
        <w:t xml:space="preserve">Pod kątem rozmieszczenia przestrzennego widoczne jest, że problem ubóstwa występuje raczej </w:t>
      </w:r>
      <w:r w:rsidR="003D369A">
        <w:br/>
      </w:r>
      <w:r w:rsidRPr="008E4EF6">
        <w:t>w osiedlach na obrzeżach, cechujący</w:t>
      </w:r>
      <w:r w:rsidR="00FF1942">
        <w:t>ch</w:t>
      </w:r>
      <w:r w:rsidRPr="008E4EF6">
        <w:t xml:space="preserve"> się małym zagęszczeniem ludności. Wyjątkiem jest osiedle Śródmieście. Pozostałe jednostki w pasie od centrum na południe są w dużo mniejszym stopniu dotknięte tym problemem.</w:t>
      </w:r>
    </w:p>
    <w:p w14:paraId="149301F7" w14:textId="77777777" w:rsidR="00861E72" w:rsidRDefault="00861E72" w:rsidP="008E4EF6"/>
    <w:p w14:paraId="1D812E83" w14:textId="77777777" w:rsidR="00BE04EA" w:rsidRDefault="002223EC" w:rsidP="002223EC">
      <w:pPr>
        <w:pStyle w:val="Nagwek3"/>
      </w:pPr>
      <w:bookmarkStart w:id="25" w:name="_Toc73534891"/>
      <w:r>
        <w:t xml:space="preserve">1.2.3 </w:t>
      </w:r>
      <w:r w:rsidR="00E71CC7">
        <w:t>Aktywność zawodowa i zdrowie społeczeństwa</w:t>
      </w:r>
      <w:bookmarkEnd w:id="25"/>
    </w:p>
    <w:p w14:paraId="7FE212A1" w14:textId="277C13E3" w:rsidR="00376A81" w:rsidRDefault="00543091" w:rsidP="00407926">
      <w:pPr>
        <w:jc w:val="both"/>
      </w:pPr>
      <w:r>
        <w:t xml:space="preserve">Obserwując </w:t>
      </w:r>
      <w:r w:rsidR="00407926">
        <w:t xml:space="preserve">stale rosnącą populację osób w wieku poprodukcyjnym, spodziewać się należy także wzrostu zapotrzebowania </w:t>
      </w:r>
      <w:r>
        <w:t xml:space="preserve">na usługi </w:t>
      </w:r>
      <w:r w:rsidR="00407926">
        <w:t xml:space="preserve">w zakresie opieki zdrowotnej. Trend ten </w:t>
      </w:r>
      <w:r w:rsidR="000F032D">
        <w:t xml:space="preserve">był </w:t>
      </w:r>
      <w:r w:rsidR="00407926" w:rsidRPr="00ED4EDD">
        <w:t>widoczny</w:t>
      </w:r>
      <w:r w:rsidR="008941F6">
        <w:t xml:space="preserve"> </w:t>
      </w:r>
      <w:r w:rsidR="008941F6" w:rsidRPr="00ED4EDD">
        <w:t>już</w:t>
      </w:r>
      <w:r w:rsidR="00407926" w:rsidRPr="00ED4EDD">
        <w:t xml:space="preserve"> </w:t>
      </w:r>
      <w:r>
        <w:br/>
      </w:r>
      <w:r w:rsidR="00407926" w:rsidRPr="00ED4EDD">
        <w:t xml:space="preserve">w </w:t>
      </w:r>
      <w:r w:rsidR="008941F6">
        <w:t xml:space="preserve">latach 2013-2018 w </w:t>
      </w:r>
      <w:r w:rsidR="00407926" w:rsidRPr="00ED4EDD">
        <w:t>województwie warmińsko-mazurskim</w:t>
      </w:r>
      <w:r w:rsidR="00407926">
        <w:t xml:space="preserve"> oraz </w:t>
      </w:r>
      <w:r w:rsidR="00376A81">
        <w:t>podlaskim</w:t>
      </w:r>
      <w:r w:rsidR="008941F6">
        <w:t xml:space="preserve"> -</w:t>
      </w:r>
      <w:r w:rsidR="00407926" w:rsidRPr="00ED4EDD">
        <w:t xml:space="preserve"> liczba beneficjentów stacjonarnej opieki zdrowotnej stale ro</w:t>
      </w:r>
      <w:r w:rsidR="000F032D">
        <w:t>sła</w:t>
      </w:r>
      <w:r w:rsidR="007D7876">
        <w:t xml:space="preserve">. </w:t>
      </w:r>
      <w:r w:rsidR="00795936">
        <w:t>Jednakże w</w:t>
      </w:r>
      <w:r w:rsidR="007D7876">
        <w:t xml:space="preserve"> roku 2019</w:t>
      </w:r>
      <w:r w:rsidR="007D7876" w:rsidRPr="007D7876">
        <w:t xml:space="preserve"> </w:t>
      </w:r>
      <w:r w:rsidR="007D7876">
        <w:t>wskaźnik osób leczonych w szpitalach ogólnych, w niemalże każdym z omawianych regionów zmniejszył się – mniej</w:t>
      </w:r>
      <w:r w:rsidR="00795936">
        <w:t xml:space="preserve"> w porównaniu do danych zarejestrowanych w roku 2013 </w:t>
      </w:r>
      <w:r w:rsidR="007D7876">
        <w:t>o 1</w:t>
      </w:r>
      <w:r w:rsidR="00795936">
        <w:t xml:space="preserve"> </w:t>
      </w:r>
      <w:r w:rsidR="007D7876">
        <w:t xml:space="preserve">737 os. </w:t>
      </w:r>
      <w:r w:rsidR="00795936">
        <w:t>w</w:t>
      </w:r>
      <w:r w:rsidR="007D7876">
        <w:t xml:space="preserve"> woj</w:t>
      </w:r>
      <w:r w:rsidR="00795936">
        <w:t xml:space="preserve">ewództwie warmińsko-mazurskim, podlaskim – mniej o 15 467 os., świętokrzyskim – mniej o 21 261 os., lubelskim 21 403 os. </w:t>
      </w:r>
      <w:r w:rsidR="007D7876">
        <w:t xml:space="preserve"> </w:t>
      </w:r>
      <w:r w:rsidR="00795936">
        <w:t xml:space="preserve">Wyjątek stanowi </w:t>
      </w:r>
      <w:r w:rsidR="007D7876">
        <w:t>województw</w:t>
      </w:r>
      <w:r w:rsidR="00795936">
        <w:t>o</w:t>
      </w:r>
      <w:r w:rsidR="007D7876">
        <w:t xml:space="preserve"> podkarpackie</w:t>
      </w:r>
      <w:r w:rsidR="00795936">
        <w:t xml:space="preserve">, gdzie nastąpił wzrost wskaźnika leczonych w szpitalach ogólnych </w:t>
      </w:r>
      <w:r w:rsidR="007D7876">
        <w:t xml:space="preserve"> – więcej o 5 393 os. </w:t>
      </w:r>
      <w:r w:rsidR="008941F6">
        <w:lastRenderedPageBreak/>
        <w:t xml:space="preserve">Jeszcze większą różnicę w zakresie omawianego wskaźnika obserwuje się analizując dane za lata 2018 i 2019. Największy spadek liczby pacjentów leczonych w szpitalach ogólnych zanotowano </w:t>
      </w:r>
      <w:r w:rsidR="008941F6">
        <w:br/>
        <w:t>w warmińsko-mazurskim – mniej o 11 522 os., świętokrzyskim – mniej o 14 165 os. oraz podlaskim – 28 654 os. (rok 2019 względem 2018). Więcej o 14 252 os. było leczonych jedynie w województwie podkarpackim.</w:t>
      </w:r>
    </w:p>
    <w:p w14:paraId="3C93FCF8" w14:textId="2F7726AF" w:rsidR="001451ED" w:rsidRDefault="001451ED"/>
    <w:p w14:paraId="330AC52D" w14:textId="0EAA8811" w:rsidR="001451ED" w:rsidRDefault="001451ED" w:rsidP="001451ED">
      <w:pPr>
        <w:pStyle w:val="Legenda"/>
        <w:rPr>
          <w:bCs/>
          <w:color w:val="000000" w:themeColor="text1"/>
          <w:sz w:val="22"/>
          <w:szCs w:val="22"/>
          <w:lang w:val="pl-PL"/>
        </w:rPr>
      </w:pPr>
      <w:bookmarkStart w:id="26" w:name="_Toc73516074"/>
      <w:r w:rsidRPr="002F2889">
        <w:rPr>
          <w:color w:val="000000" w:themeColor="text1"/>
          <w:sz w:val="22"/>
          <w:szCs w:val="22"/>
        </w:rPr>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12</w:t>
      </w:r>
      <w:r w:rsidRPr="002F2889">
        <w:rPr>
          <w:color w:val="000000" w:themeColor="text1"/>
          <w:sz w:val="22"/>
          <w:szCs w:val="22"/>
        </w:rPr>
        <w:fldChar w:fldCharType="end"/>
      </w:r>
      <w:r w:rsidRPr="002F2889">
        <w:rPr>
          <w:color w:val="000000" w:themeColor="text1"/>
          <w:sz w:val="22"/>
          <w:szCs w:val="22"/>
        </w:rPr>
        <w:t xml:space="preserve">. </w:t>
      </w:r>
      <w:r w:rsidRPr="002F2889">
        <w:rPr>
          <w:bCs/>
          <w:color w:val="000000" w:themeColor="text1"/>
          <w:sz w:val="22"/>
          <w:szCs w:val="22"/>
          <w:lang w:val="pl-PL"/>
        </w:rPr>
        <w:t>Liczba osób leczonych w szpitalach ogólnych w latach 2013 i 201</w:t>
      </w:r>
      <w:r w:rsidR="000F032D">
        <w:rPr>
          <w:bCs/>
          <w:color w:val="000000" w:themeColor="text1"/>
          <w:sz w:val="22"/>
          <w:szCs w:val="22"/>
          <w:lang w:val="pl-PL"/>
        </w:rPr>
        <w:t>9</w:t>
      </w:r>
      <w:r w:rsidR="00861E72" w:rsidRPr="002F2889">
        <w:rPr>
          <w:bCs/>
          <w:color w:val="000000" w:themeColor="text1"/>
          <w:sz w:val="22"/>
          <w:szCs w:val="22"/>
          <w:lang w:val="pl-PL"/>
        </w:rPr>
        <w:t>, w wybranych województwach Polski Wschodniej</w:t>
      </w:r>
      <w:bookmarkEnd w:id="26"/>
    </w:p>
    <w:p w14:paraId="106DCDC4" w14:textId="1E8E5024" w:rsidR="000F032D" w:rsidRDefault="000F032D" w:rsidP="000F032D">
      <w:pPr>
        <w:pStyle w:val="Legenda"/>
        <w:jc w:val="center"/>
        <w:rPr>
          <w:bCs/>
          <w:color w:val="000000" w:themeColor="text1"/>
          <w:sz w:val="22"/>
          <w:szCs w:val="22"/>
          <w:lang w:val="pl-PL"/>
        </w:rPr>
      </w:pPr>
      <w:r>
        <w:rPr>
          <w:noProof/>
          <w:lang w:val="pl-PL" w:eastAsia="pl-PL"/>
        </w:rPr>
        <w:drawing>
          <wp:inline distT="0" distB="0" distL="0" distR="0" wp14:anchorId="54A52BA0" wp14:editId="5128185B">
            <wp:extent cx="5316220" cy="2725947"/>
            <wp:effectExtent l="0" t="0" r="17780" b="17780"/>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8F19141" w14:textId="77777777" w:rsidR="00376A81" w:rsidRDefault="00376A81" w:rsidP="000E69F9">
      <w:pPr>
        <w:spacing w:after="0"/>
        <w:jc w:val="center"/>
      </w:pPr>
      <w:r w:rsidRPr="0091031D">
        <w:rPr>
          <w:i/>
          <w:sz w:val="20"/>
          <w:szCs w:val="20"/>
        </w:rPr>
        <w:t>źródło: opracowanie własne na podstawie danych GUS</w:t>
      </w:r>
    </w:p>
    <w:p w14:paraId="265E3F49" w14:textId="77777777" w:rsidR="00376A81" w:rsidRDefault="00376A81" w:rsidP="00376A81">
      <w:pPr>
        <w:jc w:val="center"/>
      </w:pPr>
    </w:p>
    <w:p w14:paraId="2BF3657F" w14:textId="29B495DD" w:rsidR="00376A81" w:rsidRDefault="0029390B" w:rsidP="00376A81">
      <w:pPr>
        <w:jc w:val="both"/>
        <w:rPr>
          <w:noProof/>
          <w:lang w:eastAsia="pl-PL"/>
        </w:rPr>
      </w:pPr>
      <w:r>
        <w:rPr>
          <w:noProof/>
          <w:lang w:eastAsia="pl-PL"/>
        </w:rPr>
        <w:t>Rosnące zapotrzebowanie w zakresie porad lekarskich ambulatoryjnej opie</w:t>
      </w:r>
      <w:r w:rsidR="00AE2A3D">
        <w:rPr>
          <w:noProof/>
          <w:lang w:eastAsia="pl-PL"/>
        </w:rPr>
        <w:t>ki</w:t>
      </w:r>
      <w:r>
        <w:rPr>
          <w:noProof/>
          <w:lang w:eastAsia="pl-PL"/>
        </w:rPr>
        <w:t xml:space="preserve"> zdrowotnej przedstawia </w:t>
      </w:r>
      <w:r w:rsidR="00225FE2">
        <w:rPr>
          <w:noProof/>
          <w:lang w:eastAsia="pl-PL"/>
        </w:rPr>
        <w:t xml:space="preserve">tabela </w:t>
      </w:r>
      <w:r>
        <w:rPr>
          <w:noProof/>
          <w:lang w:eastAsia="pl-PL"/>
        </w:rPr>
        <w:t>poniżej</w:t>
      </w:r>
      <w:r w:rsidR="00225FE2">
        <w:rPr>
          <w:noProof/>
          <w:lang w:eastAsia="pl-PL"/>
        </w:rPr>
        <w:t>.</w:t>
      </w:r>
      <w:r>
        <w:rPr>
          <w:noProof/>
          <w:lang w:eastAsia="pl-PL"/>
        </w:rPr>
        <w:t xml:space="preserve"> </w:t>
      </w:r>
      <w:r w:rsidR="00AE2A3D">
        <w:rPr>
          <w:noProof/>
          <w:lang w:eastAsia="pl-PL"/>
        </w:rPr>
        <w:t xml:space="preserve">We wszystkich omawianych miastach Polski Wschodniej wskaźnik ten charakteryzuje tendencja wzrostowa. </w:t>
      </w:r>
      <w:r w:rsidR="00D650A2">
        <w:rPr>
          <w:noProof/>
          <w:lang w:eastAsia="pl-PL"/>
        </w:rPr>
        <w:t>Wzrasta</w:t>
      </w:r>
      <w:r w:rsidR="00AE2A3D">
        <w:rPr>
          <w:noProof/>
          <w:lang w:eastAsia="pl-PL"/>
        </w:rPr>
        <w:t xml:space="preserve">jący popyt w zakresie opieki zdrowotnej odzwierciedla </w:t>
      </w:r>
      <w:r w:rsidR="00D650A2">
        <w:rPr>
          <w:noProof/>
          <w:lang w:eastAsia="pl-PL"/>
        </w:rPr>
        <w:t xml:space="preserve">również liczba podmiotów ambulatoryjnych: w Olsztynie więcej o 27 placówek (w 2019 roku – 174 obiektów), </w:t>
      </w:r>
      <w:r w:rsidR="00A16E1A">
        <w:rPr>
          <w:noProof/>
          <w:lang w:eastAsia="pl-PL"/>
        </w:rPr>
        <w:br/>
      </w:r>
      <w:r w:rsidR="00D650A2">
        <w:rPr>
          <w:noProof/>
          <w:lang w:eastAsia="pl-PL"/>
        </w:rPr>
        <w:t>w Kielcach więcej o 40 obiektów (w 2019 roku – 192 placówek), w Białymstoku więcej o 6 obiektów (300 placówek), w Rzeszowie więcej o 26 obiektów (201 podmiotów) oraz w Lublinie więcej o 33 placówki (309 obiektów).</w:t>
      </w:r>
      <w:r w:rsidR="00264788">
        <w:rPr>
          <w:noProof/>
          <w:lang w:eastAsia="pl-PL"/>
        </w:rPr>
        <w:t xml:space="preserve"> </w:t>
      </w:r>
    </w:p>
    <w:p w14:paraId="35650E4F" w14:textId="77777777" w:rsidR="00213D67" w:rsidRDefault="00213D67">
      <w:pPr>
        <w:rPr>
          <w:rFonts w:ascii="Calibri" w:eastAsia="Calibri" w:hAnsi="Calibri" w:cs="Mangal"/>
          <w:i/>
          <w:iCs/>
          <w:color w:val="000000" w:themeColor="text1"/>
          <w:kern w:val="1"/>
          <w:lang w:val="en-GB"/>
        </w:rPr>
      </w:pPr>
      <w:r>
        <w:rPr>
          <w:color w:val="000000" w:themeColor="text1"/>
        </w:rPr>
        <w:br w:type="page"/>
      </w:r>
    </w:p>
    <w:p w14:paraId="40179589" w14:textId="17C4B7B3" w:rsidR="001451ED" w:rsidRPr="002F2889" w:rsidRDefault="001451ED" w:rsidP="001451ED">
      <w:pPr>
        <w:pStyle w:val="Legenda"/>
        <w:rPr>
          <w:color w:val="000000" w:themeColor="text1"/>
          <w:sz w:val="22"/>
          <w:szCs w:val="22"/>
          <w:lang w:val="pl-PL"/>
        </w:rPr>
      </w:pPr>
      <w:bookmarkStart w:id="27" w:name="_Toc73516075"/>
      <w:r w:rsidRPr="002F2889">
        <w:rPr>
          <w:color w:val="000000" w:themeColor="text1"/>
          <w:sz w:val="22"/>
          <w:szCs w:val="22"/>
        </w:rPr>
        <w:lastRenderedPageBreak/>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13</w:t>
      </w:r>
      <w:r w:rsidRPr="002F2889">
        <w:rPr>
          <w:color w:val="000000" w:themeColor="text1"/>
          <w:sz w:val="22"/>
          <w:szCs w:val="22"/>
        </w:rPr>
        <w:fldChar w:fldCharType="end"/>
      </w:r>
      <w:r w:rsidRPr="002F2889">
        <w:rPr>
          <w:color w:val="000000" w:themeColor="text1"/>
          <w:sz w:val="22"/>
          <w:szCs w:val="22"/>
        </w:rPr>
        <w:t xml:space="preserve">. </w:t>
      </w:r>
      <w:r w:rsidRPr="002F2889">
        <w:rPr>
          <w:bCs/>
          <w:color w:val="000000" w:themeColor="text1"/>
          <w:sz w:val="22"/>
          <w:szCs w:val="22"/>
          <w:lang w:val="pl-PL"/>
        </w:rPr>
        <w:t>Ambulatoryjna opieka zdrowotna - porady w latach 2013 i 2019</w:t>
      </w:r>
      <w:bookmarkEnd w:id="27"/>
    </w:p>
    <w:p w14:paraId="338993E0" w14:textId="77777777" w:rsidR="00AE2A3D" w:rsidRDefault="00AE2A3D" w:rsidP="000E69F9">
      <w:pPr>
        <w:spacing w:after="0"/>
        <w:jc w:val="center"/>
        <w:rPr>
          <w:noProof/>
          <w:lang w:eastAsia="pl-PL"/>
        </w:rPr>
      </w:pPr>
      <w:r>
        <w:rPr>
          <w:noProof/>
          <w:lang w:eastAsia="pl-PL"/>
        </w:rPr>
        <w:drawing>
          <wp:inline distT="0" distB="0" distL="0" distR="0" wp14:anchorId="2EF743C4" wp14:editId="7394474F">
            <wp:extent cx="4572000" cy="2743200"/>
            <wp:effectExtent l="0" t="0" r="0" b="0"/>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FFAD0F1" w14:textId="77777777" w:rsidR="00AE2A3D" w:rsidRDefault="00AE2A3D" w:rsidP="000E69F9">
      <w:pPr>
        <w:spacing w:after="0"/>
        <w:jc w:val="center"/>
      </w:pPr>
      <w:r w:rsidRPr="0091031D">
        <w:rPr>
          <w:i/>
          <w:sz w:val="20"/>
          <w:szCs w:val="20"/>
        </w:rPr>
        <w:t>źródło: opracowanie własne na podstawie danych GUS</w:t>
      </w:r>
    </w:p>
    <w:p w14:paraId="7805E29E" w14:textId="115AF5CD" w:rsidR="00816F85" w:rsidRDefault="00816F85">
      <w:pPr>
        <w:rPr>
          <w:noProof/>
          <w:lang w:eastAsia="pl-PL"/>
        </w:rPr>
      </w:pPr>
    </w:p>
    <w:p w14:paraId="56522CEA" w14:textId="54130078" w:rsidR="00376A81" w:rsidRDefault="00EE7EEA" w:rsidP="00EE7EEA">
      <w:pPr>
        <w:jc w:val="both"/>
        <w:rPr>
          <w:noProof/>
          <w:lang w:eastAsia="pl-PL"/>
        </w:rPr>
      </w:pPr>
      <w:r>
        <w:rPr>
          <w:noProof/>
          <w:lang w:eastAsia="pl-PL"/>
        </w:rPr>
        <w:t xml:space="preserve">Udział wydatków na ochronę zdrowia w wydatkach ogółem w omawianych miastach Polski Wschodniej </w:t>
      </w:r>
      <w:r w:rsidR="00C72B48">
        <w:rPr>
          <w:noProof/>
          <w:lang w:eastAsia="pl-PL"/>
        </w:rPr>
        <w:t>w roku 2019 kształtuj</w:t>
      </w:r>
      <w:r w:rsidR="00DC278B">
        <w:rPr>
          <w:noProof/>
          <w:lang w:eastAsia="pl-PL"/>
        </w:rPr>
        <w:t>e</w:t>
      </w:r>
      <w:r w:rsidR="00C72B48">
        <w:rPr>
          <w:noProof/>
          <w:lang w:eastAsia="pl-PL"/>
        </w:rPr>
        <w:t xml:space="preserve"> się na poziomie od 0,7% w Olsztynie i Lublinie do 1,6% w Rzeszowie. </w:t>
      </w:r>
    </w:p>
    <w:p w14:paraId="2E0EC431" w14:textId="31089ECC" w:rsidR="00F85D7C" w:rsidRPr="002F2889" w:rsidRDefault="00FA41CC" w:rsidP="00F85D7C">
      <w:pPr>
        <w:pStyle w:val="Legenda"/>
        <w:rPr>
          <w:color w:val="000000" w:themeColor="text1"/>
          <w:sz w:val="22"/>
          <w:szCs w:val="22"/>
          <w:lang w:val="pl-PL"/>
        </w:rPr>
      </w:pPr>
      <w:bookmarkStart w:id="28" w:name="_Toc73516076"/>
      <w:r w:rsidRPr="002F2889">
        <w:rPr>
          <w:color w:val="000000" w:themeColor="text1"/>
          <w:sz w:val="22"/>
          <w:szCs w:val="22"/>
        </w:rPr>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14</w:t>
      </w:r>
      <w:r w:rsidRPr="002F2889">
        <w:rPr>
          <w:color w:val="000000" w:themeColor="text1"/>
          <w:sz w:val="22"/>
          <w:szCs w:val="22"/>
        </w:rPr>
        <w:fldChar w:fldCharType="end"/>
      </w:r>
      <w:r w:rsidRPr="002F2889">
        <w:rPr>
          <w:color w:val="000000" w:themeColor="text1"/>
          <w:sz w:val="22"/>
          <w:szCs w:val="22"/>
        </w:rPr>
        <w:t xml:space="preserve">. </w:t>
      </w:r>
      <w:r w:rsidRPr="002F2889">
        <w:rPr>
          <w:bCs/>
          <w:color w:val="000000" w:themeColor="text1"/>
          <w:sz w:val="22"/>
          <w:szCs w:val="22"/>
          <w:lang w:val="en-US"/>
        </w:rPr>
        <w:t xml:space="preserve">Udział </w:t>
      </w:r>
      <w:r w:rsidR="003D369A">
        <w:rPr>
          <w:bCs/>
          <w:color w:val="000000" w:themeColor="text1"/>
          <w:sz w:val="22"/>
          <w:szCs w:val="22"/>
          <w:lang w:val="en-US"/>
        </w:rPr>
        <w:t xml:space="preserve">% </w:t>
      </w:r>
      <w:r w:rsidRPr="002F2889">
        <w:rPr>
          <w:bCs/>
          <w:color w:val="000000" w:themeColor="text1"/>
          <w:sz w:val="22"/>
          <w:szCs w:val="22"/>
          <w:lang w:val="en-US"/>
        </w:rPr>
        <w:t>wydatków na ochronę zdrowia w wydatkach ogółem</w:t>
      </w:r>
      <w:r w:rsidRPr="002F2889">
        <w:rPr>
          <w:bCs/>
          <w:color w:val="000000" w:themeColor="text1"/>
          <w:sz w:val="22"/>
          <w:szCs w:val="22"/>
          <w:lang w:val="pl-PL"/>
        </w:rPr>
        <w:t xml:space="preserve"> w latach 2013-2019</w:t>
      </w:r>
      <w:bookmarkEnd w:id="28"/>
    </w:p>
    <w:p w14:paraId="2991FB3B" w14:textId="77777777" w:rsidR="00376A81" w:rsidRDefault="00C72B48" w:rsidP="000E69F9">
      <w:pPr>
        <w:spacing w:after="0"/>
        <w:jc w:val="center"/>
        <w:rPr>
          <w:noProof/>
          <w:lang w:eastAsia="pl-PL"/>
        </w:rPr>
      </w:pPr>
      <w:r>
        <w:rPr>
          <w:noProof/>
          <w:lang w:eastAsia="pl-PL"/>
        </w:rPr>
        <w:drawing>
          <wp:inline distT="0" distB="0" distL="0" distR="0" wp14:anchorId="27EE823D" wp14:editId="39192453">
            <wp:extent cx="4705350" cy="2673350"/>
            <wp:effectExtent l="0" t="0" r="0" b="1270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05FC153" w14:textId="77777777" w:rsidR="00407926" w:rsidRDefault="00407926" w:rsidP="000E69F9">
      <w:pPr>
        <w:spacing w:after="0"/>
        <w:jc w:val="center"/>
      </w:pPr>
      <w:r w:rsidRPr="0091031D">
        <w:rPr>
          <w:i/>
          <w:sz w:val="20"/>
          <w:szCs w:val="20"/>
        </w:rPr>
        <w:t>źródło: opracowanie własne na podstawie danych GUS</w:t>
      </w:r>
    </w:p>
    <w:p w14:paraId="54888483" w14:textId="77777777" w:rsidR="00407926" w:rsidRDefault="00407926" w:rsidP="00407926">
      <w:pPr>
        <w:jc w:val="center"/>
      </w:pPr>
    </w:p>
    <w:p w14:paraId="6C1B1E73" w14:textId="77777777" w:rsidR="0014077F" w:rsidRDefault="002223EC" w:rsidP="002223EC">
      <w:pPr>
        <w:pStyle w:val="Nagwek3"/>
      </w:pPr>
      <w:bookmarkStart w:id="29" w:name="_Toc73534892"/>
      <w:r>
        <w:t xml:space="preserve">1.2.4 </w:t>
      </w:r>
      <w:r w:rsidR="00BE04EA">
        <w:t>Bezrobocie</w:t>
      </w:r>
      <w:bookmarkEnd w:id="29"/>
    </w:p>
    <w:p w14:paraId="676C0D99" w14:textId="10612ABC" w:rsidR="00E709A7" w:rsidRDefault="007A55EF" w:rsidP="00E709A7">
      <w:pPr>
        <w:jc w:val="both"/>
      </w:pPr>
      <w:r>
        <w:t>Województwo warmińsko-mazurskie</w:t>
      </w:r>
      <w:r w:rsidR="00F95D2D">
        <w:t xml:space="preserve"> na tle </w:t>
      </w:r>
      <w:r>
        <w:t>wybranych do analizy ośrodków wojewódzkich</w:t>
      </w:r>
      <w:r w:rsidR="00F95D2D">
        <w:t xml:space="preserve"> odznacza się najwyższą stopą bezrobocia</w:t>
      </w:r>
      <w:r w:rsidR="00A91579">
        <w:t xml:space="preserve"> rejestrowanego</w:t>
      </w:r>
      <w:r w:rsidR="00F95D2D">
        <w:t>. W roku 20</w:t>
      </w:r>
      <w:r>
        <w:t>20</w:t>
      </w:r>
      <w:r w:rsidR="00F95D2D">
        <w:t xml:space="preserve"> wyniosła ona </w:t>
      </w:r>
      <w:r>
        <w:t>10,1</w:t>
      </w:r>
      <w:r w:rsidR="00F95D2D">
        <w:t xml:space="preserve">%, podczas gdy </w:t>
      </w:r>
      <w:r w:rsidR="00A91579">
        <w:br/>
      </w:r>
      <w:r w:rsidR="00F95D2D">
        <w:t>w województwach lube</w:t>
      </w:r>
      <w:r>
        <w:t xml:space="preserve">lskim, podkarpackim, podlaskim </w:t>
      </w:r>
      <w:r w:rsidR="00F95D2D">
        <w:t>i świętokrzyskim</w:t>
      </w:r>
      <w:r w:rsidR="00A91579">
        <w:t xml:space="preserve"> jej wartość sięgała poziomu od </w:t>
      </w:r>
      <w:r>
        <w:t>7,8</w:t>
      </w:r>
      <w:r w:rsidR="00A91579">
        <w:t xml:space="preserve">% </w:t>
      </w:r>
      <w:r w:rsidR="00DF5859">
        <w:t xml:space="preserve">(podlaskie) </w:t>
      </w:r>
      <w:r w:rsidR="00A91579">
        <w:t xml:space="preserve">do </w:t>
      </w:r>
      <w:r>
        <w:t>8,5</w:t>
      </w:r>
      <w:r w:rsidR="00F95D2D">
        <w:t>%</w:t>
      </w:r>
      <w:r w:rsidR="00DF5859">
        <w:t xml:space="preserve"> (świętokrzyskie)</w:t>
      </w:r>
      <w:r w:rsidR="00F95D2D">
        <w:t>. Warto jednak zaznaczyć, że to w województwie warmińsko-mazurskim odnotowano najwyższy</w:t>
      </w:r>
      <w:r>
        <w:t xml:space="preserve"> 11,5%</w:t>
      </w:r>
      <w:r w:rsidR="00E709A7">
        <w:t xml:space="preserve"> </w:t>
      </w:r>
      <w:r w:rsidR="00F95D2D">
        <w:t>spadek stopy bezrobocia</w:t>
      </w:r>
      <w:r w:rsidR="00E709A7">
        <w:t xml:space="preserve"> porównując</w:t>
      </w:r>
      <w:r>
        <w:t xml:space="preserve"> </w:t>
      </w:r>
      <w:r w:rsidR="00A91579">
        <w:t xml:space="preserve">dane za </w:t>
      </w:r>
      <w:r>
        <w:t>rok 20</w:t>
      </w:r>
      <w:r w:rsidR="00A91579">
        <w:t>20</w:t>
      </w:r>
      <w:r>
        <w:t xml:space="preserve"> </w:t>
      </w:r>
      <w:r w:rsidR="00DF5859">
        <w:t xml:space="preserve">względem </w:t>
      </w:r>
      <w:r>
        <w:t>roku 20</w:t>
      </w:r>
      <w:r w:rsidR="00A91579">
        <w:t>13</w:t>
      </w:r>
      <w:r>
        <w:t xml:space="preserve">. </w:t>
      </w:r>
    </w:p>
    <w:p w14:paraId="37528F1C" w14:textId="615F903C" w:rsidR="00CF2230" w:rsidRDefault="00CF2230" w:rsidP="00E709A7">
      <w:pPr>
        <w:jc w:val="both"/>
      </w:pPr>
      <w:r>
        <w:lastRenderedPageBreak/>
        <w:t>Olsztyn, spośród analizowanych miast Polski Wschodniej</w:t>
      </w:r>
      <w:r w:rsidR="00DF5859">
        <w:t>,</w:t>
      </w:r>
      <w:r>
        <w:t xml:space="preserve"> w roku 20</w:t>
      </w:r>
      <w:r w:rsidR="00DF5859">
        <w:t>20</w:t>
      </w:r>
      <w:r>
        <w:t xml:space="preserve"> odnotował najmniejszą liczbę  osób zarejestrowanych w urzędzie pracy – </w:t>
      </w:r>
      <w:r w:rsidR="00DF5859">
        <w:t>3 024</w:t>
      </w:r>
      <w:r>
        <w:t xml:space="preserve">, z czego </w:t>
      </w:r>
      <w:r w:rsidR="00DF5859">
        <w:t>828</w:t>
      </w:r>
      <w:r>
        <w:t xml:space="preserve"> os</w:t>
      </w:r>
      <w:r w:rsidR="00DF5859">
        <w:t>ó</w:t>
      </w:r>
      <w:r>
        <w:t>b to bezrobotni pozostający bez pracy dłużej niż 1 rok</w:t>
      </w:r>
      <w:r w:rsidR="00A077A5">
        <w:t>.</w:t>
      </w:r>
      <w:r w:rsidR="004A03C5">
        <w:t xml:space="preserve"> Wskaźnik ten na przestrzeni lat 2013-</w:t>
      </w:r>
      <w:r w:rsidR="00DF5859">
        <w:t>2019</w:t>
      </w:r>
      <w:r w:rsidR="004A03C5">
        <w:t xml:space="preserve"> </w:t>
      </w:r>
      <w:r w:rsidR="00DF5859">
        <w:t xml:space="preserve">we wszystkich badanych miastach miał </w:t>
      </w:r>
      <w:r w:rsidR="004A03C5">
        <w:t xml:space="preserve">charakter </w:t>
      </w:r>
      <w:r w:rsidR="00DF5859">
        <w:t>spadkowy. Rok 2020 zmienił tę tendencję</w:t>
      </w:r>
      <w:r w:rsidR="008428CE">
        <w:t>. W roku 2020 w Olsztynie zarejestrowano więcej o 621 bezrobotnych niż w roku 2019. Najprawdopodobniejszej przyczyny tej sytuacji upatrywać należy przede wszystkim w kryzysie gospodarczym wywołanym pandemią koronawirusa SARS-CoV-2.</w:t>
      </w:r>
    </w:p>
    <w:p w14:paraId="1516FE77" w14:textId="2F0278E5" w:rsidR="007641A1" w:rsidRPr="004309DF" w:rsidRDefault="00FA41CC" w:rsidP="007641A1">
      <w:pPr>
        <w:pStyle w:val="Legenda"/>
        <w:rPr>
          <w:color w:val="000000" w:themeColor="text1"/>
          <w:sz w:val="22"/>
          <w:szCs w:val="22"/>
          <w:lang w:val="pl-PL"/>
        </w:rPr>
      </w:pPr>
      <w:bookmarkStart w:id="30" w:name="_Toc73534967"/>
      <w:r w:rsidRPr="004309DF">
        <w:rPr>
          <w:color w:val="000000" w:themeColor="text1"/>
          <w:sz w:val="22"/>
          <w:szCs w:val="22"/>
        </w:rPr>
        <w:t xml:space="preserve">Tabela </w:t>
      </w:r>
      <w:r w:rsidRPr="004309DF">
        <w:rPr>
          <w:color w:val="000000" w:themeColor="text1"/>
          <w:sz w:val="22"/>
          <w:szCs w:val="22"/>
        </w:rPr>
        <w:fldChar w:fldCharType="begin"/>
      </w:r>
      <w:r w:rsidRPr="004309DF">
        <w:rPr>
          <w:color w:val="000000" w:themeColor="text1"/>
          <w:sz w:val="22"/>
          <w:szCs w:val="22"/>
        </w:rPr>
        <w:instrText xml:space="preserve"> SEQ Tabela \* ARABIC </w:instrText>
      </w:r>
      <w:r w:rsidRPr="004309DF">
        <w:rPr>
          <w:color w:val="000000" w:themeColor="text1"/>
          <w:sz w:val="22"/>
          <w:szCs w:val="22"/>
        </w:rPr>
        <w:fldChar w:fldCharType="separate"/>
      </w:r>
      <w:r w:rsidR="00AD58C3">
        <w:rPr>
          <w:noProof/>
          <w:color w:val="000000" w:themeColor="text1"/>
          <w:sz w:val="22"/>
          <w:szCs w:val="22"/>
        </w:rPr>
        <w:t>4</w:t>
      </w:r>
      <w:r w:rsidRPr="004309DF">
        <w:rPr>
          <w:color w:val="000000" w:themeColor="text1"/>
          <w:sz w:val="22"/>
          <w:szCs w:val="22"/>
        </w:rPr>
        <w:fldChar w:fldCharType="end"/>
      </w:r>
      <w:r w:rsidRPr="004309DF">
        <w:rPr>
          <w:color w:val="000000" w:themeColor="text1"/>
          <w:sz w:val="22"/>
          <w:szCs w:val="22"/>
        </w:rPr>
        <w:t>. Bezrobotni zarejestrowani w urzędzie pracy w roku 2013 i 20</w:t>
      </w:r>
      <w:r w:rsidR="009F2B68">
        <w:rPr>
          <w:color w:val="000000" w:themeColor="text1"/>
          <w:sz w:val="22"/>
          <w:szCs w:val="22"/>
        </w:rPr>
        <w:t>20</w:t>
      </w:r>
      <w:bookmarkEnd w:id="30"/>
    </w:p>
    <w:tbl>
      <w:tblPr>
        <w:tblW w:w="7088" w:type="dxa"/>
        <w:jc w:val="center"/>
        <w:tblCellMar>
          <w:left w:w="70" w:type="dxa"/>
          <w:right w:w="70" w:type="dxa"/>
        </w:tblCellMar>
        <w:tblLook w:val="04A0" w:firstRow="1" w:lastRow="0" w:firstColumn="1" w:lastColumn="0" w:noHBand="0" w:noVBand="1"/>
      </w:tblPr>
      <w:tblGrid>
        <w:gridCol w:w="1860"/>
        <w:gridCol w:w="1259"/>
        <w:gridCol w:w="1276"/>
        <w:gridCol w:w="1417"/>
        <w:gridCol w:w="1276"/>
      </w:tblGrid>
      <w:tr w:rsidR="00A077A5" w:rsidRPr="0014077F" w14:paraId="3D05CC8B" w14:textId="77777777" w:rsidTr="00FA41CC">
        <w:trPr>
          <w:trHeight w:val="929"/>
          <w:jc w:val="center"/>
        </w:trPr>
        <w:tc>
          <w:tcPr>
            <w:tcW w:w="1860" w:type="dxa"/>
            <w:tcBorders>
              <w:top w:val="nil"/>
              <w:left w:val="nil"/>
              <w:bottom w:val="nil"/>
              <w:right w:val="nil"/>
            </w:tcBorders>
            <w:shd w:val="clear" w:color="auto" w:fill="auto"/>
            <w:noWrap/>
            <w:vAlign w:val="bottom"/>
            <w:hideMark/>
          </w:tcPr>
          <w:p w14:paraId="08E8303F" w14:textId="77777777" w:rsidR="00A077A5" w:rsidRPr="0014077F" w:rsidRDefault="00A077A5" w:rsidP="00D650A2">
            <w:pPr>
              <w:spacing w:after="0" w:line="240" w:lineRule="auto"/>
              <w:rPr>
                <w:rFonts w:ascii="Times New Roman" w:eastAsia="Times New Roman" w:hAnsi="Times New Roman" w:cs="Times New Roman"/>
                <w:sz w:val="24"/>
                <w:szCs w:val="24"/>
                <w:lang w:eastAsia="pl-PL"/>
              </w:rPr>
            </w:pPr>
          </w:p>
        </w:tc>
        <w:tc>
          <w:tcPr>
            <w:tcW w:w="2535" w:type="dxa"/>
            <w:gridSpan w:val="2"/>
            <w:tcBorders>
              <w:top w:val="single" w:sz="4" w:space="0" w:color="auto"/>
              <w:left w:val="single" w:sz="4" w:space="0" w:color="auto"/>
              <w:bottom w:val="single" w:sz="4" w:space="0" w:color="auto"/>
              <w:right w:val="single" w:sz="4" w:space="0" w:color="auto"/>
            </w:tcBorders>
            <w:shd w:val="clear" w:color="auto" w:fill="92D050"/>
            <w:vAlign w:val="center"/>
            <w:hideMark/>
          </w:tcPr>
          <w:p w14:paraId="4E8F8587" w14:textId="77777777" w:rsidR="00A077A5" w:rsidRPr="00A62B93" w:rsidRDefault="00A077A5" w:rsidP="00D650A2">
            <w:pPr>
              <w:spacing w:after="0" w:line="240" w:lineRule="auto"/>
              <w:jc w:val="center"/>
              <w:rPr>
                <w:rFonts w:ascii="Calibri" w:eastAsia="Times New Roman" w:hAnsi="Calibri" w:cs="Times New Roman"/>
                <w:b/>
                <w:lang w:eastAsia="pl-PL"/>
              </w:rPr>
            </w:pPr>
            <w:r w:rsidRPr="00A62B93">
              <w:rPr>
                <w:rFonts w:ascii="Calibri" w:eastAsia="Times New Roman" w:hAnsi="Calibri" w:cs="Times New Roman"/>
                <w:b/>
                <w:lang w:eastAsia="pl-PL"/>
              </w:rPr>
              <w:t>Bezrobotni zarejestrowani w urzędzie pracy</w:t>
            </w:r>
          </w:p>
        </w:tc>
        <w:tc>
          <w:tcPr>
            <w:tcW w:w="2693" w:type="dxa"/>
            <w:gridSpan w:val="2"/>
            <w:tcBorders>
              <w:top w:val="single" w:sz="4" w:space="0" w:color="auto"/>
              <w:left w:val="nil"/>
              <w:bottom w:val="single" w:sz="4" w:space="0" w:color="auto"/>
              <w:right w:val="single" w:sz="4" w:space="0" w:color="auto"/>
            </w:tcBorders>
            <w:shd w:val="clear" w:color="auto" w:fill="92D050"/>
            <w:vAlign w:val="center"/>
            <w:hideMark/>
          </w:tcPr>
          <w:p w14:paraId="73025F10" w14:textId="77777777" w:rsidR="00A077A5" w:rsidRPr="00A62B93" w:rsidRDefault="00A077A5" w:rsidP="00D650A2">
            <w:pPr>
              <w:spacing w:after="0" w:line="240" w:lineRule="auto"/>
              <w:jc w:val="center"/>
              <w:rPr>
                <w:rFonts w:ascii="Calibri" w:eastAsia="Times New Roman" w:hAnsi="Calibri" w:cs="Times New Roman"/>
                <w:b/>
                <w:lang w:eastAsia="pl-PL"/>
              </w:rPr>
            </w:pPr>
            <w:r w:rsidRPr="00A62B93">
              <w:rPr>
                <w:rFonts w:ascii="Calibri" w:eastAsia="Times New Roman" w:hAnsi="Calibri" w:cs="Times New Roman"/>
                <w:b/>
                <w:lang w:eastAsia="pl-PL"/>
              </w:rPr>
              <w:t>Bezrobotni zarejestrowani pozostający bez pracy dłużej niż 1 rok</w:t>
            </w:r>
          </w:p>
        </w:tc>
      </w:tr>
      <w:tr w:rsidR="00A077A5" w:rsidRPr="0014077F" w14:paraId="436711DA" w14:textId="77777777" w:rsidTr="008428CE">
        <w:trPr>
          <w:trHeight w:val="300"/>
          <w:jc w:val="center"/>
        </w:trPr>
        <w:tc>
          <w:tcPr>
            <w:tcW w:w="1860" w:type="dxa"/>
            <w:tcBorders>
              <w:top w:val="nil"/>
              <w:left w:val="nil"/>
              <w:bottom w:val="nil"/>
              <w:right w:val="nil"/>
            </w:tcBorders>
            <w:shd w:val="clear" w:color="auto" w:fill="auto"/>
            <w:noWrap/>
            <w:vAlign w:val="bottom"/>
            <w:hideMark/>
          </w:tcPr>
          <w:p w14:paraId="2284C159" w14:textId="77777777" w:rsidR="00A077A5" w:rsidRPr="0014077F" w:rsidRDefault="00A077A5" w:rsidP="00D650A2">
            <w:pPr>
              <w:spacing w:after="0" w:line="240" w:lineRule="auto"/>
              <w:rPr>
                <w:rFonts w:ascii="Calibri" w:eastAsia="Times New Roman" w:hAnsi="Calibri" w:cs="Times New Roman"/>
                <w:sz w:val="18"/>
                <w:szCs w:val="18"/>
                <w:lang w:eastAsia="pl-PL"/>
              </w:rPr>
            </w:pPr>
          </w:p>
        </w:tc>
        <w:tc>
          <w:tcPr>
            <w:tcW w:w="1259" w:type="dxa"/>
            <w:tcBorders>
              <w:top w:val="nil"/>
              <w:left w:val="single" w:sz="4" w:space="0" w:color="auto"/>
              <w:bottom w:val="nil"/>
              <w:right w:val="single" w:sz="4" w:space="0" w:color="auto"/>
            </w:tcBorders>
            <w:shd w:val="clear" w:color="auto" w:fill="92D050"/>
            <w:noWrap/>
            <w:vAlign w:val="bottom"/>
            <w:hideMark/>
          </w:tcPr>
          <w:p w14:paraId="59FA266F" w14:textId="77777777" w:rsidR="00A077A5" w:rsidRPr="00A62B93" w:rsidRDefault="00A077A5" w:rsidP="00D650A2">
            <w:pPr>
              <w:spacing w:after="0" w:line="240" w:lineRule="auto"/>
              <w:jc w:val="right"/>
              <w:rPr>
                <w:rFonts w:ascii="Calibri" w:eastAsia="Times New Roman" w:hAnsi="Calibri" w:cs="Times New Roman"/>
                <w:b/>
                <w:lang w:eastAsia="pl-PL"/>
              </w:rPr>
            </w:pPr>
            <w:r w:rsidRPr="00A62B93">
              <w:rPr>
                <w:rFonts w:ascii="Calibri" w:eastAsia="Times New Roman" w:hAnsi="Calibri" w:cs="Times New Roman"/>
                <w:b/>
                <w:lang w:eastAsia="pl-PL"/>
              </w:rPr>
              <w:t>2013</w:t>
            </w:r>
          </w:p>
        </w:tc>
        <w:tc>
          <w:tcPr>
            <w:tcW w:w="1276" w:type="dxa"/>
            <w:tcBorders>
              <w:top w:val="nil"/>
              <w:left w:val="nil"/>
              <w:bottom w:val="nil"/>
              <w:right w:val="single" w:sz="4" w:space="0" w:color="auto"/>
            </w:tcBorders>
            <w:shd w:val="clear" w:color="auto" w:fill="92D050"/>
            <w:noWrap/>
            <w:vAlign w:val="bottom"/>
            <w:hideMark/>
          </w:tcPr>
          <w:p w14:paraId="6CA14584" w14:textId="24E541A9" w:rsidR="00A077A5" w:rsidRPr="00A62B93" w:rsidRDefault="00A077A5" w:rsidP="00735920">
            <w:pPr>
              <w:spacing w:after="0" w:line="240" w:lineRule="auto"/>
              <w:jc w:val="right"/>
              <w:rPr>
                <w:rFonts w:ascii="Calibri" w:eastAsia="Times New Roman" w:hAnsi="Calibri" w:cs="Times New Roman"/>
                <w:b/>
                <w:lang w:eastAsia="pl-PL"/>
              </w:rPr>
            </w:pPr>
            <w:r w:rsidRPr="00A62B93">
              <w:rPr>
                <w:rFonts w:ascii="Calibri" w:eastAsia="Times New Roman" w:hAnsi="Calibri" w:cs="Times New Roman"/>
                <w:b/>
                <w:lang w:eastAsia="pl-PL"/>
              </w:rPr>
              <w:t>20</w:t>
            </w:r>
            <w:r w:rsidR="00735920">
              <w:rPr>
                <w:rFonts w:ascii="Calibri" w:eastAsia="Times New Roman" w:hAnsi="Calibri" w:cs="Times New Roman"/>
                <w:b/>
                <w:lang w:eastAsia="pl-PL"/>
              </w:rPr>
              <w:t>20</w:t>
            </w:r>
          </w:p>
        </w:tc>
        <w:tc>
          <w:tcPr>
            <w:tcW w:w="1417" w:type="dxa"/>
            <w:tcBorders>
              <w:top w:val="nil"/>
              <w:left w:val="nil"/>
              <w:bottom w:val="nil"/>
              <w:right w:val="single" w:sz="4" w:space="0" w:color="auto"/>
            </w:tcBorders>
            <w:shd w:val="clear" w:color="auto" w:fill="92D050"/>
            <w:noWrap/>
            <w:vAlign w:val="bottom"/>
            <w:hideMark/>
          </w:tcPr>
          <w:p w14:paraId="01F4C6F4" w14:textId="77777777" w:rsidR="00A077A5" w:rsidRPr="00A62B93" w:rsidRDefault="00A077A5" w:rsidP="00D650A2">
            <w:pPr>
              <w:spacing w:after="0" w:line="240" w:lineRule="auto"/>
              <w:jc w:val="right"/>
              <w:rPr>
                <w:rFonts w:ascii="Calibri" w:eastAsia="Times New Roman" w:hAnsi="Calibri" w:cs="Times New Roman"/>
                <w:b/>
                <w:lang w:eastAsia="pl-PL"/>
              </w:rPr>
            </w:pPr>
            <w:r w:rsidRPr="00A62B93">
              <w:rPr>
                <w:rFonts w:ascii="Calibri" w:eastAsia="Times New Roman" w:hAnsi="Calibri" w:cs="Times New Roman"/>
                <w:b/>
                <w:lang w:eastAsia="pl-PL"/>
              </w:rPr>
              <w:t>2013</w:t>
            </w:r>
          </w:p>
        </w:tc>
        <w:tc>
          <w:tcPr>
            <w:tcW w:w="1276" w:type="dxa"/>
            <w:tcBorders>
              <w:top w:val="nil"/>
              <w:left w:val="nil"/>
              <w:bottom w:val="nil"/>
              <w:right w:val="single" w:sz="4" w:space="0" w:color="auto"/>
            </w:tcBorders>
            <w:shd w:val="clear" w:color="auto" w:fill="92D050"/>
            <w:noWrap/>
            <w:vAlign w:val="bottom"/>
            <w:hideMark/>
          </w:tcPr>
          <w:p w14:paraId="268124A2" w14:textId="0E1ADE94" w:rsidR="00A077A5" w:rsidRPr="00A62B93" w:rsidRDefault="00A077A5" w:rsidP="00735920">
            <w:pPr>
              <w:spacing w:after="0" w:line="240" w:lineRule="auto"/>
              <w:jc w:val="right"/>
              <w:rPr>
                <w:rFonts w:ascii="Calibri" w:eastAsia="Times New Roman" w:hAnsi="Calibri" w:cs="Times New Roman"/>
                <w:b/>
                <w:lang w:eastAsia="pl-PL"/>
              </w:rPr>
            </w:pPr>
            <w:r w:rsidRPr="00A62B93">
              <w:rPr>
                <w:rFonts w:ascii="Calibri" w:eastAsia="Times New Roman" w:hAnsi="Calibri" w:cs="Times New Roman"/>
                <w:b/>
                <w:lang w:eastAsia="pl-PL"/>
              </w:rPr>
              <w:t>20</w:t>
            </w:r>
            <w:r w:rsidR="00735920">
              <w:rPr>
                <w:rFonts w:ascii="Calibri" w:eastAsia="Times New Roman" w:hAnsi="Calibri" w:cs="Times New Roman"/>
                <w:b/>
                <w:lang w:eastAsia="pl-PL"/>
              </w:rPr>
              <w:t>20</w:t>
            </w:r>
          </w:p>
        </w:tc>
      </w:tr>
      <w:tr w:rsidR="00735920" w:rsidRPr="0014077F" w14:paraId="262A05C5" w14:textId="77777777" w:rsidTr="008428CE">
        <w:trPr>
          <w:trHeight w:val="300"/>
          <w:jc w:val="center"/>
        </w:trPr>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24AF1C" w14:textId="77777777" w:rsidR="00735920" w:rsidRPr="0014077F" w:rsidRDefault="00735920" w:rsidP="00735920">
            <w:pPr>
              <w:spacing w:after="0" w:line="240" w:lineRule="auto"/>
              <w:rPr>
                <w:rFonts w:ascii="Calibri" w:eastAsia="Times New Roman" w:hAnsi="Calibri" w:cs="Times New Roman"/>
                <w:lang w:eastAsia="pl-PL"/>
              </w:rPr>
            </w:pPr>
            <w:r w:rsidRPr="0014077F">
              <w:rPr>
                <w:rFonts w:ascii="Calibri" w:eastAsia="Times New Roman" w:hAnsi="Calibri" w:cs="Times New Roman"/>
                <w:lang w:eastAsia="pl-PL"/>
              </w:rPr>
              <w:t>Olsztyn</w:t>
            </w:r>
          </w:p>
        </w:tc>
        <w:tc>
          <w:tcPr>
            <w:tcW w:w="1259" w:type="dxa"/>
            <w:tcBorders>
              <w:top w:val="single" w:sz="4" w:space="0" w:color="auto"/>
              <w:left w:val="nil"/>
              <w:bottom w:val="single" w:sz="4" w:space="0" w:color="auto"/>
              <w:right w:val="single" w:sz="4" w:space="0" w:color="auto"/>
            </w:tcBorders>
            <w:shd w:val="clear" w:color="auto" w:fill="auto"/>
            <w:noWrap/>
            <w:vAlign w:val="bottom"/>
            <w:hideMark/>
          </w:tcPr>
          <w:p w14:paraId="6E5EB9FC" w14:textId="77777777" w:rsidR="00735920" w:rsidRPr="0014077F" w:rsidRDefault="00735920" w:rsidP="00735920">
            <w:pPr>
              <w:spacing w:after="0" w:line="240" w:lineRule="auto"/>
              <w:jc w:val="right"/>
              <w:rPr>
                <w:rFonts w:ascii="Calibri" w:eastAsia="Times New Roman" w:hAnsi="Calibri" w:cs="Times New Roman"/>
                <w:lang w:eastAsia="pl-PL"/>
              </w:rPr>
            </w:pPr>
            <w:r w:rsidRPr="0014077F">
              <w:rPr>
                <w:rFonts w:ascii="Calibri" w:eastAsia="Times New Roman" w:hAnsi="Calibri" w:cs="Times New Roman"/>
                <w:lang w:eastAsia="pl-PL"/>
              </w:rPr>
              <w:t>7 322</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4311D934" w14:textId="3AF46E60" w:rsidR="00735920" w:rsidRPr="0014077F" w:rsidRDefault="00735920" w:rsidP="00735920">
            <w:pPr>
              <w:spacing w:after="0" w:line="240" w:lineRule="auto"/>
              <w:jc w:val="right"/>
              <w:rPr>
                <w:rFonts w:ascii="Calibri" w:eastAsia="Times New Roman" w:hAnsi="Calibri" w:cs="Times New Roman"/>
                <w:lang w:eastAsia="pl-PL"/>
              </w:rPr>
            </w:pPr>
            <w:r>
              <w:rPr>
                <w:rFonts w:ascii="Calibri" w:hAnsi="Calibri"/>
              </w:rPr>
              <w:t>3 024</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1EC68605" w14:textId="77777777" w:rsidR="00735920" w:rsidRPr="0014077F" w:rsidRDefault="00735920" w:rsidP="00735920">
            <w:pPr>
              <w:spacing w:after="0" w:line="240" w:lineRule="auto"/>
              <w:jc w:val="right"/>
              <w:rPr>
                <w:rFonts w:ascii="Calibri" w:eastAsia="Times New Roman" w:hAnsi="Calibri" w:cs="Times New Roman"/>
                <w:lang w:eastAsia="pl-PL"/>
              </w:rPr>
            </w:pPr>
            <w:r w:rsidRPr="0014077F">
              <w:rPr>
                <w:rFonts w:ascii="Calibri" w:eastAsia="Times New Roman" w:hAnsi="Calibri" w:cs="Times New Roman"/>
                <w:lang w:eastAsia="pl-PL"/>
              </w:rPr>
              <w:t>2 315</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41103765" w14:textId="569451C0" w:rsidR="00735920" w:rsidRPr="0014077F" w:rsidRDefault="00735920" w:rsidP="00735920">
            <w:pPr>
              <w:spacing w:after="0" w:line="240" w:lineRule="auto"/>
              <w:jc w:val="right"/>
              <w:rPr>
                <w:rFonts w:ascii="Calibri" w:eastAsia="Times New Roman" w:hAnsi="Calibri" w:cs="Times New Roman"/>
                <w:lang w:eastAsia="pl-PL"/>
              </w:rPr>
            </w:pPr>
            <w:r>
              <w:rPr>
                <w:rFonts w:ascii="Calibri" w:hAnsi="Calibri"/>
              </w:rPr>
              <w:t>828</w:t>
            </w:r>
          </w:p>
        </w:tc>
      </w:tr>
      <w:tr w:rsidR="00735920" w:rsidRPr="0014077F" w14:paraId="2EA625A8" w14:textId="77777777" w:rsidTr="008428CE">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52C1582" w14:textId="77777777" w:rsidR="00735920" w:rsidRPr="0014077F" w:rsidRDefault="00735920" w:rsidP="00735920">
            <w:pPr>
              <w:spacing w:after="0" w:line="240" w:lineRule="auto"/>
              <w:rPr>
                <w:rFonts w:ascii="Calibri" w:eastAsia="Times New Roman" w:hAnsi="Calibri" w:cs="Times New Roman"/>
                <w:lang w:eastAsia="pl-PL"/>
              </w:rPr>
            </w:pPr>
            <w:r w:rsidRPr="0014077F">
              <w:rPr>
                <w:rFonts w:ascii="Calibri" w:eastAsia="Times New Roman" w:hAnsi="Calibri" w:cs="Times New Roman"/>
                <w:lang w:eastAsia="pl-PL"/>
              </w:rPr>
              <w:t>Kielce</w:t>
            </w:r>
          </w:p>
        </w:tc>
        <w:tc>
          <w:tcPr>
            <w:tcW w:w="1259" w:type="dxa"/>
            <w:tcBorders>
              <w:top w:val="nil"/>
              <w:left w:val="nil"/>
              <w:bottom w:val="single" w:sz="4" w:space="0" w:color="auto"/>
              <w:right w:val="single" w:sz="4" w:space="0" w:color="auto"/>
            </w:tcBorders>
            <w:shd w:val="clear" w:color="auto" w:fill="auto"/>
            <w:noWrap/>
            <w:vAlign w:val="bottom"/>
            <w:hideMark/>
          </w:tcPr>
          <w:p w14:paraId="7741E5E1" w14:textId="77777777" w:rsidR="00735920" w:rsidRPr="0014077F" w:rsidRDefault="00735920" w:rsidP="00735920">
            <w:pPr>
              <w:spacing w:after="0" w:line="240" w:lineRule="auto"/>
              <w:jc w:val="right"/>
              <w:rPr>
                <w:rFonts w:ascii="Calibri" w:eastAsia="Times New Roman" w:hAnsi="Calibri" w:cs="Times New Roman"/>
                <w:lang w:eastAsia="pl-PL"/>
              </w:rPr>
            </w:pPr>
            <w:r w:rsidRPr="0014077F">
              <w:rPr>
                <w:rFonts w:ascii="Calibri" w:eastAsia="Times New Roman" w:hAnsi="Calibri" w:cs="Times New Roman"/>
                <w:lang w:eastAsia="pl-PL"/>
              </w:rPr>
              <w:t>12 167</w:t>
            </w:r>
          </w:p>
        </w:tc>
        <w:tc>
          <w:tcPr>
            <w:tcW w:w="1276" w:type="dxa"/>
            <w:tcBorders>
              <w:top w:val="nil"/>
              <w:left w:val="nil"/>
              <w:bottom w:val="single" w:sz="4" w:space="0" w:color="auto"/>
              <w:right w:val="single" w:sz="4" w:space="0" w:color="auto"/>
            </w:tcBorders>
            <w:shd w:val="clear" w:color="auto" w:fill="auto"/>
            <w:noWrap/>
            <w:vAlign w:val="bottom"/>
            <w:hideMark/>
          </w:tcPr>
          <w:p w14:paraId="361CD7C8" w14:textId="4EC7F727" w:rsidR="00735920" w:rsidRPr="0014077F" w:rsidRDefault="00735920" w:rsidP="00735920">
            <w:pPr>
              <w:spacing w:after="0" w:line="240" w:lineRule="auto"/>
              <w:jc w:val="right"/>
              <w:rPr>
                <w:rFonts w:ascii="Calibri" w:eastAsia="Times New Roman" w:hAnsi="Calibri" w:cs="Times New Roman"/>
                <w:lang w:eastAsia="pl-PL"/>
              </w:rPr>
            </w:pPr>
            <w:r>
              <w:rPr>
                <w:rFonts w:ascii="Calibri" w:hAnsi="Calibri"/>
              </w:rPr>
              <w:t>6 092</w:t>
            </w:r>
          </w:p>
        </w:tc>
        <w:tc>
          <w:tcPr>
            <w:tcW w:w="1417" w:type="dxa"/>
            <w:tcBorders>
              <w:top w:val="nil"/>
              <w:left w:val="nil"/>
              <w:bottom w:val="single" w:sz="4" w:space="0" w:color="auto"/>
              <w:right w:val="single" w:sz="4" w:space="0" w:color="auto"/>
            </w:tcBorders>
            <w:shd w:val="clear" w:color="auto" w:fill="auto"/>
            <w:noWrap/>
            <w:vAlign w:val="bottom"/>
            <w:hideMark/>
          </w:tcPr>
          <w:p w14:paraId="0B8EF4FE" w14:textId="77777777" w:rsidR="00735920" w:rsidRPr="0014077F" w:rsidRDefault="00735920" w:rsidP="00735920">
            <w:pPr>
              <w:spacing w:after="0" w:line="240" w:lineRule="auto"/>
              <w:jc w:val="right"/>
              <w:rPr>
                <w:rFonts w:ascii="Calibri" w:eastAsia="Times New Roman" w:hAnsi="Calibri" w:cs="Times New Roman"/>
                <w:lang w:eastAsia="pl-PL"/>
              </w:rPr>
            </w:pPr>
            <w:r w:rsidRPr="0014077F">
              <w:rPr>
                <w:rFonts w:ascii="Calibri" w:eastAsia="Times New Roman" w:hAnsi="Calibri" w:cs="Times New Roman"/>
                <w:lang w:eastAsia="pl-PL"/>
              </w:rPr>
              <w:t>4 738</w:t>
            </w:r>
          </w:p>
        </w:tc>
        <w:tc>
          <w:tcPr>
            <w:tcW w:w="1276" w:type="dxa"/>
            <w:tcBorders>
              <w:top w:val="nil"/>
              <w:left w:val="nil"/>
              <w:bottom w:val="single" w:sz="4" w:space="0" w:color="auto"/>
              <w:right w:val="single" w:sz="4" w:space="0" w:color="auto"/>
            </w:tcBorders>
            <w:shd w:val="clear" w:color="auto" w:fill="auto"/>
            <w:noWrap/>
            <w:vAlign w:val="bottom"/>
            <w:hideMark/>
          </w:tcPr>
          <w:p w14:paraId="065965E1" w14:textId="1324EB9D" w:rsidR="00735920" w:rsidRPr="0014077F" w:rsidRDefault="00735920" w:rsidP="00735920">
            <w:pPr>
              <w:spacing w:after="0" w:line="240" w:lineRule="auto"/>
              <w:jc w:val="right"/>
              <w:rPr>
                <w:rFonts w:ascii="Calibri" w:eastAsia="Times New Roman" w:hAnsi="Calibri" w:cs="Times New Roman"/>
                <w:lang w:eastAsia="pl-PL"/>
              </w:rPr>
            </w:pPr>
            <w:r>
              <w:rPr>
                <w:rFonts w:ascii="Calibri" w:hAnsi="Calibri"/>
              </w:rPr>
              <w:t>2 736</w:t>
            </w:r>
          </w:p>
        </w:tc>
      </w:tr>
      <w:tr w:rsidR="00735920" w:rsidRPr="0014077F" w14:paraId="1E51C0BC" w14:textId="77777777" w:rsidTr="008428CE">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6FF6B5C" w14:textId="77777777" w:rsidR="00735920" w:rsidRPr="0014077F" w:rsidRDefault="00735920" w:rsidP="00735920">
            <w:pPr>
              <w:spacing w:after="0" w:line="240" w:lineRule="auto"/>
              <w:rPr>
                <w:rFonts w:ascii="Calibri" w:eastAsia="Times New Roman" w:hAnsi="Calibri" w:cs="Times New Roman"/>
                <w:lang w:eastAsia="pl-PL"/>
              </w:rPr>
            </w:pPr>
            <w:r w:rsidRPr="0014077F">
              <w:rPr>
                <w:rFonts w:ascii="Calibri" w:eastAsia="Times New Roman" w:hAnsi="Calibri" w:cs="Times New Roman"/>
                <w:lang w:eastAsia="pl-PL"/>
              </w:rPr>
              <w:t>Białystok</w:t>
            </w:r>
          </w:p>
        </w:tc>
        <w:tc>
          <w:tcPr>
            <w:tcW w:w="1259" w:type="dxa"/>
            <w:tcBorders>
              <w:top w:val="nil"/>
              <w:left w:val="nil"/>
              <w:bottom w:val="single" w:sz="4" w:space="0" w:color="auto"/>
              <w:right w:val="single" w:sz="4" w:space="0" w:color="auto"/>
            </w:tcBorders>
            <w:shd w:val="clear" w:color="auto" w:fill="auto"/>
            <w:noWrap/>
            <w:vAlign w:val="bottom"/>
            <w:hideMark/>
          </w:tcPr>
          <w:p w14:paraId="7FC66D47" w14:textId="77777777" w:rsidR="00735920" w:rsidRPr="0014077F" w:rsidRDefault="00735920" w:rsidP="00735920">
            <w:pPr>
              <w:spacing w:after="0" w:line="240" w:lineRule="auto"/>
              <w:jc w:val="right"/>
              <w:rPr>
                <w:rFonts w:ascii="Calibri" w:eastAsia="Times New Roman" w:hAnsi="Calibri" w:cs="Times New Roman"/>
                <w:lang w:eastAsia="pl-PL"/>
              </w:rPr>
            </w:pPr>
            <w:r w:rsidRPr="0014077F">
              <w:rPr>
                <w:rFonts w:ascii="Calibri" w:eastAsia="Times New Roman" w:hAnsi="Calibri" w:cs="Times New Roman"/>
                <w:lang w:eastAsia="pl-PL"/>
              </w:rPr>
              <w:t>17 234</w:t>
            </w:r>
          </w:p>
        </w:tc>
        <w:tc>
          <w:tcPr>
            <w:tcW w:w="1276" w:type="dxa"/>
            <w:tcBorders>
              <w:top w:val="nil"/>
              <w:left w:val="nil"/>
              <w:bottom w:val="single" w:sz="4" w:space="0" w:color="auto"/>
              <w:right w:val="single" w:sz="4" w:space="0" w:color="auto"/>
            </w:tcBorders>
            <w:shd w:val="clear" w:color="auto" w:fill="auto"/>
            <w:noWrap/>
            <w:vAlign w:val="bottom"/>
            <w:hideMark/>
          </w:tcPr>
          <w:p w14:paraId="7A5B3A38" w14:textId="7F34D9A6" w:rsidR="00735920" w:rsidRPr="0014077F" w:rsidRDefault="00735920" w:rsidP="00735920">
            <w:pPr>
              <w:spacing w:after="0" w:line="240" w:lineRule="auto"/>
              <w:jc w:val="right"/>
              <w:rPr>
                <w:rFonts w:ascii="Calibri" w:eastAsia="Times New Roman" w:hAnsi="Calibri" w:cs="Times New Roman"/>
                <w:lang w:eastAsia="pl-PL"/>
              </w:rPr>
            </w:pPr>
            <w:r>
              <w:rPr>
                <w:rFonts w:ascii="Calibri" w:hAnsi="Calibri"/>
              </w:rPr>
              <w:t>9 110</w:t>
            </w:r>
          </w:p>
        </w:tc>
        <w:tc>
          <w:tcPr>
            <w:tcW w:w="1417" w:type="dxa"/>
            <w:tcBorders>
              <w:top w:val="nil"/>
              <w:left w:val="nil"/>
              <w:bottom w:val="single" w:sz="4" w:space="0" w:color="auto"/>
              <w:right w:val="single" w:sz="4" w:space="0" w:color="auto"/>
            </w:tcBorders>
            <w:shd w:val="clear" w:color="auto" w:fill="auto"/>
            <w:noWrap/>
            <w:vAlign w:val="bottom"/>
            <w:hideMark/>
          </w:tcPr>
          <w:p w14:paraId="18D5793F" w14:textId="77777777" w:rsidR="00735920" w:rsidRPr="0014077F" w:rsidRDefault="00735920" w:rsidP="00735920">
            <w:pPr>
              <w:spacing w:after="0" w:line="240" w:lineRule="auto"/>
              <w:jc w:val="right"/>
              <w:rPr>
                <w:rFonts w:ascii="Calibri" w:eastAsia="Times New Roman" w:hAnsi="Calibri" w:cs="Times New Roman"/>
                <w:lang w:eastAsia="pl-PL"/>
              </w:rPr>
            </w:pPr>
            <w:r w:rsidRPr="0014077F">
              <w:rPr>
                <w:rFonts w:ascii="Calibri" w:eastAsia="Times New Roman" w:hAnsi="Calibri" w:cs="Times New Roman"/>
                <w:lang w:eastAsia="pl-PL"/>
              </w:rPr>
              <w:t>7 677</w:t>
            </w:r>
          </w:p>
        </w:tc>
        <w:tc>
          <w:tcPr>
            <w:tcW w:w="1276" w:type="dxa"/>
            <w:tcBorders>
              <w:top w:val="nil"/>
              <w:left w:val="nil"/>
              <w:bottom w:val="single" w:sz="4" w:space="0" w:color="auto"/>
              <w:right w:val="single" w:sz="4" w:space="0" w:color="auto"/>
            </w:tcBorders>
            <w:shd w:val="clear" w:color="auto" w:fill="auto"/>
            <w:noWrap/>
            <w:vAlign w:val="bottom"/>
            <w:hideMark/>
          </w:tcPr>
          <w:p w14:paraId="509925F3" w14:textId="764A094B" w:rsidR="00735920" w:rsidRPr="0014077F" w:rsidRDefault="00735920" w:rsidP="00735920">
            <w:pPr>
              <w:spacing w:after="0" w:line="240" w:lineRule="auto"/>
              <w:jc w:val="right"/>
              <w:rPr>
                <w:rFonts w:ascii="Calibri" w:eastAsia="Times New Roman" w:hAnsi="Calibri" w:cs="Times New Roman"/>
                <w:lang w:eastAsia="pl-PL"/>
              </w:rPr>
            </w:pPr>
            <w:r>
              <w:rPr>
                <w:rFonts w:ascii="Calibri" w:hAnsi="Calibri"/>
              </w:rPr>
              <w:t>3 852</w:t>
            </w:r>
          </w:p>
        </w:tc>
      </w:tr>
      <w:tr w:rsidR="00735920" w:rsidRPr="0014077F" w14:paraId="7965B9E0" w14:textId="77777777" w:rsidTr="008428CE">
        <w:trPr>
          <w:trHeight w:val="300"/>
          <w:jc w:val="center"/>
        </w:trPr>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5B9D86" w14:textId="77777777" w:rsidR="00735920" w:rsidRPr="0014077F" w:rsidRDefault="00735920" w:rsidP="00735920">
            <w:pPr>
              <w:spacing w:after="0" w:line="240" w:lineRule="auto"/>
              <w:rPr>
                <w:rFonts w:ascii="Calibri" w:eastAsia="Times New Roman" w:hAnsi="Calibri" w:cs="Times New Roman"/>
                <w:lang w:eastAsia="pl-PL"/>
              </w:rPr>
            </w:pPr>
            <w:r w:rsidRPr="0014077F">
              <w:rPr>
                <w:rFonts w:ascii="Calibri" w:eastAsia="Times New Roman" w:hAnsi="Calibri" w:cs="Times New Roman"/>
                <w:lang w:eastAsia="pl-PL"/>
              </w:rPr>
              <w:t>Rzeszów</w:t>
            </w:r>
          </w:p>
        </w:tc>
        <w:tc>
          <w:tcPr>
            <w:tcW w:w="12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B7047B" w14:textId="77777777" w:rsidR="00735920" w:rsidRPr="0014077F" w:rsidRDefault="00735920" w:rsidP="00735920">
            <w:pPr>
              <w:spacing w:after="0" w:line="240" w:lineRule="auto"/>
              <w:jc w:val="right"/>
              <w:rPr>
                <w:rFonts w:ascii="Calibri" w:eastAsia="Times New Roman" w:hAnsi="Calibri" w:cs="Times New Roman"/>
                <w:lang w:eastAsia="pl-PL"/>
              </w:rPr>
            </w:pPr>
            <w:r w:rsidRPr="0014077F">
              <w:rPr>
                <w:rFonts w:ascii="Calibri" w:eastAsia="Times New Roman" w:hAnsi="Calibri" w:cs="Times New Roman"/>
                <w:lang w:eastAsia="pl-PL"/>
              </w:rPr>
              <w:t>9 380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33C49D" w14:textId="6473FB59" w:rsidR="00735920" w:rsidRPr="0014077F" w:rsidRDefault="00735920" w:rsidP="00735920">
            <w:pPr>
              <w:spacing w:after="0" w:line="240" w:lineRule="auto"/>
              <w:jc w:val="right"/>
              <w:rPr>
                <w:rFonts w:ascii="Calibri" w:eastAsia="Times New Roman" w:hAnsi="Calibri" w:cs="Times New Roman"/>
                <w:lang w:eastAsia="pl-PL"/>
              </w:rPr>
            </w:pPr>
            <w:r>
              <w:rPr>
                <w:rFonts w:ascii="Calibri" w:hAnsi="Calibri"/>
              </w:rPr>
              <w:t>7 419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0AA476" w14:textId="77777777" w:rsidR="00735920" w:rsidRPr="0014077F" w:rsidRDefault="00735920" w:rsidP="00735920">
            <w:pPr>
              <w:spacing w:after="0" w:line="240" w:lineRule="auto"/>
              <w:jc w:val="right"/>
              <w:rPr>
                <w:rFonts w:ascii="Calibri" w:eastAsia="Times New Roman" w:hAnsi="Calibri" w:cs="Times New Roman"/>
                <w:lang w:eastAsia="pl-PL"/>
              </w:rPr>
            </w:pPr>
            <w:r w:rsidRPr="0014077F">
              <w:rPr>
                <w:rFonts w:ascii="Calibri" w:eastAsia="Times New Roman" w:hAnsi="Calibri" w:cs="Times New Roman"/>
                <w:lang w:eastAsia="pl-PL"/>
              </w:rPr>
              <w:t>4 062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540C38" w14:textId="4AE0119C" w:rsidR="00735920" w:rsidRPr="0014077F" w:rsidRDefault="00735920" w:rsidP="00735920">
            <w:pPr>
              <w:spacing w:after="0" w:line="240" w:lineRule="auto"/>
              <w:jc w:val="right"/>
              <w:rPr>
                <w:rFonts w:ascii="Calibri" w:eastAsia="Times New Roman" w:hAnsi="Calibri" w:cs="Times New Roman"/>
                <w:lang w:eastAsia="pl-PL"/>
              </w:rPr>
            </w:pPr>
            <w:r>
              <w:rPr>
                <w:rFonts w:ascii="Calibri" w:hAnsi="Calibri"/>
              </w:rPr>
              <w:t>3 849</w:t>
            </w:r>
          </w:p>
        </w:tc>
      </w:tr>
      <w:tr w:rsidR="00735920" w:rsidRPr="0014077F" w14:paraId="1927255B" w14:textId="77777777" w:rsidTr="008428CE">
        <w:trPr>
          <w:trHeight w:val="300"/>
          <w:jc w:val="center"/>
        </w:trPr>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98B831" w14:textId="77777777" w:rsidR="00735920" w:rsidRPr="0014077F" w:rsidRDefault="00735920" w:rsidP="00735920">
            <w:pPr>
              <w:spacing w:after="0" w:line="240" w:lineRule="auto"/>
              <w:rPr>
                <w:rFonts w:ascii="Calibri" w:eastAsia="Times New Roman" w:hAnsi="Calibri" w:cs="Times New Roman"/>
                <w:lang w:eastAsia="pl-PL"/>
              </w:rPr>
            </w:pPr>
            <w:r>
              <w:rPr>
                <w:rFonts w:ascii="Calibri" w:eastAsia="Times New Roman" w:hAnsi="Calibri" w:cs="Times New Roman"/>
                <w:lang w:eastAsia="pl-PL"/>
              </w:rPr>
              <w:t>Lublin</w:t>
            </w:r>
          </w:p>
        </w:tc>
        <w:tc>
          <w:tcPr>
            <w:tcW w:w="12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DF0658" w14:textId="77777777" w:rsidR="00735920" w:rsidRPr="0014077F" w:rsidRDefault="00735920" w:rsidP="00735920">
            <w:pPr>
              <w:spacing w:after="0" w:line="240" w:lineRule="auto"/>
              <w:jc w:val="right"/>
              <w:rPr>
                <w:rFonts w:ascii="Calibri" w:eastAsia="Times New Roman" w:hAnsi="Calibri" w:cs="Times New Roman"/>
                <w:lang w:eastAsia="pl-PL"/>
              </w:rPr>
            </w:pPr>
            <w:r>
              <w:rPr>
                <w:rFonts w:ascii="Calibri" w:eastAsia="Times New Roman" w:hAnsi="Calibri" w:cs="Times New Roman"/>
                <w:lang w:eastAsia="pl-PL"/>
              </w:rPr>
              <w:t>17422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032FF1" w14:textId="1F1DDE3B" w:rsidR="00735920" w:rsidRPr="0014077F" w:rsidRDefault="00735920" w:rsidP="00735920">
            <w:pPr>
              <w:spacing w:after="0" w:line="240" w:lineRule="auto"/>
              <w:jc w:val="right"/>
              <w:rPr>
                <w:rFonts w:ascii="Calibri" w:eastAsia="Times New Roman" w:hAnsi="Calibri" w:cs="Times New Roman"/>
                <w:lang w:eastAsia="pl-PL"/>
              </w:rPr>
            </w:pPr>
            <w:r>
              <w:rPr>
                <w:rFonts w:ascii="Calibri" w:hAnsi="Calibri"/>
              </w:rPr>
              <w:t>10 270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52FF73" w14:textId="5A129849" w:rsidR="00735920" w:rsidRPr="0014077F" w:rsidRDefault="00735920" w:rsidP="00735920">
            <w:pPr>
              <w:spacing w:after="0" w:line="240" w:lineRule="auto"/>
              <w:jc w:val="right"/>
              <w:rPr>
                <w:rFonts w:ascii="Calibri" w:eastAsia="Times New Roman" w:hAnsi="Calibri" w:cs="Times New Roman"/>
                <w:lang w:eastAsia="pl-PL"/>
              </w:rPr>
            </w:pPr>
            <w:r>
              <w:rPr>
                <w:rFonts w:ascii="Calibri" w:eastAsia="Times New Roman" w:hAnsi="Calibri" w:cs="Times New Roman"/>
                <w:lang w:eastAsia="pl-PL"/>
              </w:rPr>
              <w:t>8 103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1EC2E2" w14:textId="408799EC" w:rsidR="00735920" w:rsidRPr="0014077F" w:rsidRDefault="00735920" w:rsidP="00735920">
            <w:pPr>
              <w:spacing w:after="0" w:line="240" w:lineRule="auto"/>
              <w:jc w:val="right"/>
              <w:rPr>
                <w:rFonts w:ascii="Calibri" w:eastAsia="Times New Roman" w:hAnsi="Calibri" w:cs="Times New Roman"/>
                <w:lang w:eastAsia="pl-PL"/>
              </w:rPr>
            </w:pPr>
            <w:r>
              <w:rPr>
                <w:rFonts w:ascii="Calibri" w:hAnsi="Calibri"/>
              </w:rPr>
              <w:t>4 703</w:t>
            </w:r>
          </w:p>
        </w:tc>
      </w:tr>
    </w:tbl>
    <w:p w14:paraId="0DD0D1F4" w14:textId="77777777" w:rsidR="00A077A5" w:rsidRDefault="00A077A5" w:rsidP="00A077A5">
      <w:pPr>
        <w:jc w:val="center"/>
      </w:pPr>
      <w:r w:rsidRPr="0091031D">
        <w:rPr>
          <w:i/>
          <w:sz w:val="20"/>
          <w:szCs w:val="20"/>
        </w:rPr>
        <w:t>źródło: opracowanie własne na podstawie danych GUS</w:t>
      </w:r>
    </w:p>
    <w:p w14:paraId="3E83DB3E" w14:textId="50E5ECBF" w:rsidR="00F95D2D" w:rsidRDefault="00F95D2D" w:rsidP="00E709A7">
      <w:pPr>
        <w:jc w:val="both"/>
      </w:pPr>
      <w:r>
        <w:t>Miasto Olsztyn korzystnie wyróżnia się na tle pozostałych, analiz</w:t>
      </w:r>
      <w:r w:rsidR="00E709A7">
        <w:t>owanych miast Polski Wschodniej</w:t>
      </w:r>
      <w:r w:rsidR="0028719B">
        <w:t xml:space="preserve"> </w:t>
      </w:r>
      <w:r w:rsidR="004A03C5">
        <w:t xml:space="preserve">pod względem </w:t>
      </w:r>
      <w:r w:rsidR="0028719B">
        <w:t>wskaźnik</w:t>
      </w:r>
      <w:r w:rsidR="004A03C5">
        <w:t>a</w:t>
      </w:r>
      <w:r w:rsidR="0028719B">
        <w:t xml:space="preserve"> stopy bezrobocia</w:t>
      </w:r>
      <w:r w:rsidR="008C594A">
        <w:t xml:space="preserve"> rejestrowanego</w:t>
      </w:r>
      <w:r w:rsidR="004A03C5">
        <w:t>, który</w:t>
      </w:r>
      <w:r w:rsidR="0028719B">
        <w:t xml:space="preserve"> na koniec roku 20</w:t>
      </w:r>
      <w:r w:rsidR="008C594A">
        <w:t>20</w:t>
      </w:r>
      <w:r w:rsidR="0028719B">
        <w:t xml:space="preserve"> był najniższy </w:t>
      </w:r>
      <w:r w:rsidR="008C594A">
        <w:br/>
      </w:r>
      <w:r w:rsidR="0028719B">
        <w:t xml:space="preserve">i wyniósł </w:t>
      </w:r>
      <w:r w:rsidR="008C594A">
        <w:t>3,4</w:t>
      </w:r>
      <w:r w:rsidR="0028719B">
        <w:t>%</w:t>
      </w:r>
      <w:r w:rsidR="003A099E">
        <w:t xml:space="preserve"> (spadek o 5,</w:t>
      </w:r>
      <w:r w:rsidR="008C594A">
        <w:t>0</w:t>
      </w:r>
      <w:r w:rsidR="003A099E">
        <w:t>% w stosunku do roku 2013)</w:t>
      </w:r>
      <w:r w:rsidR="0028719B">
        <w:t xml:space="preserve">. </w:t>
      </w:r>
      <w:r w:rsidR="003A099E">
        <w:t>W latach 2013-2019 t</w:t>
      </w:r>
      <w:r w:rsidR="0028719B">
        <w:t>rend spadkowy</w:t>
      </w:r>
      <w:r w:rsidR="003A099E">
        <w:t xml:space="preserve"> stopy bezrobocia rejestrowanego </w:t>
      </w:r>
      <w:r w:rsidR="0028719B">
        <w:t>był również widoczny w pozostałych omawianych ośrodkach</w:t>
      </w:r>
      <w:r w:rsidR="003A099E">
        <w:t xml:space="preserve"> - </w:t>
      </w:r>
      <w:r w:rsidR="008C594A">
        <w:br/>
      </w:r>
      <w:r w:rsidR="003A099E">
        <w:t xml:space="preserve">w Białymstoku mniej </w:t>
      </w:r>
      <w:r w:rsidR="008C594A">
        <w:t>o 6,9</w:t>
      </w:r>
      <w:r w:rsidR="003A099E">
        <w:t xml:space="preserve">%, w </w:t>
      </w:r>
      <w:r w:rsidR="008C594A">
        <w:t xml:space="preserve">Rzeszowie – mniej o 5,7% oraz w </w:t>
      </w:r>
      <w:r w:rsidR="003A099E">
        <w:t xml:space="preserve">Kielcach </w:t>
      </w:r>
      <w:r w:rsidR="008C594A">
        <w:t xml:space="preserve">i Lublinie </w:t>
      </w:r>
      <w:r w:rsidR="003A099E">
        <w:t xml:space="preserve">– mniej o </w:t>
      </w:r>
      <w:r w:rsidR="008C594A">
        <w:t xml:space="preserve">5,6% </w:t>
      </w:r>
      <w:r w:rsidR="003A099E">
        <w:t xml:space="preserve">(porównując </w:t>
      </w:r>
      <w:r w:rsidR="0028719B">
        <w:t>rok</w:t>
      </w:r>
      <w:r w:rsidR="003A099E">
        <w:t xml:space="preserve"> 20</w:t>
      </w:r>
      <w:r w:rsidR="008C594A">
        <w:t>20</w:t>
      </w:r>
      <w:r w:rsidR="003A099E">
        <w:t xml:space="preserve"> w stosunku do roku 2013).</w:t>
      </w:r>
    </w:p>
    <w:p w14:paraId="3B136330" w14:textId="77777777" w:rsidR="002F2BC1" w:rsidRDefault="002F2BC1" w:rsidP="002F2BC1">
      <w:pPr>
        <w:pStyle w:val="Legenda"/>
        <w:rPr>
          <w:sz w:val="22"/>
          <w:szCs w:val="22"/>
        </w:rPr>
      </w:pPr>
    </w:p>
    <w:p w14:paraId="56B7D915" w14:textId="68491C0D" w:rsidR="004309DF" w:rsidRDefault="002F2BC1" w:rsidP="004309DF">
      <w:pPr>
        <w:pStyle w:val="Legenda"/>
        <w:rPr>
          <w:bCs/>
          <w:color w:val="000000" w:themeColor="text1"/>
          <w:sz w:val="22"/>
          <w:szCs w:val="22"/>
          <w:lang w:val="en-US"/>
        </w:rPr>
      </w:pPr>
      <w:bookmarkStart w:id="31" w:name="_Toc73516077"/>
      <w:r w:rsidRPr="002F2889">
        <w:rPr>
          <w:color w:val="000000" w:themeColor="text1"/>
          <w:sz w:val="22"/>
          <w:szCs w:val="22"/>
        </w:rPr>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15</w:t>
      </w:r>
      <w:r w:rsidRPr="002F2889">
        <w:rPr>
          <w:color w:val="000000" w:themeColor="text1"/>
          <w:sz w:val="22"/>
          <w:szCs w:val="22"/>
        </w:rPr>
        <w:fldChar w:fldCharType="end"/>
      </w:r>
      <w:r w:rsidRPr="002F2889">
        <w:rPr>
          <w:color w:val="000000" w:themeColor="text1"/>
          <w:sz w:val="22"/>
          <w:szCs w:val="22"/>
        </w:rPr>
        <w:t xml:space="preserve">. </w:t>
      </w:r>
      <w:r w:rsidRPr="002F2889">
        <w:rPr>
          <w:bCs/>
          <w:color w:val="000000" w:themeColor="text1"/>
          <w:sz w:val="22"/>
          <w:szCs w:val="22"/>
          <w:lang w:val="en-US"/>
        </w:rPr>
        <w:t xml:space="preserve">Stopa bezrobocia rejestrowanego w </w:t>
      </w:r>
      <w:r w:rsidRPr="002F2889">
        <w:rPr>
          <w:bCs/>
          <w:color w:val="000000" w:themeColor="text1"/>
          <w:sz w:val="22"/>
          <w:szCs w:val="22"/>
          <w:lang w:val="pl-PL"/>
        </w:rPr>
        <w:t>latach 2013-20</w:t>
      </w:r>
      <w:r w:rsidR="00474589">
        <w:rPr>
          <w:bCs/>
          <w:color w:val="000000" w:themeColor="text1"/>
          <w:sz w:val="22"/>
          <w:szCs w:val="22"/>
          <w:lang w:val="pl-PL"/>
        </w:rPr>
        <w:t>20</w:t>
      </w:r>
      <w:r w:rsidRPr="002F2889">
        <w:rPr>
          <w:bCs/>
          <w:color w:val="000000" w:themeColor="text1"/>
          <w:sz w:val="22"/>
          <w:szCs w:val="22"/>
          <w:lang w:val="en-US"/>
        </w:rPr>
        <w:t xml:space="preserve"> (%)</w:t>
      </w:r>
      <w:bookmarkEnd w:id="31"/>
    </w:p>
    <w:p w14:paraId="0F0444D7" w14:textId="63E76F0D" w:rsidR="009B28F0" w:rsidRPr="006D25BC" w:rsidRDefault="00474589" w:rsidP="006D25BC">
      <w:pPr>
        <w:pStyle w:val="Legenda"/>
        <w:spacing w:before="0" w:after="0"/>
        <w:jc w:val="center"/>
        <w:rPr>
          <w:bCs/>
          <w:color w:val="000000" w:themeColor="text1"/>
          <w:sz w:val="22"/>
          <w:szCs w:val="22"/>
          <w:lang w:val="en-US"/>
        </w:rPr>
      </w:pPr>
      <w:r>
        <w:rPr>
          <w:noProof/>
          <w:lang w:val="pl-PL" w:eastAsia="pl-PL"/>
        </w:rPr>
        <w:drawing>
          <wp:inline distT="0" distB="0" distL="0" distR="0" wp14:anchorId="72A09192" wp14:editId="0190415D">
            <wp:extent cx="4724400" cy="2867025"/>
            <wp:effectExtent l="0" t="0" r="0" b="9525"/>
            <wp:docPr id="184" name="Wykres 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1D19ED5" w14:textId="77777777" w:rsidR="00A077A5" w:rsidRDefault="00A077A5" w:rsidP="006D25BC">
      <w:pPr>
        <w:spacing w:after="0"/>
        <w:jc w:val="center"/>
      </w:pPr>
      <w:r w:rsidRPr="0091031D">
        <w:rPr>
          <w:i/>
          <w:sz w:val="20"/>
          <w:szCs w:val="20"/>
        </w:rPr>
        <w:t>źródło: opracowanie własne na podstawie danych GUS</w:t>
      </w:r>
    </w:p>
    <w:p w14:paraId="51C72A18" w14:textId="77777777" w:rsidR="00A077A5" w:rsidRDefault="00A077A5" w:rsidP="00A2294D">
      <w:pPr>
        <w:jc w:val="center"/>
      </w:pPr>
    </w:p>
    <w:p w14:paraId="60A6B6F4" w14:textId="303B0B8A" w:rsidR="009B28F0" w:rsidRDefault="003A099E" w:rsidP="003A099E">
      <w:pPr>
        <w:jc w:val="both"/>
      </w:pPr>
      <w:r>
        <w:lastRenderedPageBreak/>
        <w:t xml:space="preserve">O ile wskaźnik bezrobocia w samym Olsztynie kształtuje się korzystnie, to w jego otoczeniu jest on </w:t>
      </w:r>
      <w:r w:rsidR="0088602D">
        <w:t xml:space="preserve">jednym z </w:t>
      </w:r>
      <w:r w:rsidR="00A73583">
        <w:t>naj</w:t>
      </w:r>
      <w:r>
        <w:t>wyższy</w:t>
      </w:r>
      <w:r w:rsidR="0088602D">
        <w:t>ch</w:t>
      </w:r>
      <w:r>
        <w:t xml:space="preserve"> </w:t>
      </w:r>
      <w:r w:rsidR="00A73583">
        <w:t>spośród powiatów poddanych analizie</w:t>
      </w:r>
      <w:r>
        <w:t xml:space="preserve">. </w:t>
      </w:r>
      <w:r w:rsidR="00B01A40">
        <w:t>W roku 20</w:t>
      </w:r>
      <w:r w:rsidR="00A73583">
        <w:t>20</w:t>
      </w:r>
      <w:r w:rsidR="00B01A40">
        <w:t xml:space="preserve"> stopa bezrobocia rejestrowanego w powiecie olsztyńskim wyniosła </w:t>
      </w:r>
      <w:r w:rsidR="00A73583">
        <w:t>10,4</w:t>
      </w:r>
      <w:r w:rsidR="00B01A40">
        <w:t xml:space="preserve">%. We wszystkich </w:t>
      </w:r>
      <w:r w:rsidR="0088602D">
        <w:t>badanych</w:t>
      </w:r>
      <w:r w:rsidR="00B01A40">
        <w:t xml:space="preserve"> powiatach </w:t>
      </w:r>
      <w:r w:rsidR="0088602D">
        <w:br/>
      </w:r>
      <w:r w:rsidR="00B01A40">
        <w:t xml:space="preserve">w latach 2013-2019 </w:t>
      </w:r>
      <w:r w:rsidR="00A73583">
        <w:t>obserw</w:t>
      </w:r>
      <w:r w:rsidR="0088602D">
        <w:t>uje się</w:t>
      </w:r>
      <w:r w:rsidR="00A73583">
        <w:t xml:space="preserve"> wyraźny </w:t>
      </w:r>
      <w:r w:rsidR="005A5146">
        <w:t>trend spadkowy</w:t>
      </w:r>
      <w:r w:rsidR="00A73583">
        <w:t xml:space="preserve"> </w:t>
      </w:r>
      <w:r w:rsidR="00D32706">
        <w:t>ww.</w:t>
      </w:r>
      <w:r w:rsidR="00A73583">
        <w:t xml:space="preserve"> wskaźnika.</w:t>
      </w:r>
      <w:r w:rsidR="0088602D">
        <w:t xml:space="preserve"> Zmianę </w:t>
      </w:r>
      <w:r w:rsidR="00D32706">
        <w:t xml:space="preserve">tej </w:t>
      </w:r>
      <w:r w:rsidR="0088602D">
        <w:t xml:space="preserve">tendencji  zarejestrowano w roku 2020 </w:t>
      </w:r>
      <w:r w:rsidR="00D32706">
        <w:t xml:space="preserve">w powiatach olsztyńskim, białostockim, rzeszowskim, lubelskim, kiedy to  </w:t>
      </w:r>
      <w:r w:rsidR="0088602D">
        <w:t>nastąpił wzrost stopy bezrobocia w porównaniu do danych za rok 2019.</w:t>
      </w:r>
      <w:r w:rsidR="006B6620">
        <w:t xml:space="preserve"> Jedyn</w:t>
      </w:r>
      <w:r w:rsidR="00D32706">
        <w:t>ym</w:t>
      </w:r>
      <w:r w:rsidR="006B6620">
        <w:t xml:space="preserve"> powi</w:t>
      </w:r>
      <w:r w:rsidR="00D32706">
        <w:t xml:space="preserve">atem, w którym </w:t>
      </w:r>
      <w:r w:rsidR="0088602D">
        <w:t xml:space="preserve">badany </w:t>
      </w:r>
      <w:r w:rsidR="006B6620">
        <w:t xml:space="preserve">wskaźnik </w:t>
      </w:r>
      <w:r w:rsidR="0088602D">
        <w:t>w latac</w:t>
      </w:r>
      <w:r w:rsidR="00D32706">
        <w:t>h 2013-2020 nieprzerwanie spada pozostaje powiat kielecki.</w:t>
      </w:r>
    </w:p>
    <w:p w14:paraId="15EB3F7E" w14:textId="45C78BA9" w:rsidR="0033214C" w:rsidRPr="002F2889" w:rsidRDefault="0033214C" w:rsidP="0033214C">
      <w:pPr>
        <w:pStyle w:val="Legenda"/>
        <w:rPr>
          <w:color w:val="000000" w:themeColor="text1"/>
          <w:sz w:val="22"/>
          <w:szCs w:val="22"/>
          <w:lang w:val="pl-PL"/>
        </w:rPr>
      </w:pPr>
      <w:bookmarkStart w:id="32" w:name="_Toc73516078"/>
      <w:r w:rsidRPr="002F2889">
        <w:rPr>
          <w:color w:val="000000" w:themeColor="text1"/>
          <w:sz w:val="22"/>
          <w:szCs w:val="22"/>
        </w:rPr>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16</w:t>
      </w:r>
      <w:r w:rsidRPr="002F2889">
        <w:rPr>
          <w:color w:val="000000" w:themeColor="text1"/>
          <w:sz w:val="22"/>
          <w:szCs w:val="22"/>
        </w:rPr>
        <w:fldChar w:fldCharType="end"/>
      </w:r>
      <w:r w:rsidRPr="002F2889">
        <w:rPr>
          <w:color w:val="000000" w:themeColor="text1"/>
          <w:sz w:val="22"/>
          <w:szCs w:val="22"/>
        </w:rPr>
        <w:t xml:space="preserve">. </w:t>
      </w:r>
      <w:r w:rsidRPr="002F2889">
        <w:rPr>
          <w:bCs/>
          <w:color w:val="000000" w:themeColor="text1"/>
          <w:sz w:val="22"/>
          <w:szCs w:val="22"/>
          <w:lang w:val="en-US"/>
        </w:rPr>
        <w:t>Stopa bezrobocia rejestrowanego w</w:t>
      </w:r>
      <w:r w:rsidR="003B59F9">
        <w:rPr>
          <w:bCs/>
          <w:color w:val="000000" w:themeColor="text1"/>
          <w:sz w:val="22"/>
          <w:szCs w:val="22"/>
          <w:lang w:val="en-US"/>
        </w:rPr>
        <w:t xml:space="preserve"> wybranych </w:t>
      </w:r>
      <w:r w:rsidRPr="002F2889">
        <w:rPr>
          <w:bCs/>
          <w:color w:val="000000" w:themeColor="text1"/>
          <w:sz w:val="22"/>
          <w:szCs w:val="22"/>
          <w:lang w:val="en-US"/>
        </w:rPr>
        <w:t xml:space="preserve">powiatach </w:t>
      </w:r>
      <w:r w:rsidR="003B59F9">
        <w:rPr>
          <w:bCs/>
          <w:color w:val="000000" w:themeColor="text1"/>
          <w:sz w:val="22"/>
          <w:szCs w:val="22"/>
          <w:lang w:val="en-US"/>
        </w:rPr>
        <w:t xml:space="preserve">Polski Wschodniej </w:t>
      </w:r>
      <w:r w:rsidRPr="002F2889">
        <w:rPr>
          <w:bCs/>
          <w:color w:val="000000" w:themeColor="text1"/>
          <w:sz w:val="22"/>
          <w:szCs w:val="22"/>
          <w:lang w:val="en-US"/>
        </w:rPr>
        <w:t>w latach 2013-20</w:t>
      </w:r>
      <w:r w:rsidR="00474589">
        <w:rPr>
          <w:bCs/>
          <w:color w:val="000000" w:themeColor="text1"/>
          <w:sz w:val="22"/>
          <w:szCs w:val="22"/>
          <w:lang w:val="en-US"/>
        </w:rPr>
        <w:t>20</w:t>
      </w:r>
      <w:r w:rsidRPr="002F2889">
        <w:rPr>
          <w:bCs/>
          <w:color w:val="000000" w:themeColor="text1"/>
          <w:sz w:val="22"/>
          <w:szCs w:val="22"/>
          <w:lang w:val="en-US"/>
        </w:rPr>
        <w:t xml:space="preserve"> (%)</w:t>
      </w:r>
      <w:bookmarkEnd w:id="32"/>
    </w:p>
    <w:p w14:paraId="76C59F7B" w14:textId="2C3D5EC0" w:rsidR="0014077F" w:rsidRDefault="007A55EF" w:rsidP="00953ADD">
      <w:pPr>
        <w:spacing w:after="0"/>
        <w:jc w:val="center"/>
      </w:pPr>
      <w:r>
        <w:rPr>
          <w:noProof/>
          <w:lang w:eastAsia="pl-PL"/>
        </w:rPr>
        <w:drawing>
          <wp:inline distT="0" distB="0" distL="0" distR="0" wp14:anchorId="4968AA04" wp14:editId="6EF3D151">
            <wp:extent cx="5095875" cy="2619375"/>
            <wp:effectExtent l="0" t="0" r="9525" b="9525"/>
            <wp:docPr id="196" name="Wykres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68420A8" w14:textId="77777777" w:rsidR="00A077A5" w:rsidRDefault="00A077A5" w:rsidP="00953ADD">
      <w:pPr>
        <w:spacing w:after="0"/>
        <w:jc w:val="center"/>
      </w:pPr>
      <w:r w:rsidRPr="0091031D">
        <w:rPr>
          <w:i/>
          <w:sz w:val="20"/>
          <w:szCs w:val="20"/>
        </w:rPr>
        <w:t>źródło: opracowanie własne na podstawie danych GUS</w:t>
      </w:r>
    </w:p>
    <w:p w14:paraId="65E580F4" w14:textId="77777777" w:rsidR="00A077A5" w:rsidRDefault="00A077A5" w:rsidP="00A2294D">
      <w:pPr>
        <w:jc w:val="center"/>
      </w:pPr>
    </w:p>
    <w:p w14:paraId="45D326BF" w14:textId="002E1285" w:rsidR="00D36172" w:rsidRDefault="00683985" w:rsidP="00602780">
      <w:pPr>
        <w:jc w:val="both"/>
      </w:pPr>
      <w:r>
        <w:t>Od 2013 roku, w</w:t>
      </w:r>
      <w:r w:rsidR="00E82B6D">
        <w:t>e wszystkich analizowanych miastach Polski Wschodniej liczba niepełnosprawnych zarejestrowanych w urzędzie pracy</w:t>
      </w:r>
      <w:r>
        <w:t xml:space="preserve"> stale</w:t>
      </w:r>
      <w:r w:rsidR="00E82B6D">
        <w:t xml:space="preserve"> </w:t>
      </w:r>
      <w:r>
        <w:t>spada</w:t>
      </w:r>
      <w:r w:rsidR="00A62B93">
        <w:t>. W</w:t>
      </w:r>
      <w:r>
        <w:t xml:space="preserve"> 20</w:t>
      </w:r>
      <w:r w:rsidR="00C83B8F">
        <w:t>20</w:t>
      </w:r>
      <w:r>
        <w:t xml:space="preserve"> roku w Olsztynie </w:t>
      </w:r>
      <w:r w:rsidR="00A62B93">
        <w:t>wyniosła</w:t>
      </w:r>
      <w:r>
        <w:t xml:space="preserve"> </w:t>
      </w:r>
      <w:r w:rsidR="00C83B8F">
        <w:t>285</w:t>
      </w:r>
      <w:r>
        <w:t xml:space="preserve"> osób (spadek </w:t>
      </w:r>
      <w:r w:rsidR="00A62B93">
        <w:br/>
      </w:r>
      <w:r>
        <w:t xml:space="preserve">o </w:t>
      </w:r>
      <w:r w:rsidR="00C83B8F">
        <w:t>387</w:t>
      </w:r>
      <w:r>
        <w:t xml:space="preserve"> os</w:t>
      </w:r>
      <w:r w:rsidR="00C83B8F">
        <w:t>ó</w:t>
      </w:r>
      <w:r>
        <w:t>b w stosunku do roku 2013)</w:t>
      </w:r>
      <w:r w:rsidR="008B0FC8">
        <w:t xml:space="preserve"> i była najniższa spośród badanych ośrodków miejskich </w:t>
      </w:r>
      <w:r w:rsidR="008B0FC8">
        <w:br/>
        <w:t>(w Rzeszowie – 312 os., Kielcach – 510 os.,  Lublinie – 516 os. Oraz w Białymstoku – 682 os.)</w:t>
      </w:r>
      <w:r>
        <w:t xml:space="preserve">. </w:t>
      </w:r>
      <w:r w:rsidR="008B0FC8">
        <w:t xml:space="preserve">Nieco mniej korzystnie przedstawia się odsetek </w:t>
      </w:r>
      <w:r w:rsidR="00D36172">
        <w:t>osób niepełnosprawnych</w:t>
      </w:r>
      <w:r w:rsidR="00D36172" w:rsidRPr="00806B9B">
        <w:t xml:space="preserve"> </w:t>
      </w:r>
      <w:r w:rsidR="00D36172">
        <w:t xml:space="preserve">zarejestrowanych w urzędach pracy w ogólnej liczbie zarejestrowanych bezrobotnych </w:t>
      </w:r>
      <w:r w:rsidR="008B0FC8">
        <w:t xml:space="preserve">w roku 2020 - </w:t>
      </w:r>
      <w:r w:rsidR="00D36172">
        <w:t xml:space="preserve">na terenie województwa warmińsko-mazurskiego (5,9%) nieznacznie przekroczył średnią dla Polski (5,3%). Spośród miast poddanych analizie, wskaźnik ten na terenie m. Olsztyn pozostawał na najwyższym poziomie (9,4%). Warto przy tym zaznaczyć, że </w:t>
      </w:r>
      <w:r w:rsidR="00FB0F0D">
        <w:t xml:space="preserve">był on w Olsztynie niższy o 4,7 p.p. </w:t>
      </w:r>
      <w:r w:rsidR="00D36172">
        <w:t xml:space="preserve">w roku 2020 </w:t>
      </w:r>
      <w:r w:rsidR="00FB0F0D">
        <w:t>w porównaniu do roku 2019.</w:t>
      </w:r>
    </w:p>
    <w:p w14:paraId="59E03F8E" w14:textId="27C54EAB" w:rsidR="0033214C" w:rsidRPr="0033214C" w:rsidRDefault="0033214C" w:rsidP="0033214C">
      <w:pPr>
        <w:pStyle w:val="Legenda"/>
        <w:rPr>
          <w:color w:val="FF0000"/>
          <w:sz w:val="22"/>
          <w:szCs w:val="22"/>
          <w:lang w:val="pl-PL"/>
        </w:rPr>
      </w:pPr>
      <w:bookmarkStart w:id="33" w:name="_Toc73534968"/>
      <w:r w:rsidRPr="009E05A0">
        <w:rPr>
          <w:color w:val="000000" w:themeColor="text1"/>
          <w:sz w:val="22"/>
          <w:szCs w:val="22"/>
        </w:rPr>
        <w:t xml:space="preserve">Tabela </w:t>
      </w:r>
      <w:r w:rsidRPr="009E05A0">
        <w:rPr>
          <w:color w:val="000000" w:themeColor="text1"/>
          <w:sz w:val="22"/>
          <w:szCs w:val="22"/>
        </w:rPr>
        <w:fldChar w:fldCharType="begin"/>
      </w:r>
      <w:r w:rsidRPr="009E05A0">
        <w:rPr>
          <w:color w:val="000000" w:themeColor="text1"/>
          <w:sz w:val="22"/>
          <w:szCs w:val="22"/>
        </w:rPr>
        <w:instrText xml:space="preserve"> SEQ Tabela \* ARABIC </w:instrText>
      </w:r>
      <w:r w:rsidRPr="009E05A0">
        <w:rPr>
          <w:color w:val="000000" w:themeColor="text1"/>
          <w:sz w:val="22"/>
          <w:szCs w:val="22"/>
        </w:rPr>
        <w:fldChar w:fldCharType="separate"/>
      </w:r>
      <w:r w:rsidR="00AD58C3">
        <w:rPr>
          <w:noProof/>
          <w:color w:val="000000" w:themeColor="text1"/>
          <w:sz w:val="22"/>
          <w:szCs w:val="22"/>
        </w:rPr>
        <w:t>5</w:t>
      </w:r>
      <w:r w:rsidRPr="009E05A0">
        <w:rPr>
          <w:color w:val="000000" w:themeColor="text1"/>
          <w:sz w:val="22"/>
          <w:szCs w:val="22"/>
        </w:rPr>
        <w:fldChar w:fldCharType="end"/>
      </w:r>
      <w:r w:rsidRPr="009E05A0">
        <w:rPr>
          <w:color w:val="000000" w:themeColor="text1"/>
          <w:sz w:val="22"/>
          <w:szCs w:val="22"/>
        </w:rPr>
        <w:t xml:space="preserve">. </w:t>
      </w:r>
      <w:r w:rsidRPr="009E05A0">
        <w:rPr>
          <w:rFonts w:eastAsia="Times New Roman" w:cs="Times New Roman"/>
          <w:color w:val="000000" w:themeColor="text1"/>
          <w:sz w:val="22"/>
          <w:szCs w:val="22"/>
          <w:lang w:eastAsia="pl-PL"/>
        </w:rPr>
        <w:t>Niepełnosprawni zarejestrowani w urzędzie pracy (os.) w latach 2013-20</w:t>
      </w:r>
      <w:r w:rsidR="00555744">
        <w:rPr>
          <w:rFonts w:eastAsia="Times New Roman" w:cs="Times New Roman"/>
          <w:color w:val="000000" w:themeColor="text1"/>
          <w:sz w:val="22"/>
          <w:szCs w:val="22"/>
          <w:lang w:eastAsia="pl-PL"/>
        </w:rPr>
        <w:t>20</w:t>
      </w:r>
      <w:bookmarkEnd w:id="33"/>
    </w:p>
    <w:tbl>
      <w:tblPr>
        <w:tblW w:w="8221" w:type="dxa"/>
        <w:jc w:val="center"/>
        <w:tblCellMar>
          <w:left w:w="70" w:type="dxa"/>
          <w:right w:w="70" w:type="dxa"/>
        </w:tblCellMar>
        <w:tblLook w:val="04A0" w:firstRow="1" w:lastRow="0" w:firstColumn="1" w:lastColumn="0" w:noHBand="0" w:noVBand="1"/>
      </w:tblPr>
      <w:tblGrid>
        <w:gridCol w:w="1134"/>
        <w:gridCol w:w="851"/>
        <w:gridCol w:w="992"/>
        <w:gridCol w:w="851"/>
        <w:gridCol w:w="850"/>
        <w:gridCol w:w="851"/>
        <w:gridCol w:w="992"/>
        <w:gridCol w:w="850"/>
        <w:gridCol w:w="850"/>
      </w:tblGrid>
      <w:tr w:rsidR="00555744" w:rsidRPr="00A62B93" w14:paraId="3B553C6E" w14:textId="303E5B1A" w:rsidTr="00555744">
        <w:trPr>
          <w:trHeight w:val="300"/>
          <w:jc w:val="center"/>
        </w:trPr>
        <w:tc>
          <w:tcPr>
            <w:tcW w:w="1134" w:type="dxa"/>
            <w:tcBorders>
              <w:top w:val="nil"/>
              <w:left w:val="nil"/>
              <w:bottom w:val="single" w:sz="4" w:space="0" w:color="auto"/>
              <w:right w:val="nil"/>
            </w:tcBorders>
            <w:shd w:val="clear" w:color="auto" w:fill="auto"/>
            <w:noWrap/>
            <w:vAlign w:val="bottom"/>
            <w:hideMark/>
          </w:tcPr>
          <w:p w14:paraId="55ACB5DE" w14:textId="77777777" w:rsidR="00555744" w:rsidRPr="00A62B93" w:rsidRDefault="00555744" w:rsidP="00A62B93">
            <w:pPr>
              <w:spacing w:after="0" w:line="240" w:lineRule="auto"/>
              <w:jc w:val="center"/>
              <w:rPr>
                <w:rFonts w:ascii="Calibri" w:eastAsia="Times New Roman" w:hAnsi="Calibri" w:cs="Times New Roman"/>
                <w:lang w:eastAsia="pl-PL"/>
              </w:rPr>
            </w:pPr>
          </w:p>
        </w:tc>
        <w:tc>
          <w:tcPr>
            <w:tcW w:w="851"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5DC9E39B" w14:textId="77777777" w:rsidR="00555744" w:rsidRPr="00A62B93" w:rsidRDefault="00555744" w:rsidP="00A62B93">
            <w:pPr>
              <w:spacing w:after="0" w:line="240" w:lineRule="auto"/>
              <w:rPr>
                <w:rFonts w:ascii="Calibri" w:eastAsia="Times New Roman" w:hAnsi="Calibri" w:cs="Times New Roman"/>
                <w:b/>
                <w:color w:val="000000"/>
                <w:lang w:eastAsia="pl-PL"/>
              </w:rPr>
            </w:pPr>
            <w:r w:rsidRPr="00A62B93">
              <w:rPr>
                <w:rFonts w:ascii="Calibri" w:eastAsia="Times New Roman" w:hAnsi="Calibri" w:cs="Times New Roman"/>
                <w:b/>
                <w:color w:val="000000"/>
                <w:lang w:eastAsia="pl-PL"/>
              </w:rPr>
              <w:t>2013</w:t>
            </w:r>
          </w:p>
        </w:tc>
        <w:tc>
          <w:tcPr>
            <w:tcW w:w="992" w:type="dxa"/>
            <w:tcBorders>
              <w:top w:val="single" w:sz="4" w:space="0" w:color="auto"/>
              <w:left w:val="nil"/>
              <w:bottom w:val="single" w:sz="4" w:space="0" w:color="auto"/>
              <w:right w:val="single" w:sz="4" w:space="0" w:color="auto"/>
            </w:tcBorders>
            <w:shd w:val="clear" w:color="auto" w:fill="92D050"/>
            <w:vAlign w:val="center"/>
            <w:hideMark/>
          </w:tcPr>
          <w:p w14:paraId="252DA8F9" w14:textId="77777777" w:rsidR="00555744" w:rsidRPr="00A62B93" w:rsidRDefault="00555744" w:rsidP="00A62B93">
            <w:pPr>
              <w:spacing w:after="0" w:line="240" w:lineRule="auto"/>
              <w:rPr>
                <w:rFonts w:ascii="Calibri" w:eastAsia="Times New Roman" w:hAnsi="Calibri" w:cs="Times New Roman"/>
                <w:b/>
                <w:color w:val="000000"/>
                <w:lang w:eastAsia="pl-PL"/>
              </w:rPr>
            </w:pPr>
            <w:r w:rsidRPr="00A62B93">
              <w:rPr>
                <w:rFonts w:ascii="Calibri" w:eastAsia="Times New Roman" w:hAnsi="Calibri" w:cs="Times New Roman"/>
                <w:b/>
                <w:color w:val="000000"/>
                <w:lang w:eastAsia="pl-PL"/>
              </w:rPr>
              <w:t>2014</w:t>
            </w:r>
          </w:p>
        </w:tc>
        <w:tc>
          <w:tcPr>
            <w:tcW w:w="851" w:type="dxa"/>
            <w:tcBorders>
              <w:top w:val="single" w:sz="4" w:space="0" w:color="auto"/>
              <w:left w:val="nil"/>
              <w:bottom w:val="single" w:sz="4" w:space="0" w:color="auto"/>
              <w:right w:val="single" w:sz="4" w:space="0" w:color="auto"/>
            </w:tcBorders>
            <w:shd w:val="clear" w:color="auto" w:fill="92D050"/>
            <w:vAlign w:val="center"/>
            <w:hideMark/>
          </w:tcPr>
          <w:p w14:paraId="63B80F01" w14:textId="77777777" w:rsidR="00555744" w:rsidRPr="00A62B93" w:rsidRDefault="00555744" w:rsidP="00A62B93">
            <w:pPr>
              <w:spacing w:after="0" w:line="240" w:lineRule="auto"/>
              <w:rPr>
                <w:rFonts w:ascii="Calibri" w:eastAsia="Times New Roman" w:hAnsi="Calibri" w:cs="Times New Roman"/>
                <w:b/>
                <w:color w:val="000000"/>
                <w:lang w:eastAsia="pl-PL"/>
              </w:rPr>
            </w:pPr>
            <w:r w:rsidRPr="00A62B93">
              <w:rPr>
                <w:rFonts w:ascii="Calibri" w:eastAsia="Times New Roman" w:hAnsi="Calibri" w:cs="Times New Roman"/>
                <w:b/>
                <w:color w:val="000000"/>
                <w:lang w:eastAsia="pl-PL"/>
              </w:rPr>
              <w:t>2015</w:t>
            </w:r>
          </w:p>
        </w:tc>
        <w:tc>
          <w:tcPr>
            <w:tcW w:w="850" w:type="dxa"/>
            <w:tcBorders>
              <w:top w:val="single" w:sz="4" w:space="0" w:color="auto"/>
              <w:left w:val="nil"/>
              <w:bottom w:val="single" w:sz="4" w:space="0" w:color="auto"/>
              <w:right w:val="single" w:sz="4" w:space="0" w:color="auto"/>
            </w:tcBorders>
            <w:shd w:val="clear" w:color="auto" w:fill="92D050"/>
            <w:vAlign w:val="center"/>
            <w:hideMark/>
          </w:tcPr>
          <w:p w14:paraId="27247C32" w14:textId="77777777" w:rsidR="00555744" w:rsidRPr="00A62B93" w:rsidRDefault="00555744" w:rsidP="00A62B93">
            <w:pPr>
              <w:spacing w:after="0" w:line="240" w:lineRule="auto"/>
              <w:rPr>
                <w:rFonts w:ascii="Calibri" w:eastAsia="Times New Roman" w:hAnsi="Calibri" w:cs="Times New Roman"/>
                <w:b/>
                <w:color w:val="000000"/>
                <w:lang w:eastAsia="pl-PL"/>
              </w:rPr>
            </w:pPr>
            <w:r w:rsidRPr="00A62B93">
              <w:rPr>
                <w:rFonts w:ascii="Calibri" w:eastAsia="Times New Roman" w:hAnsi="Calibri" w:cs="Times New Roman"/>
                <w:b/>
                <w:color w:val="000000"/>
                <w:lang w:eastAsia="pl-PL"/>
              </w:rPr>
              <w:t>2016</w:t>
            </w:r>
          </w:p>
        </w:tc>
        <w:tc>
          <w:tcPr>
            <w:tcW w:w="851" w:type="dxa"/>
            <w:tcBorders>
              <w:top w:val="single" w:sz="4" w:space="0" w:color="auto"/>
              <w:left w:val="nil"/>
              <w:bottom w:val="single" w:sz="4" w:space="0" w:color="auto"/>
              <w:right w:val="single" w:sz="4" w:space="0" w:color="auto"/>
            </w:tcBorders>
            <w:shd w:val="clear" w:color="auto" w:fill="92D050"/>
            <w:vAlign w:val="center"/>
            <w:hideMark/>
          </w:tcPr>
          <w:p w14:paraId="3DBD540B" w14:textId="77777777" w:rsidR="00555744" w:rsidRPr="00A62B93" w:rsidRDefault="00555744" w:rsidP="00A62B93">
            <w:pPr>
              <w:spacing w:after="0" w:line="240" w:lineRule="auto"/>
              <w:rPr>
                <w:rFonts w:ascii="Calibri" w:eastAsia="Times New Roman" w:hAnsi="Calibri" w:cs="Times New Roman"/>
                <w:b/>
                <w:color w:val="000000"/>
                <w:lang w:eastAsia="pl-PL"/>
              </w:rPr>
            </w:pPr>
            <w:r w:rsidRPr="00A62B93">
              <w:rPr>
                <w:rFonts w:ascii="Calibri" w:eastAsia="Times New Roman" w:hAnsi="Calibri" w:cs="Times New Roman"/>
                <w:b/>
                <w:color w:val="000000"/>
                <w:lang w:eastAsia="pl-PL"/>
              </w:rPr>
              <w:t>2017</w:t>
            </w:r>
          </w:p>
        </w:tc>
        <w:tc>
          <w:tcPr>
            <w:tcW w:w="992" w:type="dxa"/>
            <w:tcBorders>
              <w:top w:val="single" w:sz="4" w:space="0" w:color="auto"/>
              <w:left w:val="nil"/>
              <w:bottom w:val="single" w:sz="4" w:space="0" w:color="auto"/>
              <w:right w:val="single" w:sz="4" w:space="0" w:color="auto"/>
            </w:tcBorders>
            <w:shd w:val="clear" w:color="auto" w:fill="92D050"/>
            <w:vAlign w:val="center"/>
            <w:hideMark/>
          </w:tcPr>
          <w:p w14:paraId="234E0795" w14:textId="77777777" w:rsidR="00555744" w:rsidRPr="00A62B93" w:rsidRDefault="00555744" w:rsidP="00A62B93">
            <w:pPr>
              <w:spacing w:after="0" w:line="240" w:lineRule="auto"/>
              <w:rPr>
                <w:rFonts w:ascii="Calibri" w:eastAsia="Times New Roman" w:hAnsi="Calibri" w:cs="Times New Roman"/>
                <w:b/>
                <w:color w:val="000000"/>
                <w:lang w:eastAsia="pl-PL"/>
              </w:rPr>
            </w:pPr>
            <w:r w:rsidRPr="00A62B93">
              <w:rPr>
                <w:rFonts w:ascii="Calibri" w:eastAsia="Times New Roman" w:hAnsi="Calibri" w:cs="Times New Roman"/>
                <w:b/>
                <w:color w:val="000000"/>
                <w:lang w:eastAsia="pl-PL"/>
              </w:rPr>
              <w:t>2018</w:t>
            </w:r>
          </w:p>
        </w:tc>
        <w:tc>
          <w:tcPr>
            <w:tcW w:w="850" w:type="dxa"/>
            <w:tcBorders>
              <w:top w:val="single" w:sz="4" w:space="0" w:color="auto"/>
              <w:left w:val="nil"/>
              <w:bottom w:val="single" w:sz="4" w:space="0" w:color="auto"/>
              <w:right w:val="single" w:sz="4" w:space="0" w:color="auto"/>
            </w:tcBorders>
            <w:shd w:val="clear" w:color="auto" w:fill="92D050"/>
            <w:vAlign w:val="center"/>
            <w:hideMark/>
          </w:tcPr>
          <w:p w14:paraId="0385B3F4" w14:textId="77777777" w:rsidR="00555744" w:rsidRPr="00A62B93" w:rsidRDefault="00555744" w:rsidP="00A62B93">
            <w:pPr>
              <w:spacing w:after="0" w:line="240" w:lineRule="auto"/>
              <w:rPr>
                <w:rFonts w:ascii="Calibri" w:eastAsia="Times New Roman" w:hAnsi="Calibri" w:cs="Times New Roman"/>
                <w:b/>
                <w:color w:val="000000"/>
                <w:lang w:eastAsia="pl-PL"/>
              </w:rPr>
            </w:pPr>
            <w:r w:rsidRPr="00A62B93">
              <w:rPr>
                <w:rFonts w:ascii="Calibri" w:eastAsia="Times New Roman" w:hAnsi="Calibri" w:cs="Times New Roman"/>
                <w:b/>
                <w:color w:val="000000"/>
                <w:lang w:eastAsia="pl-PL"/>
              </w:rPr>
              <w:t>2019</w:t>
            </w:r>
          </w:p>
        </w:tc>
        <w:tc>
          <w:tcPr>
            <w:tcW w:w="850" w:type="dxa"/>
            <w:tcBorders>
              <w:top w:val="single" w:sz="4" w:space="0" w:color="auto"/>
              <w:left w:val="nil"/>
              <w:bottom w:val="single" w:sz="4" w:space="0" w:color="auto"/>
              <w:right w:val="single" w:sz="4" w:space="0" w:color="auto"/>
            </w:tcBorders>
            <w:shd w:val="clear" w:color="auto" w:fill="92D050"/>
            <w:vAlign w:val="center"/>
          </w:tcPr>
          <w:p w14:paraId="6339D134" w14:textId="5B2F1392" w:rsidR="00555744" w:rsidRPr="00A62B93" w:rsidRDefault="00555744" w:rsidP="00555744">
            <w:pPr>
              <w:spacing w:after="0" w:line="240" w:lineRule="auto"/>
              <w:jc w:val="center"/>
              <w:rPr>
                <w:rFonts w:ascii="Calibri" w:eastAsia="Times New Roman" w:hAnsi="Calibri" w:cs="Times New Roman"/>
                <w:b/>
                <w:color w:val="000000"/>
                <w:lang w:eastAsia="pl-PL"/>
              </w:rPr>
            </w:pPr>
            <w:r>
              <w:rPr>
                <w:rFonts w:ascii="Calibri" w:eastAsia="Times New Roman" w:hAnsi="Calibri" w:cs="Times New Roman"/>
                <w:b/>
                <w:color w:val="000000"/>
                <w:lang w:eastAsia="pl-PL"/>
              </w:rPr>
              <w:t>2020</w:t>
            </w:r>
          </w:p>
        </w:tc>
      </w:tr>
      <w:tr w:rsidR="0039262C" w:rsidRPr="00A62B93" w14:paraId="1C82FC63" w14:textId="3C1BB326" w:rsidTr="0088602D">
        <w:trPr>
          <w:trHeight w:val="30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FC28EB" w14:textId="77777777" w:rsidR="0039262C" w:rsidRPr="00A62B93" w:rsidRDefault="0039262C" w:rsidP="0039262C">
            <w:pPr>
              <w:spacing w:after="0" w:line="240" w:lineRule="auto"/>
              <w:rPr>
                <w:rFonts w:ascii="Calibri" w:eastAsia="Times New Roman" w:hAnsi="Calibri" w:cs="Times New Roman"/>
                <w:lang w:eastAsia="pl-PL"/>
              </w:rPr>
            </w:pPr>
            <w:r w:rsidRPr="00A62B93">
              <w:rPr>
                <w:rFonts w:ascii="Calibri" w:eastAsia="Times New Roman" w:hAnsi="Calibri" w:cs="Times New Roman"/>
                <w:lang w:eastAsia="pl-PL"/>
              </w:rPr>
              <w:t>Olsztyn</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BA9ADC"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672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D3BB71"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630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CACFDF"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581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954E31"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514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E57FC5"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465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639DD4"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387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AAB232"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338</w:t>
            </w:r>
          </w:p>
        </w:tc>
        <w:tc>
          <w:tcPr>
            <w:tcW w:w="850" w:type="dxa"/>
            <w:tcBorders>
              <w:top w:val="single" w:sz="4" w:space="0" w:color="auto"/>
              <w:left w:val="single" w:sz="4" w:space="0" w:color="auto"/>
              <w:bottom w:val="single" w:sz="4" w:space="0" w:color="auto"/>
              <w:right w:val="single" w:sz="4" w:space="0" w:color="auto"/>
            </w:tcBorders>
            <w:vAlign w:val="bottom"/>
          </w:tcPr>
          <w:p w14:paraId="0DB48AEE" w14:textId="2D2723BD" w:rsidR="0039262C" w:rsidRPr="00A62B93" w:rsidRDefault="0039262C" w:rsidP="0039262C">
            <w:pPr>
              <w:spacing w:after="0" w:line="240" w:lineRule="auto"/>
              <w:jc w:val="right"/>
              <w:rPr>
                <w:rFonts w:ascii="Calibri" w:eastAsia="Times New Roman" w:hAnsi="Calibri" w:cs="Times New Roman"/>
                <w:lang w:eastAsia="pl-PL"/>
              </w:rPr>
            </w:pPr>
            <w:r>
              <w:rPr>
                <w:rFonts w:ascii="Calibri" w:hAnsi="Calibri"/>
              </w:rPr>
              <w:t>285</w:t>
            </w:r>
          </w:p>
        </w:tc>
      </w:tr>
      <w:tr w:rsidR="0039262C" w:rsidRPr="00A62B93" w14:paraId="31ACFF82" w14:textId="624282EF" w:rsidTr="0088602D">
        <w:trPr>
          <w:trHeight w:val="30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191BBC" w14:textId="77777777" w:rsidR="0039262C" w:rsidRPr="00A62B93" w:rsidRDefault="0039262C" w:rsidP="0039262C">
            <w:pPr>
              <w:spacing w:after="0" w:line="240" w:lineRule="auto"/>
              <w:rPr>
                <w:rFonts w:ascii="Calibri" w:eastAsia="Times New Roman" w:hAnsi="Calibri" w:cs="Times New Roman"/>
                <w:lang w:eastAsia="pl-PL"/>
              </w:rPr>
            </w:pPr>
            <w:r w:rsidRPr="00A62B93">
              <w:rPr>
                <w:rFonts w:ascii="Calibri" w:eastAsia="Times New Roman" w:hAnsi="Calibri" w:cs="Times New Roman"/>
                <w:lang w:eastAsia="pl-PL"/>
              </w:rPr>
              <w:t>Kielce</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49D6DC"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912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C48E69"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900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983FD8"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830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D5F1F2"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748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AFBEC3"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555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35FD41"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541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418C38"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526</w:t>
            </w:r>
          </w:p>
        </w:tc>
        <w:tc>
          <w:tcPr>
            <w:tcW w:w="850" w:type="dxa"/>
            <w:tcBorders>
              <w:top w:val="single" w:sz="4" w:space="0" w:color="auto"/>
              <w:left w:val="single" w:sz="4" w:space="0" w:color="auto"/>
              <w:bottom w:val="single" w:sz="4" w:space="0" w:color="auto"/>
              <w:right w:val="single" w:sz="4" w:space="0" w:color="auto"/>
            </w:tcBorders>
            <w:vAlign w:val="bottom"/>
          </w:tcPr>
          <w:p w14:paraId="2CA5E6B0" w14:textId="5192DB7B" w:rsidR="0039262C" w:rsidRPr="00A62B93" w:rsidRDefault="0039262C" w:rsidP="0039262C">
            <w:pPr>
              <w:spacing w:after="0" w:line="240" w:lineRule="auto"/>
              <w:jc w:val="right"/>
              <w:rPr>
                <w:rFonts w:ascii="Calibri" w:eastAsia="Times New Roman" w:hAnsi="Calibri" w:cs="Times New Roman"/>
                <w:lang w:eastAsia="pl-PL"/>
              </w:rPr>
            </w:pPr>
            <w:r>
              <w:rPr>
                <w:rFonts w:ascii="Calibri" w:hAnsi="Calibri"/>
              </w:rPr>
              <w:t>510</w:t>
            </w:r>
          </w:p>
        </w:tc>
      </w:tr>
      <w:tr w:rsidR="0039262C" w:rsidRPr="00A62B93" w14:paraId="13CCAC62" w14:textId="738FBBEF" w:rsidTr="0088602D">
        <w:trPr>
          <w:trHeight w:val="30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D2FCC9" w14:textId="77777777" w:rsidR="0039262C" w:rsidRPr="00A62B93" w:rsidRDefault="0039262C" w:rsidP="0039262C">
            <w:pPr>
              <w:spacing w:after="0" w:line="240" w:lineRule="auto"/>
              <w:rPr>
                <w:rFonts w:ascii="Calibri" w:eastAsia="Times New Roman" w:hAnsi="Calibri" w:cs="Times New Roman"/>
                <w:lang w:eastAsia="pl-PL"/>
              </w:rPr>
            </w:pPr>
            <w:r w:rsidRPr="00A62B93">
              <w:rPr>
                <w:rFonts w:ascii="Calibri" w:eastAsia="Times New Roman" w:hAnsi="Calibri" w:cs="Times New Roman"/>
                <w:lang w:eastAsia="pl-PL"/>
              </w:rPr>
              <w:t>Białystok</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388DB3"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1 429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A0EE55"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1 252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E418B4"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1 186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94ABD4"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1 041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908FDA"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874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EB5BA4"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873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2753F5"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785</w:t>
            </w:r>
          </w:p>
        </w:tc>
        <w:tc>
          <w:tcPr>
            <w:tcW w:w="850" w:type="dxa"/>
            <w:tcBorders>
              <w:top w:val="single" w:sz="4" w:space="0" w:color="auto"/>
              <w:left w:val="single" w:sz="4" w:space="0" w:color="auto"/>
              <w:bottom w:val="single" w:sz="4" w:space="0" w:color="auto"/>
              <w:right w:val="single" w:sz="4" w:space="0" w:color="auto"/>
            </w:tcBorders>
            <w:vAlign w:val="bottom"/>
          </w:tcPr>
          <w:p w14:paraId="6C29C365" w14:textId="09FAE503" w:rsidR="0039262C" w:rsidRPr="00A62B93" w:rsidRDefault="0039262C" w:rsidP="0039262C">
            <w:pPr>
              <w:spacing w:after="0" w:line="240" w:lineRule="auto"/>
              <w:jc w:val="right"/>
              <w:rPr>
                <w:rFonts w:ascii="Calibri" w:eastAsia="Times New Roman" w:hAnsi="Calibri" w:cs="Times New Roman"/>
                <w:lang w:eastAsia="pl-PL"/>
              </w:rPr>
            </w:pPr>
            <w:r>
              <w:rPr>
                <w:rFonts w:ascii="Calibri" w:hAnsi="Calibri"/>
              </w:rPr>
              <w:t>682</w:t>
            </w:r>
          </w:p>
        </w:tc>
      </w:tr>
      <w:tr w:rsidR="0039262C" w:rsidRPr="00A62B93" w14:paraId="208D6751" w14:textId="1939F866" w:rsidTr="0088602D">
        <w:trPr>
          <w:trHeight w:val="30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FDDEEE" w14:textId="77777777" w:rsidR="0039262C" w:rsidRPr="00A62B93" w:rsidRDefault="0039262C" w:rsidP="0039262C">
            <w:pPr>
              <w:spacing w:after="0" w:line="240" w:lineRule="auto"/>
              <w:rPr>
                <w:rFonts w:ascii="Calibri" w:eastAsia="Times New Roman" w:hAnsi="Calibri" w:cs="Times New Roman"/>
                <w:lang w:eastAsia="pl-PL"/>
              </w:rPr>
            </w:pPr>
            <w:r w:rsidRPr="00A62B93">
              <w:rPr>
                <w:rFonts w:ascii="Calibri" w:eastAsia="Times New Roman" w:hAnsi="Calibri" w:cs="Times New Roman"/>
                <w:lang w:eastAsia="pl-PL"/>
              </w:rPr>
              <w:t>Rzeszów</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5E1431"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635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39A3CB"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609</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4D96A9"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556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99AB29"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439</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480E98"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366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64E118"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357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1C2392"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341</w:t>
            </w:r>
          </w:p>
        </w:tc>
        <w:tc>
          <w:tcPr>
            <w:tcW w:w="850" w:type="dxa"/>
            <w:tcBorders>
              <w:top w:val="single" w:sz="4" w:space="0" w:color="auto"/>
              <w:left w:val="single" w:sz="4" w:space="0" w:color="auto"/>
              <w:bottom w:val="single" w:sz="4" w:space="0" w:color="auto"/>
              <w:right w:val="single" w:sz="4" w:space="0" w:color="auto"/>
            </w:tcBorders>
            <w:vAlign w:val="bottom"/>
          </w:tcPr>
          <w:p w14:paraId="5FFB1A86" w14:textId="79306A12" w:rsidR="0039262C" w:rsidRPr="00A62B93" w:rsidRDefault="0039262C" w:rsidP="0039262C">
            <w:pPr>
              <w:spacing w:after="0" w:line="240" w:lineRule="auto"/>
              <w:jc w:val="right"/>
              <w:rPr>
                <w:rFonts w:ascii="Calibri" w:eastAsia="Times New Roman" w:hAnsi="Calibri" w:cs="Times New Roman"/>
                <w:lang w:eastAsia="pl-PL"/>
              </w:rPr>
            </w:pPr>
            <w:r>
              <w:rPr>
                <w:rFonts w:ascii="Calibri" w:hAnsi="Calibri"/>
              </w:rPr>
              <w:t>312</w:t>
            </w:r>
          </w:p>
        </w:tc>
      </w:tr>
      <w:tr w:rsidR="0039262C" w:rsidRPr="00A62B93" w14:paraId="7D8E2B69" w14:textId="3F356CBB" w:rsidTr="0088602D">
        <w:trPr>
          <w:trHeight w:val="30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C148A5" w14:textId="77777777" w:rsidR="0039262C" w:rsidRPr="00A62B93" w:rsidRDefault="0039262C" w:rsidP="0039262C">
            <w:pPr>
              <w:spacing w:after="0" w:line="240" w:lineRule="auto"/>
              <w:rPr>
                <w:rFonts w:ascii="Calibri" w:eastAsia="Times New Roman" w:hAnsi="Calibri" w:cs="Times New Roman"/>
                <w:lang w:eastAsia="pl-PL"/>
              </w:rPr>
            </w:pPr>
            <w:r w:rsidRPr="00A62B93">
              <w:rPr>
                <w:rFonts w:ascii="Calibri" w:eastAsia="Times New Roman" w:hAnsi="Calibri" w:cs="Times New Roman"/>
                <w:lang w:eastAsia="pl-PL"/>
              </w:rPr>
              <w:t>Lublin</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0CC0F3"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1 063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531068"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1 016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92F70"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952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8DA45F"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895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E78B54"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719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D905E8"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598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C480CE" w14:textId="77777777" w:rsidR="0039262C" w:rsidRPr="00A62B93" w:rsidRDefault="0039262C" w:rsidP="0039262C">
            <w:pPr>
              <w:spacing w:after="0" w:line="240" w:lineRule="auto"/>
              <w:jc w:val="right"/>
              <w:rPr>
                <w:rFonts w:ascii="Calibri" w:eastAsia="Times New Roman" w:hAnsi="Calibri" w:cs="Times New Roman"/>
                <w:lang w:eastAsia="pl-PL"/>
              </w:rPr>
            </w:pPr>
            <w:r w:rsidRPr="00A62B93">
              <w:rPr>
                <w:rFonts w:ascii="Calibri" w:eastAsia="Times New Roman" w:hAnsi="Calibri" w:cs="Times New Roman"/>
                <w:lang w:eastAsia="pl-PL"/>
              </w:rPr>
              <w:t>631</w:t>
            </w:r>
          </w:p>
        </w:tc>
        <w:tc>
          <w:tcPr>
            <w:tcW w:w="850" w:type="dxa"/>
            <w:tcBorders>
              <w:top w:val="single" w:sz="4" w:space="0" w:color="auto"/>
              <w:left w:val="single" w:sz="4" w:space="0" w:color="auto"/>
              <w:bottom w:val="single" w:sz="4" w:space="0" w:color="auto"/>
              <w:right w:val="single" w:sz="4" w:space="0" w:color="auto"/>
            </w:tcBorders>
            <w:vAlign w:val="bottom"/>
          </w:tcPr>
          <w:p w14:paraId="7F992AE8" w14:textId="51622767" w:rsidR="0039262C" w:rsidRPr="00A62B93" w:rsidRDefault="0039262C" w:rsidP="0039262C">
            <w:pPr>
              <w:spacing w:after="0" w:line="240" w:lineRule="auto"/>
              <w:jc w:val="right"/>
              <w:rPr>
                <w:rFonts w:ascii="Calibri" w:eastAsia="Times New Roman" w:hAnsi="Calibri" w:cs="Times New Roman"/>
                <w:lang w:eastAsia="pl-PL"/>
              </w:rPr>
            </w:pPr>
            <w:r>
              <w:rPr>
                <w:rFonts w:ascii="Calibri" w:hAnsi="Calibri"/>
              </w:rPr>
              <w:t>516</w:t>
            </w:r>
          </w:p>
        </w:tc>
      </w:tr>
    </w:tbl>
    <w:p w14:paraId="52244D69" w14:textId="77777777" w:rsidR="00E9248E" w:rsidRDefault="00E9248E" w:rsidP="00E9248E">
      <w:pPr>
        <w:jc w:val="center"/>
      </w:pPr>
      <w:r w:rsidRPr="0091031D">
        <w:rPr>
          <w:i/>
          <w:sz w:val="20"/>
          <w:szCs w:val="20"/>
        </w:rPr>
        <w:t>źródło: opracowanie własne na podstawie danych GUS</w:t>
      </w:r>
    </w:p>
    <w:p w14:paraId="55BA8F22" w14:textId="62F32328" w:rsidR="00A62B93" w:rsidRDefault="00A62B93" w:rsidP="00602780">
      <w:pPr>
        <w:jc w:val="both"/>
      </w:pPr>
    </w:p>
    <w:p w14:paraId="2498930B" w14:textId="38132B13" w:rsidR="006D68A7" w:rsidRDefault="006D68A7">
      <w:r>
        <w:br w:type="page"/>
      </w:r>
    </w:p>
    <w:p w14:paraId="076605BE" w14:textId="77777777" w:rsidR="00213D67" w:rsidRDefault="00213D67" w:rsidP="006D68A7">
      <w:pPr>
        <w:pStyle w:val="Legenda"/>
        <w:rPr>
          <w:color w:val="000000" w:themeColor="text1"/>
          <w:sz w:val="22"/>
          <w:szCs w:val="22"/>
        </w:rPr>
      </w:pPr>
    </w:p>
    <w:p w14:paraId="71906521" w14:textId="7078FD90" w:rsidR="006D68A7" w:rsidRDefault="006D68A7" w:rsidP="006D68A7">
      <w:pPr>
        <w:pStyle w:val="Legenda"/>
        <w:rPr>
          <w:bCs/>
          <w:color w:val="000000" w:themeColor="text1"/>
          <w:sz w:val="22"/>
          <w:szCs w:val="22"/>
          <w:lang w:val="en-US"/>
        </w:rPr>
      </w:pPr>
      <w:bookmarkStart w:id="34" w:name="_Toc73516079"/>
      <w:r w:rsidRPr="002F2889">
        <w:rPr>
          <w:color w:val="000000" w:themeColor="text1"/>
          <w:sz w:val="22"/>
          <w:szCs w:val="22"/>
        </w:rPr>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17</w:t>
      </w:r>
      <w:r w:rsidRPr="002F2889">
        <w:rPr>
          <w:color w:val="000000" w:themeColor="text1"/>
          <w:sz w:val="22"/>
          <w:szCs w:val="22"/>
        </w:rPr>
        <w:fldChar w:fldCharType="end"/>
      </w:r>
      <w:r w:rsidRPr="002F2889">
        <w:rPr>
          <w:color w:val="000000" w:themeColor="text1"/>
          <w:sz w:val="22"/>
          <w:szCs w:val="22"/>
        </w:rPr>
        <w:t xml:space="preserve">. </w:t>
      </w:r>
      <w:r w:rsidRPr="002F2889">
        <w:rPr>
          <w:bCs/>
          <w:color w:val="000000" w:themeColor="text1"/>
          <w:sz w:val="22"/>
          <w:szCs w:val="22"/>
          <w:lang w:val="en-US"/>
        </w:rPr>
        <w:t>Odsetek osób z niepełnosprawnościami w ogóle zarejestrowanych w urzę</w:t>
      </w:r>
      <w:r w:rsidR="00822B19">
        <w:rPr>
          <w:bCs/>
          <w:color w:val="000000" w:themeColor="text1"/>
          <w:sz w:val="22"/>
          <w:szCs w:val="22"/>
          <w:lang w:val="en-US"/>
        </w:rPr>
        <w:t xml:space="preserve">dach pracy </w:t>
      </w:r>
      <w:r w:rsidR="00822B19">
        <w:rPr>
          <w:bCs/>
          <w:color w:val="000000" w:themeColor="text1"/>
          <w:sz w:val="22"/>
          <w:szCs w:val="22"/>
          <w:lang w:val="en-US"/>
        </w:rPr>
        <w:br/>
        <w:t>w latach 2013-20</w:t>
      </w:r>
      <w:r w:rsidR="00555744">
        <w:rPr>
          <w:bCs/>
          <w:color w:val="000000" w:themeColor="text1"/>
          <w:sz w:val="22"/>
          <w:szCs w:val="22"/>
          <w:lang w:val="en-US"/>
        </w:rPr>
        <w:t>20</w:t>
      </w:r>
      <w:bookmarkEnd w:id="34"/>
    </w:p>
    <w:p w14:paraId="7111EAF5" w14:textId="1CE17E8D" w:rsidR="000A6621" w:rsidRPr="00555744" w:rsidRDefault="00555744" w:rsidP="00555744">
      <w:pPr>
        <w:pStyle w:val="Legenda"/>
        <w:jc w:val="center"/>
        <w:rPr>
          <w:bCs/>
          <w:color w:val="000000" w:themeColor="text1"/>
          <w:sz w:val="22"/>
          <w:szCs w:val="22"/>
          <w:lang w:val="en-US"/>
        </w:rPr>
      </w:pPr>
      <w:r>
        <w:rPr>
          <w:noProof/>
          <w:lang w:val="pl-PL" w:eastAsia="pl-PL"/>
        </w:rPr>
        <w:drawing>
          <wp:inline distT="0" distB="0" distL="0" distR="0" wp14:anchorId="21C18EF5" wp14:editId="25DE9548">
            <wp:extent cx="5270500" cy="3613150"/>
            <wp:effectExtent l="0" t="0" r="6350" b="6350"/>
            <wp:docPr id="197" name="Wykres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76FB083" w14:textId="77777777" w:rsidR="00E9248E" w:rsidRDefault="00E9248E" w:rsidP="00953ADD">
      <w:pPr>
        <w:spacing w:after="0"/>
        <w:jc w:val="center"/>
      </w:pPr>
      <w:r w:rsidRPr="0091031D">
        <w:rPr>
          <w:i/>
          <w:sz w:val="20"/>
          <w:szCs w:val="20"/>
        </w:rPr>
        <w:t>źródło: opracowanie własne na podstawie danych GUS</w:t>
      </w:r>
    </w:p>
    <w:p w14:paraId="72D38700" w14:textId="77777777" w:rsidR="009564E2" w:rsidRDefault="009564E2" w:rsidP="00E71CC7"/>
    <w:p w14:paraId="3BFA8F58" w14:textId="77777777" w:rsidR="008E4EF6" w:rsidRPr="008E4EF6" w:rsidRDefault="008E4EF6" w:rsidP="00491117">
      <w:pPr>
        <w:jc w:val="both"/>
      </w:pPr>
      <w:r w:rsidRPr="008E4EF6">
        <w:t>Analogicznie do sytuacji związanej z ubóstwem, w ramach Miejskiego Programu Rewitalizacji Olsztyna 2023 z 2015 r. zbadana została skala zjawiska bezrobocia w podziale na osiedla. Na podstawie danych z 2015 r. opracowano wskaźnik liczby mieszkańców korzystających z pomocy społecznej z powodu bezrobocia na 1 tys. mieszkańców.</w:t>
      </w:r>
    </w:p>
    <w:p w14:paraId="1E77E0B1" w14:textId="6DAE888B" w:rsidR="00A964B9" w:rsidRPr="00964AED" w:rsidRDefault="00A964B9" w:rsidP="00A964B9">
      <w:pPr>
        <w:pStyle w:val="Legenda"/>
        <w:keepNext/>
        <w:rPr>
          <w:sz w:val="22"/>
          <w:szCs w:val="22"/>
        </w:rPr>
      </w:pPr>
      <w:bookmarkStart w:id="35" w:name="_Toc73534969"/>
      <w:r w:rsidRPr="00964AED">
        <w:rPr>
          <w:sz w:val="22"/>
          <w:szCs w:val="22"/>
          <w:lang w:val="pl-PL"/>
        </w:rPr>
        <w:t xml:space="preserve">Tabela </w:t>
      </w:r>
      <w:r w:rsidRPr="00964AED">
        <w:rPr>
          <w:sz w:val="22"/>
          <w:szCs w:val="22"/>
        </w:rPr>
        <w:fldChar w:fldCharType="begin"/>
      </w:r>
      <w:r w:rsidRPr="00964AED">
        <w:rPr>
          <w:sz w:val="22"/>
          <w:szCs w:val="22"/>
          <w:lang w:val="pl-PL"/>
        </w:rPr>
        <w:instrText xml:space="preserve"> SEQ Tabela \* ARABIC </w:instrText>
      </w:r>
      <w:r w:rsidRPr="00964AED">
        <w:rPr>
          <w:sz w:val="22"/>
          <w:szCs w:val="22"/>
        </w:rPr>
        <w:fldChar w:fldCharType="separate"/>
      </w:r>
      <w:r w:rsidR="00AD58C3">
        <w:rPr>
          <w:noProof/>
          <w:sz w:val="22"/>
          <w:szCs w:val="22"/>
          <w:lang w:val="pl-PL"/>
        </w:rPr>
        <w:t>6</w:t>
      </w:r>
      <w:r w:rsidRPr="00964AED">
        <w:rPr>
          <w:sz w:val="22"/>
          <w:szCs w:val="22"/>
        </w:rPr>
        <w:fldChar w:fldCharType="end"/>
      </w:r>
      <w:r w:rsidRPr="00964AED">
        <w:rPr>
          <w:sz w:val="22"/>
          <w:szCs w:val="22"/>
          <w:lang w:val="pl-PL"/>
        </w:rPr>
        <w:t xml:space="preserve">. Mieszkańcy </w:t>
      </w:r>
      <w:r w:rsidR="00964AED">
        <w:rPr>
          <w:sz w:val="22"/>
          <w:szCs w:val="22"/>
          <w:lang w:val="pl-PL"/>
        </w:rPr>
        <w:t xml:space="preserve">Olsztyna </w:t>
      </w:r>
      <w:r w:rsidRPr="00964AED">
        <w:rPr>
          <w:sz w:val="22"/>
          <w:szCs w:val="22"/>
          <w:lang w:val="pl-PL"/>
        </w:rPr>
        <w:t xml:space="preserve">korzystający z pomocy społecznej z powodu bezrobocia na </w:t>
      </w:r>
      <w:r w:rsidR="00B46FD6" w:rsidRPr="00964AED">
        <w:rPr>
          <w:sz w:val="22"/>
          <w:szCs w:val="22"/>
          <w:lang w:val="pl-PL"/>
        </w:rPr>
        <w:t xml:space="preserve">1 </w:t>
      </w:r>
      <w:r w:rsidRPr="00964AED">
        <w:rPr>
          <w:sz w:val="22"/>
          <w:szCs w:val="22"/>
          <w:lang w:val="pl-PL"/>
        </w:rPr>
        <w:t xml:space="preserve">tys. </w:t>
      </w:r>
      <w:r w:rsidR="009E05A0">
        <w:rPr>
          <w:sz w:val="22"/>
          <w:szCs w:val="22"/>
          <w:lang w:val="pl-PL"/>
        </w:rPr>
        <w:t>ludności</w:t>
      </w:r>
      <w:bookmarkEnd w:id="35"/>
    </w:p>
    <w:tbl>
      <w:tblPr>
        <w:tblW w:w="8909" w:type="dxa"/>
        <w:jc w:val="center"/>
        <w:tblCellMar>
          <w:left w:w="70" w:type="dxa"/>
          <w:right w:w="70" w:type="dxa"/>
        </w:tblCellMar>
        <w:tblLook w:val="04A0" w:firstRow="1" w:lastRow="0" w:firstColumn="1" w:lastColumn="0" w:noHBand="0" w:noVBand="1"/>
      </w:tblPr>
      <w:tblGrid>
        <w:gridCol w:w="5889"/>
        <w:gridCol w:w="3020"/>
      </w:tblGrid>
      <w:tr w:rsidR="008E4EF6" w:rsidRPr="008E4EF6" w14:paraId="1C866227" w14:textId="77777777" w:rsidTr="00491117">
        <w:trPr>
          <w:trHeight w:val="1200"/>
          <w:jc w:val="center"/>
        </w:trPr>
        <w:tc>
          <w:tcPr>
            <w:tcW w:w="5889"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5637CE1E" w14:textId="77777777" w:rsidR="008E4EF6" w:rsidRPr="00491117" w:rsidRDefault="008E4EF6" w:rsidP="00491117">
            <w:pPr>
              <w:spacing w:after="0"/>
              <w:jc w:val="center"/>
              <w:rPr>
                <w:b/>
              </w:rPr>
            </w:pPr>
            <w:r w:rsidRPr="00491117">
              <w:rPr>
                <w:b/>
              </w:rPr>
              <w:t>Nazwa osiedla</w:t>
            </w:r>
          </w:p>
        </w:tc>
        <w:tc>
          <w:tcPr>
            <w:tcW w:w="3020" w:type="dxa"/>
            <w:tcBorders>
              <w:top w:val="single" w:sz="4" w:space="0" w:color="auto"/>
              <w:left w:val="nil"/>
              <w:bottom w:val="single" w:sz="4" w:space="0" w:color="auto"/>
              <w:right w:val="single" w:sz="4" w:space="0" w:color="auto"/>
            </w:tcBorders>
            <w:shd w:val="clear" w:color="auto" w:fill="92D050"/>
            <w:vAlign w:val="center"/>
            <w:hideMark/>
          </w:tcPr>
          <w:p w14:paraId="35EB3CC0" w14:textId="77777777" w:rsidR="008E4EF6" w:rsidRPr="00491117" w:rsidRDefault="008E4EF6" w:rsidP="00491117">
            <w:pPr>
              <w:spacing w:after="0"/>
              <w:jc w:val="center"/>
              <w:rPr>
                <w:b/>
              </w:rPr>
            </w:pPr>
            <w:r w:rsidRPr="00491117">
              <w:rPr>
                <w:b/>
              </w:rPr>
              <w:t>Korzystający z pomocy społecznej z powodu bezrobocia na tys. mieszkańców</w:t>
            </w:r>
          </w:p>
        </w:tc>
      </w:tr>
      <w:tr w:rsidR="008E4EF6" w:rsidRPr="008E4EF6" w14:paraId="0AC0D401"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6A7021D2" w14:textId="77777777" w:rsidR="008E4EF6" w:rsidRPr="008E4EF6" w:rsidRDefault="008E4EF6" w:rsidP="00491117">
            <w:pPr>
              <w:spacing w:after="0"/>
              <w:jc w:val="center"/>
            </w:pPr>
            <w:r w:rsidRPr="008E4EF6">
              <w:t>Zielona Górka</w:t>
            </w:r>
          </w:p>
        </w:tc>
        <w:tc>
          <w:tcPr>
            <w:tcW w:w="3020" w:type="dxa"/>
            <w:tcBorders>
              <w:top w:val="nil"/>
              <w:left w:val="nil"/>
              <w:bottom w:val="single" w:sz="4" w:space="0" w:color="auto"/>
              <w:right w:val="single" w:sz="4" w:space="0" w:color="auto"/>
            </w:tcBorders>
            <w:shd w:val="clear" w:color="auto" w:fill="auto"/>
            <w:vAlign w:val="center"/>
            <w:hideMark/>
          </w:tcPr>
          <w:p w14:paraId="6ACE6335" w14:textId="77777777" w:rsidR="008E4EF6" w:rsidRPr="008E4EF6" w:rsidRDefault="008E4EF6" w:rsidP="00491117">
            <w:pPr>
              <w:spacing w:after="0"/>
              <w:jc w:val="center"/>
            </w:pPr>
            <w:r w:rsidRPr="008E4EF6">
              <w:t>132,7</w:t>
            </w:r>
          </w:p>
        </w:tc>
      </w:tr>
      <w:tr w:rsidR="008E4EF6" w:rsidRPr="008E4EF6" w14:paraId="2E277A50"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2291E5A2" w14:textId="77777777" w:rsidR="008E4EF6" w:rsidRPr="008E4EF6" w:rsidRDefault="008E4EF6" w:rsidP="00491117">
            <w:pPr>
              <w:spacing w:after="0"/>
              <w:jc w:val="center"/>
            </w:pPr>
            <w:r w:rsidRPr="008E4EF6">
              <w:t>Redykajny</w:t>
            </w:r>
          </w:p>
        </w:tc>
        <w:tc>
          <w:tcPr>
            <w:tcW w:w="3020" w:type="dxa"/>
            <w:tcBorders>
              <w:top w:val="nil"/>
              <w:left w:val="nil"/>
              <w:bottom w:val="single" w:sz="4" w:space="0" w:color="auto"/>
              <w:right w:val="single" w:sz="4" w:space="0" w:color="auto"/>
            </w:tcBorders>
            <w:shd w:val="clear" w:color="auto" w:fill="auto"/>
            <w:vAlign w:val="center"/>
            <w:hideMark/>
          </w:tcPr>
          <w:p w14:paraId="52234554" w14:textId="77777777" w:rsidR="008E4EF6" w:rsidRPr="008E4EF6" w:rsidRDefault="008E4EF6" w:rsidP="00491117">
            <w:pPr>
              <w:spacing w:after="0"/>
              <w:jc w:val="center"/>
            </w:pPr>
            <w:r w:rsidRPr="008E4EF6">
              <w:t>59,9</w:t>
            </w:r>
          </w:p>
        </w:tc>
      </w:tr>
      <w:tr w:rsidR="008E4EF6" w:rsidRPr="008E4EF6" w14:paraId="45FD6751"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3B8C1DE3" w14:textId="77777777" w:rsidR="008E4EF6" w:rsidRPr="008E4EF6" w:rsidRDefault="008E4EF6" w:rsidP="00491117">
            <w:pPr>
              <w:spacing w:after="0"/>
              <w:jc w:val="center"/>
            </w:pPr>
            <w:r w:rsidRPr="008E4EF6">
              <w:t>Gutkowo</w:t>
            </w:r>
          </w:p>
        </w:tc>
        <w:tc>
          <w:tcPr>
            <w:tcW w:w="3020" w:type="dxa"/>
            <w:tcBorders>
              <w:top w:val="nil"/>
              <w:left w:val="nil"/>
              <w:bottom w:val="single" w:sz="4" w:space="0" w:color="auto"/>
              <w:right w:val="single" w:sz="4" w:space="0" w:color="auto"/>
            </w:tcBorders>
            <w:shd w:val="clear" w:color="auto" w:fill="auto"/>
            <w:vAlign w:val="center"/>
            <w:hideMark/>
          </w:tcPr>
          <w:p w14:paraId="09636A9B" w14:textId="77777777" w:rsidR="008E4EF6" w:rsidRPr="008E4EF6" w:rsidRDefault="008E4EF6" w:rsidP="00491117">
            <w:pPr>
              <w:spacing w:after="0"/>
              <w:jc w:val="center"/>
            </w:pPr>
            <w:r w:rsidRPr="008E4EF6">
              <w:t>58,3</w:t>
            </w:r>
          </w:p>
        </w:tc>
      </w:tr>
      <w:tr w:rsidR="008E4EF6" w:rsidRPr="008E4EF6" w14:paraId="4D710B9D"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2571724F" w14:textId="77777777" w:rsidR="008E4EF6" w:rsidRPr="008E4EF6" w:rsidRDefault="008E4EF6" w:rsidP="00491117">
            <w:pPr>
              <w:spacing w:after="0"/>
              <w:jc w:val="center"/>
            </w:pPr>
            <w:r w:rsidRPr="008E4EF6">
              <w:t>Kortowo</w:t>
            </w:r>
          </w:p>
        </w:tc>
        <w:tc>
          <w:tcPr>
            <w:tcW w:w="3020" w:type="dxa"/>
            <w:tcBorders>
              <w:top w:val="nil"/>
              <w:left w:val="nil"/>
              <w:bottom w:val="single" w:sz="4" w:space="0" w:color="auto"/>
              <w:right w:val="single" w:sz="4" w:space="0" w:color="auto"/>
            </w:tcBorders>
            <w:shd w:val="clear" w:color="auto" w:fill="auto"/>
            <w:vAlign w:val="center"/>
            <w:hideMark/>
          </w:tcPr>
          <w:p w14:paraId="0C3AF90C" w14:textId="77777777" w:rsidR="008E4EF6" w:rsidRPr="008E4EF6" w:rsidRDefault="008E4EF6" w:rsidP="00491117">
            <w:pPr>
              <w:spacing w:after="0"/>
              <w:jc w:val="center"/>
            </w:pPr>
            <w:r w:rsidRPr="008E4EF6">
              <w:t>44,5</w:t>
            </w:r>
          </w:p>
        </w:tc>
      </w:tr>
      <w:tr w:rsidR="008E4EF6" w:rsidRPr="008E4EF6" w14:paraId="57AA716B"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04D7601A" w14:textId="77777777" w:rsidR="008E4EF6" w:rsidRPr="008E4EF6" w:rsidRDefault="008E4EF6" w:rsidP="00491117">
            <w:pPr>
              <w:spacing w:after="0"/>
              <w:jc w:val="center"/>
            </w:pPr>
            <w:r w:rsidRPr="008E4EF6">
              <w:t>Śródmieście</w:t>
            </w:r>
          </w:p>
        </w:tc>
        <w:tc>
          <w:tcPr>
            <w:tcW w:w="3020" w:type="dxa"/>
            <w:tcBorders>
              <w:top w:val="nil"/>
              <w:left w:val="nil"/>
              <w:bottom w:val="single" w:sz="4" w:space="0" w:color="auto"/>
              <w:right w:val="single" w:sz="4" w:space="0" w:color="auto"/>
            </w:tcBorders>
            <w:shd w:val="clear" w:color="auto" w:fill="auto"/>
            <w:vAlign w:val="center"/>
            <w:hideMark/>
          </w:tcPr>
          <w:p w14:paraId="558E85A8" w14:textId="77777777" w:rsidR="008E4EF6" w:rsidRPr="008E4EF6" w:rsidRDefault="008E4EF6" w:rsidP="00491117">
            <w:pPr>
              <w:spacing w:after="0"/>
              <w:jc w:val="center"/>
            </w:pPr>
            <w:r w:rsidRPr="008E4EF6">
              <w:t>41,8</w:t>
            </w:r>
          </w:p>
        </w:tc>
      </w:tr>
      <w:tr w:rsidR="008E4EF6" w:rsidRPr="008E4EF6" w14:paraId="669B0019"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40CE0B95" w14:textId="77777777" w:rsidR="008E4EF6" w:rsidRPr="008E4EF6" w:rsidRDefault="008E4EF6" w:rsidP="00491117">
            <w:pPr>
              <w:spacing w:after="0"/>
              <w:jc w:val="center"/>
            </w:pPr>
            <w:r w:rsidRPr="008E4EF6">
              <w:t>Mazurskie</w:t>
            </w:r>
          </w:p>
        </w:tc>
        <w:tc>
          <w:tcPr>
            <w:tcW w:w="3020" w:type="dxa"/>
            <w:tcBorders>
              <w:top w:val="nil"/>
              <w:left w:val="nil"/>
              <w:bottom w:val="single" w:sz="4" w:space="0" w:color="auto"/>
              <w:right w:val="single" w:sz="4" w:space="0" w:color="auto"/>
            </w:tcBorders>
            <w:shd w:val="clear" w:color="auto" w:fill="auto"/>
            <w:vAlign w:val="center"/>
            <w:hideMark/>
          </w:tcPr>
          <w:p w14:paraId="3B9F3AAE" w14:textId="77777777" w:rsidR="008E4EF6" w:rsidRPr="008E4EF6" w:rsidRDefault="008E4EF6" w:rsidP="00491117">
            <w:pPr>
              <w:spacing w:after="0"/>
              <w:jc w:val="center"/>
            </w:pPr>
            <w:r w:rsidRPr="008E4EF6">
              <w:t>40,1</w:t>
            </w:r>
          </w:p>
        </w:tc>
      </w:tr>
      <w:tr w:rsidR="008E4EF6" w:rsidRPr="008E4EF6" w14:paraId="7059C1B1"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635FA595" w14:textId="77777777" w:rsidR="008E4EF6" w:rsidRPr="008E4EF6" w:rsidRDefault="008E4EF6" w:rsidP="00491117">
            <w:pPr>
              <w:spacing w:after="0"/>
              <w:jc w:val="center"/>
            </w:pPr>
            <w:r w:rsidRPr="008E4EF6">
              <w:t>Likusy</w:t>
            </w:r>
          </w:p>
        </w:tc>
        <w:tc>
          <w:tcPr>
            <w:tcW w:w="3020" w:type="dxa"/>
            <w:tcBorders>
              <w:top w:val="nil"/>
              <w:left w:val="nil"/>
              <w:bottom w:val="single" w:sz="4" w:space="0" w:color="auto"/>
              <w:right w:val="single" w:sz="4" w:space="0" w:color="auto"/>
            </w:tcBorders>
            <w:shd w:val="clear" w:color="auto" w:fill="auto"/>
            <w:vAlign w:val="center"/>
            <w:hideMark/>
          </w:tcPr>
          <w:p w14:paraId="6760318C" w14:textId="77777777" w:rsidR="008E4EF6" w:rsidRPr="008E4EF6" w:rsidRDefault="008E4EF6" w:rsidP="00491117">
            <w:pPr>
              <w:spacing w:after="0"/>
              <w:jc w:val="center"/>
            </w:pPr>
            <w:r w:rsidRPr="008E4EF6">
              <w:t>38,5</w:t>
            </w:r>
          </w:p>
        </w:tc>
      </w:tr>
      <w:tr w:rsidR="008E4EF6" w:rsidRPr="008E4EF6" w14:paraId="3916E28D"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3E688A7A" w14:textId="77777777" w:rsidR="008E4EF6" w:rsidRPr="008E4EF6" w:rsidRDefault="008E4EF6" w:rsidP="00491117">
            <w:pPr>
              <w:spacing w:after="0"/>
              <w:jc w:val="center"/>
            </w:pPr>
            <w:r w:rsidRPr="008E4EF6">
              <w:t>Nad Jeziorem Długim</w:t>
            </w:r>
          </w:p>
        </w:tc>
        <w:tc>
          <w:tcPr>
            <w:tcW w:w="3020" w:type="dxa"/>
            <w:tcBorders>
              <w:top w:val="nil"/>
              <w:left w:val="nil"/>
              <w:bottom w:val="single" w:sz="4" w:space="0" w:color="auto"/>
              <w:right w:val="single" w:sz="4" w:space="0" w:color="auto"/>
            </w:tcBorders>
            <w:shd w:val="clear" w:color="auto" w:fill="auto"/>
            <w:vAlign w:val="center"/>
            <w:hideMark/>
          </w:tcPr>
          <w:p w14:paraId="4B9548CE" w14:textId="77777777" w:rsidR="008E4EF6" w:rsidRPr="008E4EF6" w:rsidRDefault="008E4EF6" w:rsidP="00491117">
            <w:pPr>
              <w:spacing w:after="0"/>
              <w:jc w:val="center"/>
            </w:pPr>
            <w:r w:rsidRPr="008E4EF6">
              <w:t>34,7</w:t>
            </w:r>
          </w:p>
        </w:tc>
      </w:tr>
      <w:tr w:rsidR="008E4EF6" w:rsidRPr="008E4EF6" w14:paraId="70319C0C" w14:textId="77777777" w:rsidTr="00FF1942">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3DFDFB49" w14:textId="77777777" w:rsidR="008E4EF6" w:rsidRPr="008E4EF6" w:rsidRDefault="008E4EF6" w:rsidP="00491117">
            <w:pPr>
              <w:spacing w:after="0"/>
              <w:jc w:val="center"/>
            </w:pPr>
            <w:r w:rsidRPr="008E4EF6">
              <w:t>Dajtki</w:t>
            </w:r>
          </w:p>
        </w:tc>
        <w:tc>
          <w:tcPr>
            <w:tcW w:w="3020" w:type="dxa"/>
            <w:tcBorders>
              <w:top w:val="nil"/>
              <w:left w:val="nil"/>
              <w:bottom w:val="single" w:sz="4" w:space="0" w:color="auto"/>
              <w:right w:val="single" w:sz="4" w:space="0" w:color="auto"/>
            </w:tcBorders>
            <w:shd w:val="clear" w:color="auto" w:fill="auto"/>
            <w:vAlign w:val="center"/>
            <w:hideMark/>
          </w:tcPr>
          <w:p w14:paraId="539E04F9" w14:textId="77777777" w:rsidR="008E4EF6" w:rsidRPr="008E4EF6" w:rsidRDefault="008E4EF6" w:rsidP="00491117">
            <w:pPr>
              <w:spacing w:after="0"/>
              <w:jc w:val="center"/>
            </w:pPr>
            <w:r w:rsidRPr="008E4EF6">
              <w:t>27,6</w:t>
            </w:r>
          </w:p>
        </w:tc>
      </w:tr>
      <w:tr w:rsidR="008E4EF6" w:rsidRPr="008E4EF6" w14:paraId="70834D00" w14:textId="77777777" w:rsidTr="00FF1942">
        <w:trPr>
          <w:trHeight w:val="300"/>
          <w:jc w:val="center"/>
        </w:trPr>
        <w:tc>
          <w:tcPr>
            <w:tcW w:w="58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3C5F29" w14:textId="77777777" w:rsidR="008E4EF6" w:rsidRPr="008E4EF6" w:rsidRDefault="008E4EF6" w:rsidP="00491117">
            <w:pPr>
              <w:spacing w:after="0"/>
              <w:jc w:val="center"/>
            </w:pPr>
            <w:r w:rsidRPr="008E4EF6">
              <w:lastRenderedPageBreak/>
              <w:t>Kętrzyńskiego</w:t>
            </w:r>
          </w:p>
        </w:tc>
        <w:tc>
          <w:tcPr>
            <w:tcW w:w="3020" w:type="dxa"/>
            <w:tcBorders>
              <w:top w:val="single" w:sz="4" w:space="0" w:color="auto"/>
              <w:left w:val="nil"/>
              <w:bottom w:val="single" w:sz="4" w:space="0" w:color="auto"/>
              <w:right w:val="single" w:sz="4" w:space="0" w:color="auto"/>
            </w:tcBorders>
            <w:shd w:val="clear" w:color="auto" w:fill="auto"/>
            <w:vAlign w:val="center"/>
            <w:hideMark/>
          </w:tcPr>
          <w:p w14:paraId="391B89D4" w14:textId="77777777" w:rsidR="008E4EF6" w:rsidRPr="008E4EF6" w:rsidRDefault="008E4EF6" w:rsidP="00491117">
            <w:pPr>
              <w:spacing w:after="0"/>
              <w:jc w:val="center"/>
            </w:pPr>
            <w:r w:rsidRPr="008E4EF6">
              <w:t>26,5</w:t>
            </w:r>
          </w:p>
        </w:tc>
      </w:tr>
      <w:tr w:rsidR="008E4EF6" w:rsidRPr="008E4EF6" w14:paraId="525998FB"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782DE1AC" w14:textId="77777777" w:rsidR="008E4EF6" w:rsidRPr="008E4EF6" w:rsidRDefault="008E4EF6" w:rsidP="00491117">
            <w:pPr>
              <w:spacing w:after="0"/>
              <w:jc w:val="center"/>
            </w:pPr>
            <w:r w:rsidRPr="008E4EF6">
              <w:t>Pojezierze</w:t>
            </w:r>
          </w:p>
        </w:tc>
        <w:tc>
          <w:tcPr>
            <w:tcW w:w="3020" w:type="dxa"/>
            <w:tcBorders>
              <w:top w:val="nil"/>
              <w:left w:val="nil"/>
              <w:bottom w:val="single" w:sz="4" w:space="0" w:color="auto"/>
              <w:right w:val="single" w:sz="4" w:space="0" w:color="auto"/>
            </w:tcBorders>
            <w:shd w:val="clear" w:color="auto" w:fill="auto"/>
            <w:vAlign w:val="center"/>
            <w:hideMark/>
          </w:tcPr>
          <w:p w14:paraId="13377A40" w14:textId="77777777" w:rsidR="008E4EF6" w:rsidRPr="008E4EF6" w:rsidRDefault="008E4EF6" w:rsidP="00491117">
            <w:pPr>
              <w:spacing w:after="0"/>
              <w:jc w:val="center"/>
            </w:pPr>
            <w:r w:rsidRPr="008E4EF6">
              <w:t>22,8</w:t>
            </w:r>
          </w:p>
        </w:tc>
      </w:tr>
      <w:tr w:rsidR="008E4EF6" w:rsidRPr="008E4EF6" w14:paraId="34C4F118"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524EA3B5" w14:textId="77777777" w:rsidR="008E4EF6" w:rsidRPr="008E4EF6" w:rsidRDefault="008E4EF6" w:rsidP="00491117">
            <w:pPr>
              <w:spacing w:after="0"/>
              <w:jc w:val="center"/>
            </w:pPr>
            <w:r w:rsidRPr="008E4EF6">
              <w:t>Brzeziny</w:t>
            </w:r>
          </w:p>
        </w:tc>
        <w:tc>
          <w:tcPr>
            <w:tcW w:w="3020" w:type="dxa"/>
            <w:tcBorders>
              <w:top w:val="nil"/>
              <w:left w:val="nil"/>
              <w:bottom w:val="single" w:sz="4" w:space="0" w:color="auto"/>
              <w:right w:val="single" w:sz="4" w:space="0" w:color="auto"/>
            </w:tcBorders>
            <w:shd w:val="clear" w:color="auto" w:fill="auto"/>
            <w:vAlign w:val="center"/>
            <w:hideMark/>
          </w:tcPr>
          <w:p w14:paraId="2DEB3E62" w14:textId="77777777" w:rsidR="008E4EF6" w:rsidRPr="008E4EF6" w:rsidRDefault="008E4EF6" w:rsidP="00491117">
            <w:pPr>
              <w:spacing w:after="0"/>
              <w:jc w:val="center"/>
            </w:pPr>
            <w:r w:rsidRPr="008E4EF6">
              <w:t>15,3</w:t>
            </w:r>
          </w:p>
        </w:tc>
      </w:tr>
      <w:tr w:rsidR="008E4EF6" w:rsidRPr="008E4EF6" w14:paraId="207EEEB1"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0262081B" w14:textId="77777777" w:rsidR="008E4EF6" w:rsidRPr="008E4EF6" w:rsidRDefault="008E4EF6" w:rsidP="00491117">
            <w:pPr>
              <w:spacing w:after="0"/>
              <w:jc w:val="center"/>
            </w:pPr>
            <w:r w:rsidRPr="008E4EF6">
              <w:t>Zatorze</w:t>
            </w:r>
          </w:p>
        </w:tc>
        <w:tc>
          <w:tcPr>
            <w:tcW w:w="3020" w:type="dxa"/>
            <w:tcBorders>
              <w:top w:val="nil"/>
              <w:left w:val="nil"/>
              <w:bottom w:val="single" w:sz="4" w:space="0" w:color="auto"/>
              <w:right w:val="single" w:sz="4" w:space="0" w:color="auto"/>
            </w:tcBorders>
            <w:shd w:val="clear" w:color="auto" w:fill="auto"/>
            <w:vAlign w:val="center"/>
            <w:hideMark/>
          </w:tcPr>
          <w:p w14:paraId="05DD93E2" w14:textId="77777777" w:rsidR="008E4EF6" w:rsidRPr="008E4EF6" w:rsidRDefault="008E4EF6" w:rsidP="00491117">
            <w:pPr>
              <w:spacing w:after="0"/>
              <w:jc w:val="center"/>
            </w:pPr>
            <w:r w:rsidRPr="008E4EF6">
              <w:t>15,1</w:t>
            </w:r>
          </w:p>
        </w:tc>
      </w:tr>
      <w:tr w:rsidR="008E4EF6" w:rsidRPr="008E4EF6" w14:paraId="7A26E6F1"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4097BF81" w14:textId="77777777" w:rsidR="008E4EF6" w:rsidRPr="008E4EF6" w:rsidRDefault="008E4EF6" w:rsidP="00491117">
            <w:pPr>
              <w:spacing w:after="0"/>
              <w:jc w:val="center"/>
            </w:pPr>
            <w:r w:rsidRPr="008E4EF6">
              <w:t>Podleśna</w:t>
            </w:r>
          </w:p>
        </w:tc>
        <w:tc>
          <w:tcPr>
            <w:tcW w:w="3020" w:type="dxa"/>
            <w:tcBorders>
              <w:top w:val="nil"/>
              <w:left w:val="nil"/>
              <w:bottom w:val="single" w:sz="4" w:space="0" w:color="auto"/>
              <w:right w:val="single" w:sz="4" w:space="0" w:color="auto"/>
            </w:tcBorders>
            <w:shd w:val="clear" w:color="auto" w:fill="auto"/>
            <w:vAlign w:val="center"/>
            <w:hideMark/>
          </w:tcPr>
          <w:p w14:paraId="189A7FD6" w14:textId="77777777" w:rsidR="008E4EF6" w:rsidRPr="008E4EF6" w:rsidRDefault="008E4EF6" w:rsidP="00491117">
            <w:pPr>
              <w:spacing w:after="0"/>
              <w:jc w:val="center"/>
            </w:pPr>
            <w:r w:rsidRPr="008E4EF6">
              <w:t>12,8</w:t>
            </w:r>
          </w:p>
        </w:tc>
      </w:tr>
      <w:tr w:rsidR="008E4EF6" w:rsidRPr="008E4EF6" w14:paraId="6C75111D"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4176A037" w14:textId="77777777" w:rsidR="008E4EF6" w:rsidRPr="008E4EF6" w:rsidRDefault="008E4EF6" w:rsidP="00491117">
            <w:pPr>
              <w:spacing w:after="0"/>
              <w:jc w:val="center"/>
            </w:pPr>
            <w:r w:rsidRPr="008E4EF6">
              <w:t>Kościuszki</w:t>
            </w:r>
          </w:p>
        </w:tc>
        <w:tc>
          <w:tcPr>
            <w:tcW w:w="3020" w:type="dxa"/>
            <w:tcBorders>
              <w:top w:val="nil"/>
              <w:left w:val="nil"/>
              <w:bottom w:val="single" w:sz="4" w:space="0" w:color="auto"/>
              <w:right w:val="single" w:sz="4" w:space="0" w:color="auto"/>
            </w:tcBorders>
            <w:shd w:val="clear" w:color="auto" w:fill="auto"/>
            <w:vAlign w:val="center"/>
            <w:hideMark/>
          </w:tcPr>
          <w:p w14:paraId="7EED30C6" w14:textId="77777777" w:rsidR="008E4EF6" w:rsidRPr="008E4EF6" w:rsidRDefault="008E4EF6" w:rsidP="00491117">
            <w:pPr>
              <w:spacing w:after="0"/>
              <w:jc w:val="center"/>
            </w:pPr>
            <w:r w:rsidRPr="008E4EF6">
              <w:t>9,6</w:t>
            </w:r>
          </w:p>
        </w:tc>
      </w:tr>
      <w:tr w:rsidR="008E4EF6" w:rsidRPr="008E4EF6" w14:paraId="55A82A54"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621E8908" w14:textId="77777777" w:rsidR="008E4EF6" w:rsidRPr="008E4EF6" w:rsidRDefault="008E4EF6" w:rsidP="00491117">
            <w:pPr>
              <w:spacing w:after="0"/>
              <w:jc w:val="center"/>
            </w:pPr>
            <w:r w:rsidRPr="008E4EF6">
              <w:t>Podgrodzie</w:t>
            </w:r>
          </w:p>
        </w:tc>
        <w:tc>
          <w:tcPr>
            <w:tcW w:w="3020" w:type="dxa"/>
            <w:tcBorders>
              <w:top w:val="nil"/>
              <w:left w:val="nil"/>
              <w:bottom w:val="single" w:sz="4" w:space="0" w:color="auto"/>
              <w:right w:val="single" w:sz="4" w:space="0" w:color="auto"/>
            </w:tcBorders>
            <w:shd w:val="clear" w:color="auto" w:fill="auto"/>
            <w:vAlign w:val="center"/>
            <w:hideMark/>
          </w:tcPr>
          <w:p w14:paraId="487BEFB7" w14:textId="77777777" w:rsidR="008E4EF6" w:rsidRPr="008E4EF6" w:rsidRDefault="008E4EF6" w:rsidP="00491117">
            <w:pPr>
              <w:spacing w:after="0"/>
              <w:jc w:val="center"/>
            </w:pPr>
            <w:r w:rsidRPr="008E4EF6">
              <w:t>9,4</w:t>
            </w:r>
          </w:p>
        </w:tc>
      </w:tr>
      <w:tr w:rsidR="008E4EF6" w:rsidRPr="008E4EF6" w14:paraId="797EE83A"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2F6CB31B" w14:textId="77777777" w:rsidR="008E4EF6" w:rsidRPr="008E4EF6" w:rsidRDefault="008E4EF6" w:rsidP="00491117">
            <w:pPr>
              <w:spacing w:after="0"/>
              <w:jc w:val="center"/>
            </w:pPr>
            <w:r w:rsidRPr="008E4EF6">
              <w:t>Grunwaldzkie</w:t>
            </w:r>
          </w:p>
        </w:tc>
        <w:tc>
          <w:tcPr>
            <w:tcW w:w="3020" w:type="dxa"/>
            <w:tcBorders>
              <w:top w:val="nil"/>
              <w:left w:val="nil"/>
              <w:bottom w:val="single" w:sz="4" w:space="0" w:color="auto"/>
              <w:right w:val="single" w:sz="4" w:space="0" w:color="auto"/>
            </w:tcBorders>
            <w:shd w:val="clear" w:color="auto" w:fill="auto"/>
            <w:vAlign w:val="center"/>
            <w:hideMark/>
          </w:tcPr>
          <w:p w14:paraId="781FDD6F" w14:textId="77777777" w:rsidR="008E4EF6" w:rsidRPr="008E4EF6" w:rsidRDefault="008E4EF6" w:rsidP="00491117">
            <w:pPr>
              <w:spacing w:after="0"/>
              <w:jc w:val="center"/>
            </w:pPr>
            <w:r w:rsidRPr="008E4EF6">
              <w:t>6,9</w:t>
            </w:r>
          </w:p>
        </w:tc>
      </w:tr>
      <w:tr w:rsidR="008E4EF6" w:rsidRPr="008E4EF6" w14:paraId="2F19CE14"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149FF17C" w14:textId="4DB18566" w:rsidR="008E4EF6" w:rsidRPr="008E4EF6" w:rsidRDefault="008E4EF6" w:rsidP="00491117">
            <w:pPr>
              <w:spacing w:after="0"/>
              <w:jc w:val="center"/>
            </w:pPr>
            <w:r w:rsidRPr="008E4EF6">
              <w:t>Ko</w:t>
            </w:r>
            <w:r w:rsidR="000F3FDB">
              <w:t>r</w:t>
            </w:r>
            <w:r w:rsidRPr="008E4EF6">
              <w:t>moran</w:t>
            </w:r>
          </w:p>
        </w:tc>
        <w:tc>
          <w:tcPr>
            <w:tcW w:w="3020" w:type="dxa"/>
            <w:tcBorders>
              <w:top w:val="nil"/>
              <w:left w:val="nil"/>
              <w:bottom w:val="single" w:sz="4" w:space="0" w:color="auto"/>
              <w:right w:val="single" w:sz="4" w:space="0" w:color="auto"/>
            </w:tcBorders>
            <w:shd w:val="clear" w:color="auto" w:fill="auto"/>
            <w:vAlign w:val="center"/>
            <w:hideMark/>
          </w:tcPr>
          <w:p w14:paraId="56FFD1A0" w14:textId="77777777" w:rsidR="008E4EF6" w:rsidRPr="008E4EF6" w:rsidRDefault="008E4EF6" w:rsidP="00491117">
            <w:pPr>
              <w:spacing w:after="0"/>
              <w:jc w:val="center"/>
            </w:pPr>
            <w:r w:rsidRPr="008E4EF6">
              <w:t>4,8</w:t>
            </w:r>
          </w:p>
        </w:tc>
      </w:tr>
      <w:tr w:rsidR="008E4EF6" w:rsidRPr="008E4EF6" w14:paraId="412ECBE9"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0C039EC6" w14:textId="77777777" w:rsidR="008E4EF6" w:rsidRPr="008E4EF6" w:rsidRDefault="008E4EF6" w:rsidP="00491117">
            <w:pPr>
              <w:spacing w:after="0"/>
              <w:jc w:val="center"/>
            </w:pPr>
            <w:r w:rsidRPr="008E4EF6">
              <w:t>Generałów</w:t>
            </w:r>
          </w:p>
        </w:tc>
        <w:tc>
          <w:tcPr>
            <w:tcW w:w="3020" w:type="dxa"/>
            <w:tcBorders>
              <w:top w:val="nil"/>
              <w:left w:val="nil"/>
              <w:bottom w:val="single" w:sz="4" w:space="0" w:color="auto"/>
              <w:right w:val="single" w:sz="4" w:space="0" w:color="auto"/>
            </w:tcBorders>
            <w:shd w:val="clear" w:color="auto" w:fill="auto"/>
            <w:vAlign w:val="center"/>
            <w:hideMark/>
          </w:tcPr>
          <w:p w14:paraId="01EECCAD" w14:textId="77777777" w:rsidR="008E4EF6" w:rsidRPr="008E4EF6" w:rsidRDefault="008E4EF6" w:rsidP="00491117">
            <w:pPr>
              <w:spacing w:after="0"/>
              <w:jc w:val="center"/>
            </w:pPr>
            <w:r w:rsidRPr="008E4EF6">
              <w:t>3,5</w:t>
            </w:r>
          </w:p>
        </w:tc>
      </w:tr>
      <w:tr w:rsidR="008E4EF6" w:rsidRPr="008E4EF6" w14:paraId="6D1463B1"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3B5172ED" w14:textId="77777777" w:rsidR="008E4EF6" w:rsidRPr="008E4EF6" w:rsidRDefault="008E4EF6" w:rsidP="00491117">
            <w:pPr>
              <w:spacing w:after="0"/>
              <w:jc w:val="center"/>
            </w:pPr>
            <w:r w:rsidRPr="008E4EF6">
              <w:t>Wojska Polskiego</w:t>
            </w:r>
          </w:p>
        </w:tc>
        <w:tc>
          <w:tcPr>
            <w:tcW w:w="3020" w:type="dxa"/>
            <w:tcBorders>
              <w:top w:val="nil"/>
              <w:left w:val="nil"/>
              <w:bottom w:val="single" w:sz="4" w:space="0" w:color="auto"/>
              <w:right w:val="single" w:sz="4" w:space="0" w:color="auto"/>
            </w:tcBorders>
            <w:shd w:val="clear" w:color="auto" w:fill="auto"/>
            <w:vAlign w:val="center"/>
            <w:hideMark/>
          </w:tcPr>
          <w:p w14:paraId="3EB2D14E" w14:textId="77777777" w:rsidR="008E4EF6" w:rsidRPr="008E4EF6" w:rsidRDefault="008E4EF6" w:rsidP="00491117">
            <w:pPr>
              <w:spacing w:after="0"/>
              <w:jc w:val="center"/>
            </w:pPr>
            <w:r w:rsidRPr="008E4EF6">
              <w:t>1,4</w:t>
            </w:r>
          </w:p>
        </w:tc>
      </w:tr>
      <w:tr w:rsidR="008E4EF6" w:rsidRPr="008E4EF6" w14:paraId="714A0280"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42416CA5" w14:textId="77777777" w:rsidR="008E4EF6" w:rsidRPr="008E4EF6" w:rsidRDefault="008E4EF6" w:rsidP="00491117">
            <w:pPr>
              <w:spacing w:after="0"/>
              <w:jc w:val="center"/>
            </w:pPr>
            <w:r w:rsidRPr="008E4EF6">
              <w:t>Jaroty</w:t>
            </w:r>
          </w:p>
        </w:tc>
        <w:tc>
          <w:tcPr>
            <w:tcW w:w="3020" w:type="dxa"/>
            <w:tcBorders>
              <w:top w:val="nil"/>
              <w:left w:val="nil"/>
              <w:bottom w:val="single" w:sz="4" w:space="0" w:color="auto"/>
              <w:right w:val="single" w:sz="4" w:space="0" w:color="auto"/>
            </w:tcBorders>
            <w:shd w:val="clear" w:color="auto" w:fill="auto"/>
            <w:vAlign w:val="center"/>
            <w:hideMark/>
          </w:tcPr>
          <w:p w14:paraId="62F1CCC8" w14:textId="77777777" w:rsidR="008E4EF6" w:rsidRPr="008E4EF6" w:rsidRDefault="008E4EF6" w:rsidP="00491117">
            <w:pPr>
              <w:spacing w:after="0"/>
              <w:jc w:val="center"/>
            </w:pPr>
            <w:r w:rsidRPr="008E4EF6">
              <w:t>1,2</w:t>
            </w:r>
          </w:p>
        </w:tc>
      </w:tr>
      <w:tr w:rsidR="008E4EF6" w:rsidRPr="008E4EF6" w14:paraId="4639A217"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3F4ECD47" w14:textId="77777777" w:rsidR="008E4EF6" w:rsidRPr="008E4EF6" w:rsidRDefault="008E4EF6" w:rsidP="00491117">
            <w:pPr>
              <w:spacing w:after="0"/>
              <w:jc w:val="center"/>
            </w:pPr>
            <w:r w:rsidRPr="008E4EF6">
              <w:t>Pieczewo</w:t>
            </w:r>
          </w:p>
        </w:tc>
        <w:tc>
          <w:tcPr>
            <w:tcW w:w="3020" w:type="dxa"/>
            <w:tcBorders>
              <w:top w:val="nil"/>
              <w:left w:val="nil"/>
              <w:bottom w:val="single" w:sz="4" w:space="0" w:color="auto"/>
              <w:right w:val="single" w:sz="4" w:space="0" w:color="auto"/>
            </w:tcBorders>
            <w:shd w:val="clear" w:color="auto" w:fill="auto"/>
            <w:vAlign w:val="center"/>
            <w:hideMark/>
          </w:tcPr>
          <w:p w14:paraId="4D260278" w14:textId="77777777" w:rsidR="008E4EF6" w:rsidRPr="008E4EF6" w:rsidRDefault="008E4EF6" w:rsidP="00491117">
            <w:pPr>
              <w:spacing w:after="0"/>
              <w:jc w:val="center"/>
            </w:pPr>
            <w:r w:rsidRPr="008E4EF6">
              <w:t>0,8</w:t>
            </w:r>
          </w:p>
        </w:tc>
      </w:tr>
      <w:tr w:rsidR="008E4EF6" w:rsidRPr="008E4EF6" w14:paraId="4F12C342" w14:textId="77777777" w:rsidTr="00491117">
        <w:trPr>
          <w:trHeight w:val="300"/>
          <w:jc w:val="center"/>
        </w:trPr>
        <w:tc>
          <w:tcPr>
            <w:tcW w:w="5889" w:type="dxa"/>
            <w:tcBorders>
              <w:top w:val="nil"/>
              <w:left w:val="single" w:sz="4" w:space="0" w:color="auto"/>
              <w:bottom w:val="single" w:sz="4" w:space="0" w:color="auto"/>
              <w:right w:val="single" w:sz="4" w:space="0" w:color="auto"/>
            </w:tcBorders>
            <w:shd w:val="clear" w:color="auto" w:fill="auto"/>
            <w:vAlign w:val="center"/>
            <w:hideMark/>
          </w:tcPr>
          <w:p w14:paraId="2C0C26CC" w14:textId="77777777" w:rsidR="008E4EF6" w:rsidRPr="008E4EF6" w:rsidRDefault="008E4EF6" w:rsidP="00491117">
            <w:pPr>
              <w:spacing w:after="0"/>
              <w:jc w:val="center"/>
            </w:pPr>
            <w:r w:rsidRPr="008E4EF6">
              <w:t>Nagórki</w:t>
            </w:r>
          </w:p>
        </w:tc>
        <w:tc>
          <w:tcPr>
            <w:tcW w:w="3020" w:type="dxa"/>
            <w:tcBorders>
              <w:top w:val="nil"/>
              <w:left w:val="nil"/>
              <w:bottom w:val="single" w:sz="4" w:space="0" w:color="auto"/>
              <w:right w:val="single" w:sz="4" w:space="0" w:color="auto"/>
            </w:tcBorders>
            <w:shd w:val="clear" w:color="auto" w:fill="auto"/>
            <w:vAlign w:val="center"/>
            <w:hideMark/>
          </w:tcPr>
          <w:p w14:paraId="69391CCD" w14:textId="77777777" w:rsidR="008E4EF6" w:rsidRPr="008E4EF6" w:rsidRDefault="008E4EF6" w:rsidP="00491117">
            <w:pPr>
              <w:spacing w:after="0"/>
              <w:jc w:val="center"/>
            </w:pPr>
            <w:r w:rsidRPr="008E4EF6">
              <w:t>0,0</w:t>
            </w:r>
          </w:p>
        </w:tc>
      </w:tr>
    </w:tbl>
    <w:p w14:paraId="1DD98C34" w14:textId="0640817A" w:rsidR="008E4EF6" w:rsidRPr="008E4EF6" w:rsidRDefault="00964AED" w:rsidP="00B46FD6">
      <w:pPr>
        <w:jc w:val="center"/>
      </w:pPr>
      <w:r>
        <w:rPr>
          <w:sz w:val="20"/>
        </w:rPr>
        <w:t>ź</w:t>
      </w:r>
      <w:r w:rsidR="00491117" w:rsidRPr="00A964B9">
        <w:rPr>
          <w:sz w:val="20"/>
        </w:rPr>
        <w:t xml:space="preserve">ródło danych: </w:t>
      </w:r>
      <w:r w:rsidR="00491117" w:rsidRPr="00491117">
        <w:rPr>
          <w:i/>
          <w:sz w:val="20"/>
        </w:rPr>
        <w:t>Miejski Program Rewitalizacji Olsztyna 2023</w:t>
      </w:r>
    </w:p>
    <w:p w14:paraId="7BD6208B" w14:textId="0F1311E2" w:rsidR="008E4EF6" w:rsidRDefault="008E4EF6" w:rsidP="00491117">
      <w:pPr>
        <w:jc w:val="both"/>
      </w:pPr>
      <w:r w:rsidRPr="008E4EF6">
        <w:t xml:space="preserve">Zdecydowanie najwyższą wartością wskaźnika cechowała się Zielona Górka (132,7), której wynik był ponad dwa razy większy niż następnego osiedla na liście – Redykajny (59,9). Łącznie z Redykajnami </w:t>
      </w:r>
      <w:r w:rsidR="00964AED">
        <w:br/>
      </w:r>
      <w:r w:rsidRPr="008E4EF6">
        <w:t xml:space="preserve">7 jednostek uzyskało wartość wskaźnika pomiędzy 30 a 60, a kolejnych 6 między 10 a 30. Najmniej bezrobotnych na </w:t>
      </w:r>
      <w:r w:rsidR="00E37BD0">
        <w:t xml:space="preserve">1 tys. </w:t>
      </w:r>
      <w:r w:rsidRPr="008E4EF6">
        <w:t>mieszkańców, bo około jednego, przypada osiedlom Pieczewo (0,8), Jaroty (1,2), Wojska Polskiego (1,4). Ponownie nie uzyskano danych dla jednostki Nagórki.</w:t>
      </w:r>
    </w:p>
    <w:p w14:paraId="533E134C" w14:textId="77777777" w:rsidR="00964AED" w:rsidRDefault="00964AED" w:rsidP="00964AED">
      <w:pPr>
        <w:pStyle w:val="Legenda"/>
        <w:rPr>
          <w:sz w:val="22"/>
          <w:szCs w:val="22"/>
          <w:lang w:val="pl-PL"/>
        </w:rPr>
      </w:pPr>
    </w:p>
    <w:p w14:paraId="1F088A37" w14:textId="1EFE8145" w:rsidR="00964AED" w:rsidRPr="00964AED" w:rsidRDefault="00964AED" w:rsidP="00964AED">
      <w:pPr>
        <w:pStyle w:val="Legenda"/>
        <w:rPr>
          <w:sz w:val="22"/>
          <w:szCs w:val="22"/>
          <w:lang w:val="pl-PL"/>
        </w:rPr>
      </w:pPr>
      <w:bookmarkStart w:id="36" w:name="_Toc73516168"/>
      <w:r w:rsidRPr="00964AED">
        <w:rPr>
          <w:sz w:val="22"/>
          <w:szCs w:val="22"/>
          <w:lang w:val="pl-PL"/>
        </w:rPr>
        <w:t xml:space="preserve">Rysunek </w:t>
      </w:r>
      <w:r w:rsidRPr="00964AED">
        <w:rPr>
          <w:sz w:val="22"/>
          <w:szCs w:val="22"/>
        </w:rPr>
        <w:fldChar w:fldCharType="begin"/>
      </w:r>
      <w:r w:rsidRPr="00964AED">
        <w:rPr>
          <w:sz w:val="22"/>
          <w:szCs w:val="22"/>
          <w:lang w:val="pl-PL"/>
        </w:rPr>
        <w:instrText xml:space="preserve"> SEQ Rysunek \* ARABIC </w:instrText>
      </w:r>
      <w:r w:rsidRPr="00964AED">
        <w:rPr>
          <w:sz w:val="22"/>
          <w:szCs w:val="22"/>
        </w:rPr>
        <w:fldChar w:fldCharType="separate"/>
      </w:r>
      <w:r w:rsidR="00AD58C3">
        <w:rPr>
          <w:noProof/>
          <w:sz w:val="22"/>
          <w:szCs w:val="22"/>
          <w:lang w:val="pl-PL"/>
        </w:rPr>
        <w:t>3</w:t>
      </w:r>
      <w:r w:rsidRPr="00964AED">
        <w:rPr>
          <w:sz w:val="22"/>
          <w:szCs w:val="22"/>
        </w:rPr>
        <w:fldChar w:fldCharType="end"/>
      </w:r>
      <w:r w:rsidRPr="00964AED">
        <w:rPr>
          <w:sz w:val="22"/>
          <w:szCs w:val="22"/>
          <w:lang w:val="pl-PL"/>
        </w:rPr>
        <w:t>. Mieszkańcy</w:t>
      </w:r>
      <w:r>
        <w:rPr>
          <w:sz w:val="22"/>
          <w:szCs w:val="22"/>
          <w:lang w:val="pl-PL"/>
        </w:rPr>
        <w:t xml:space="preserve"> Olsztyna </w:t>
      </w:r>
      <w:r w:rsidRPr="00964AED">
        <w:rPr>
          <w:sz w:val="22"/>
          <w:szCs w:val="22"/>
          <w:lang w:val="pl-PL"/>
        </w:rPr>
        <w:t xml:space="preserve">korzystający z pomocy społecznej z powodu bezrobocia na 1 tys. </w:t>
      </w:r>
      <w:r w:rsidR="009E05A0">
        <w:rPr>
          <w:sz w:val="22"/>
          <w:szCs w:val="22"/>
          <w:lang w:val="pl-PL"/>
        </w:rPr>
        <w:t>ludności</w:t>
      </w:r>
      <w:bookmarkEnd w:id="36"/>
      <w:r w:rsidRPr="00964AED">
        <w:rPr>
          <w:sz w:val="22"/>
          <w:szCs w:val="22"/>
          <w:lang w:val="pl-PL"/>
        </w:rPr>
        <w:t xml:space="preserve"> </w:t>
      </w:r>
    </w:p>
    <w:p w14:paraId="0485A9B1" w14:textId="77777777" w:rsidR="004E4701" w:rsidRDefault="008E4EF6" w:rsidP="004E4701">
      <w:pPr>
        <w:keepNext/>
        <w:jc w:val="center"/>
      </w:pPr>
      <w:r w:rsidRPr="008E4EF6">
        <w:rPr>
          <w:noProof/>
          <w:lang w:eastAsia="pl-PL"/>
        </w:rPr>
        <w:drawing>
          <wp:inline distT="0" distB="0" distL="0" distR="0" wp14:anchorId="6A03305A" wp14:editId="7E3D5475">
            <wp:extent cx="4320000" cy="3505714"/>
            <wp:effectExtent l="0" t="0" r="4445" b="0"/>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a:stretch/>
                  </pic:blipFill>
                  <pic:spPr bwMode="auto">
                    <a:xfrm>
                      <a:off x="0" y="0"/>
                      <a:ext cx="4320000" cy="3505714"/>
                    </a:xfrm>
                    <a:prstGeom prst="rect">
                      <a:avLst/>
                    </a:prstGeom>
                    <a:ln>
                      <a:noFill/>
                    </a:ln>
                    <a:extLst>
                      <a:ext uri="{53640926-AAD7-44D8-BBD7-CCE9431645EC}">
                        <a14:shadowObscured xmlns:a14="http://schemas.microsoft.com/office/drawing/2010/main"/>
                      </a:ext>
                    </a:extLst>
                  </pic:spPr>
                </pic:pic>
              </a:graphicData>
            </a:graphic>
          </wp:inline>
        </w:drawing>
      </w:r>
    </w:p>
    <w:p w14:paraId="2A3624F8" w14:textId="5ABA4B56" w:rsidR="008E4EF6" w:rsidRPr="004E4701" w:rsidRDefault="00964AED" w:rsidP="004E4701">
      <w:pPr>
        <w:pStyle w:val="Legenda"/>
        <w:jc w:val="center"/>
        <w:rPr>
          <w:sz w:val="20"/>
          <w:lang w:val="pl-PL"/>
        </w:rPr>
      </w:pPr>
      <w:r>
        <w:rPr>
          <w:sz w:val="20"/>
          <w:lang w:val="pl-PL"/>
        </w:rPr>
        <w:t>ź</w:t>
      </w:r>
      <w:r w:rsidR="004E4701" w:rsidRPr="004E4701">
        <w:rPr>
          <w:sz w:val="20"/>
          <w:lang w:val="pl-PL"/>
        </w:rPr>
        <w:t>ródło danych: Miejski Program Rewitalizacji Olsztyna 2023. Podkład: Mapa akustyczna Olsztyna; str. 10</w:t>
      </w:r>
    </w:p>
    <w:p w14:paraId="5F8578C8" w14:textId="77777777" w:rsidR="008E4EF6" w:rsidRPr="008E4EF6" w:rsidRDefault="008E4EF6" w:rsidP="008E4EF6"/>
    <w:p w14:paraId="19282BF2" w14:textId="77777777" w:rsidR="009A3DF4" w:rsidRDefault="009A3DF4" w:rsidP="00481F26">
      <w:pPr>
        <w:jc w:val="both"/>
      </w:pPr>
    </w:p>
    <w:p w14:paraId="37EEFD0B" w14:textId="6C3DC7D5" w:rsidR="00953ADD" w:rsidRDefault="008E4EF6" w:rsidP="00481F26">
      <w:pPr>
        <w:jc w:val="both"/>
      </w:pPr>
      <w:r w:rsidRPr="008E4EF6">
        <w:t>Analizując przestrzenny rozkład omawianego wskaźnika, ponownie można zauważyć, że problem dotyczy głównie osiedli peryferyjnych oraz Śródmieścia. Skala problemu w Zielonej Górce (zachodnia część) jest nieporównywalnie większa od innych osiedli.</w:t>
      </w:r>
    </w:p>
    <w:p w14:paraId="6D853482" w14:textId="77777777" w:rsidR="000A1E79" w:rsidRDefault="000A1E79" w:rsidP="00481F26">
      <w:pPr>
        <w:jc w:val="both"/>
        <w:rPr>
          <w:rFonts w:asciiTheme="majorHAnsi" w:eastAsiaTheme="majorEastAsia" w:hAnsiTheme="majorHAnsi" w:cstheme="majorBidi"/>
          <w:color w:val="2E74B5" w:themeColor="accent1" w:themeShade="BF"/>
          <w:sz w:val="26"/>
          <w:szCs w:val="26"/>
        </w:rPr>
      </w:pPr>
    </w:p>
    <w:p w14:paraId="666E5427" w14:textId="77777777" w:rsidR="00E71CC7" w:rsidRDefault="002223EC" w:rsidP="002223EC">
      <w:pPr>
        <w:pStyle w:val="Nagwek3"/>
      </w:pPr>
      <w:bookmarkStart w:id="37" w:name="_Toc73534893"/>
      <w:r>
        <w:t xml:space="preserve">1.2.5 </w:t>
      </w:r>
      <w:r w:rsidR="00E71CC7">
        <w:t>Problemy społeczne</w:t>
      </w:r>
      <w:bookmarkEnd w:id="37"/>
    </w:p>
    <w:p w14:paraId="319F4F1C" w14:textId="718A12DE" w:rsidR="00B1118D" w:rsidRDefault="00E71CC7" w:rsidP="00723065">
      <w:pPr>
        <w:jc w:val="both"/>
        <w:rPr>
          <w:color w:val="000000" w:themeColor="text1"/>
        </w:rPr>
      </w:pPr>
      <w:r w:rsidRPr="004A2432">
        <w:rPr>
          <w:color w:val="000000" w:themeColor="text1"/>
        </w:rPr>
        <w:t xml:space="preserve">Problem wykluczenia społecznego zmniejsza się </w:t>
      </w:r>
      <w:r w:rsidR="00723065" w:rsidRPr="004A2432">
        <w:rPr>
          <w:color w:val="000000" w:themeColor="text1"/>
        </w:rPr>
        <w:t>wraz ze spadkiem bezrobocia, jednakże bez zmian pozostają inne</w:t>
      </w:r>
      <w:r w:rsidR="00FF1942">
        <w:rPr>
          <w:color w:val="000000" w:themeColor="text1"/>
        </w:rPr>
        <w:t xml:space="preserve"> jego</w:t>
      </w:r>
      <w:r w:rsidR="00723065" w:rsidRPr="004A2432">
        <w:rPr>
          <w:color w:val="000000" w:themeColor="text1"/>
        </w:rPr>
        <w:t xml:space="preserve"> przyczyny. Do najważniejszych z nich należy uzależnienie – </w:t>
      </w:r>
      <w:r w:rsidR="00B1118D" w:rsidRPr="004A2432">
        <w:rPr>
          <w:color w:val="000000" w:themeColor="text1"/>
        </w:rPr>
        <w:t xml:space="preserve">zauważalne </w:t>
      </w:r>
      <w:r w:rsidR="00FF1942">
        <w:rPr>
          <w:color w:val="000000" w:themeColor="text1"/>
        </w:rPr>
        <w:br/>
      </w:r>
      <w:r w:rsidR="00B1118D" w:rsidRPr="004A2432">
        <w:rPr>
          <w:color w:val="000000" w:themeColor="text1"/>
        </w:rPr>
        <w:t xml:space="preserve">w najwyższym stopniu w przypadku uzależnienia od </w:t>
      </w:r>
      <w:r w:rsidR="00723065" w:rsidRPr="004A2432">
        <w:rPr>
          <w:color w:val="000000" w:themeColor="text1"/>
        </w:rPr>
        <w:t>alkoholu</w:t>
      </w:r>
      <w:r w:rsidR="00B1118D" w:rsidRPr="004A2432">
        <w:rPr>
          <w:color w:val="000000" w:themeColor="text1"/>
        </w:rPr>
        <w:t xml:space="preserve">. </w:t>
      </w:r>
      <w:r w:rsidR="004A2432" w:rsidRPr="004A2432">
        <w:rPr>
          <w:color w:val="000000" w:themeColor="text1"/>
        </w:rPr>
        <w:t>Na obszarach wszystkich omawianych województw l</w:t>
      </w:r>
      <w:r w:rsidR="00B1118D" w:rsidRPr="004A2432">
        <w:rPr>
          <w:color w:val="000000" w:themeColor="text1"/>
        </w:rPr>
        <w:t xml:space="preserve">iczba dotkniętych problemem alkoholowym (leczonych w poradniach) </w:t>
      </w:r>
      <w:r w:rsidR="004A2432" w:rsidRPr="004A2432">
        <w:rPr>
          <w:color w:val="000000" w:themeColor="text1"/>
        </w:rPr>
        <w:t xml:space="preserve">jest wielkością stale </w:t>
      </w:r>
      <w:r w:rsidR="009A3DF4">
        <w:rPr>
          <w:color w:val="000000" w:themeColor="text1"/>
        </w:rPr>
        <w:t>zmieniającą się.</w:t>
      </w:r>
      <w:r w:rsidR="004A2432" w:rsidRPr="004A2432">
        <w:rPr>
          <w:color w:val="000000" w:themeColor="text1"/>
        </w:rPr>
        <w:t xml:space="preserve"> Jednakże, </w:t>
      </w:r>
      <w:r w:rsidR="009A3DF4">
        <w:rPr>
          <w:color w:val="000000" w:themeColor="text1"/>
        </w:rPr>
        <w:t>warto z</w:t>
      </w:r>
      <w:r w:rsidR="0006459C">
        <w:rPr>
          <w:color w:val="000000" w:themeColor="text1"/>
        </w:rPr>
        <w:t xml:space="preserve">wrócić uwagę na zmniejszającą się </w:t>
      </w:r>
      <w:r w:rsidR="00D10440">
        <w:rPr>
          <w:color w:val="000000" w:themeColor="text1"/>
        </w:rPr>
        <w:t xml:space="preserve">ich </w:t>
      </w:r>
      <w:r w:rsidR="0006459C">
        <w:rPr>
          <w:color w:val="000000" w:themeColor="text1"/>
        </w:rPr>
        <w:t xml:space="preserve">liczbę </w:t>
      </w:r>
      <w:r w:rsidR="00D10440">
        <w:rPr>
          <w:color w:val="000000" w:themeColor="text1"/>
        </w:rPr>
        <w:t xml:space="preserve">zarejestrowaną w regionie </w:t>
      </w:r>
      <w:r w:rsidR="00B43DBF">
        <w:rPr>
          <w:color w:val="000000" w:themeColor="text1"/>
        </w:rPr>
        <w:t xml:space="preserve">województw warmińsko-mazurskiego, świętokrzyskiego, podkarpackiego, lubelskiego </w:t>
      </w:r>
      <w:r w:rsidR="0006459C">
        <w:rPr>
          <w:color w:val="000000" w:themeColor="text1"/>
        </w:rPr>
        <w:t>(</w:t>
      </w:r>
      <w:r w:rsidR="00B43DBF">
        <w:rPr>
          <w:color w:val="000000" w:themeColor="text1"/>
        </w:rPr>
        <w:t xml:space="preserve">w roku 2018 w porównaniu do roku 2013). </w:t>
      </w:r>
      <w:r w:rsidR="00E10D91">
        <w:rPr>
          <w:color w:val="000000" w:themeColor="text1"/>
        </w:rPr>
        <w:t>W</w:t>
      </w:r>
      <w:r w:rsidR="00C82C42">
        <w:rPr>
          <w:color w:val="000000" w:themeColor="text1"/>
        </w:rPr>
        <w:t>yjątkiem pozostaje województwo podlaskie</w:t>
      </w:r>
      <w:r w:rsidR="00D10440">
        <w:rPr>
          <w:color w:val="000000" w:themeColor="text1"/>
        </w:rPr>
        <w:t xml:space="preserve">, </w:t>
      </w:r>
      <w:r w:rsidR="00C82C42">
        <w:rPr>
          <w:color w:val="000000" w:themeColor="text1"/>
        </w:rPr>
        <w:t>na terenie którego odnotowano 24% wzrost osób uzależnionych od alkoholu leczonych w poradniach (wi</w:t>
      </w:r>
      <w:r w:rsidR="00E10D91">
        <w:rPr>
          <w:color w:val="000000" w:themeColor="text1"/>
        </w:rPr>
        <w:t xml:space="preserve">ęcej o </w:t>
      </w:r>
      <w:r w:rsidR="00C82C42">
        <w:rPr>
          <w:color w:val="000000" w:themeColor="text1"/>
        </w:rPr>
        <w:t>1 991 os.).</w:t>
      </w:r>
      <w:r w:rsidR="004A2432" w:rsidRPr="004A2432">
        <w:rPr>
          <w:color w:val="000000" w:themeColor="text1"/>
        </w:rPr>
        <w:t xml:space="preserve"> </w:t>
      </w:r>
      <w:r w:rsidR="00D10440">
        <w:rPr>
          <w:color w:val="000000" w:themeColor="text1"/>
        </w:rPr>
        <w:t xml:space="preserve">Problem </w:t>
      </w:r>
      <w:r w:rsidR="00B1118D" w:rsidRPr="004A2432">
        <w:rPr>
          <w:color w:val="000000" w:themeColor="text1"/>
        </w:rPr>
        <w:t xml:space="preserve">uzależnienia od środków psychoaktywnych </w:t>
      </w:r>
      <w:r w:rsidR="00D10440">
        <w:rPr>
          <w:color w:val="000000" w:themeColor="text1"/>
        </w:rPr>
        <w:t>i wzrost liczby osób uzależnionych</w:t>
      </w:r>
      <w:r w:rsidR="000C077F">
        <w:rPr>
          <w:color w:val="000000" w:themeColor="text1"/>
        </w:rPr>
        <w:t xml:space="preserve"> (rok 2019 </w:t>
      </w:r>
      <w:r w:rsidR="00D10440">
        <w:rPr>
          <w:color w:val="000000" w:themeColor="text1"/>
        </w:rPr>
        <w:t xml:space="preserve"> </w:t>
      </w:r>
      <w:r w:rsidR="000C077F">
        <w:rPr>
          <w:color w:val="000000" w:themeColor="text1"/>
        </w:rPr>
        <w:t xml:space="preserve">do 2013 roku) </w:t>
      </w:r>
      <w:r w:rsidR="00B1118D" w:rsidRPr="004A2432">
        <w:rPr>
          <w:color w:val="000000" w:themeColor="text1"/>
        </w:rPr>
        <w:t>doty</w:t>
      </w:r>
      <w:r w:rsidR="00D10440">
        <w:rPr>
          <w:color w:val="000000" w:themeColor="text1"/>
        </w:rPr>
        <w:t>czy wszystkich poddanych analizie obszarów wojewódzkich</w:t>
      </w:r>
      <w:r w:rsidR="000C077F">
        <w:rPr>
          <w:color w:val="000000" w:themeColor="text1"/>
        </w:rPr>
        <w:t xml:space="preserve">: warmińsko-mazurskiego – więcej o 345 os., świętokrzyskiego – więcej o 634 os.,  lubelskiego – więcej o 593 os, podkarpackiego – więcej o 91 oraz podlaskiego – więcej o 61 os. </w:t>
      </w:r>
    </w:p>
    <w:p w14:paraId="65AD3514" w14:textId="2E6EC571" w:rsidR="000A1E79" w:rsidRDefault="000A1E79" w:rsidP="000A1E79">
      <w:pPr>
        <w:pStyle w:val="Legenda"/>
        <w:rPr>
          <w:bCs/>
          <w:color w:val="000000" w:themeColor="text1"/>
          <w:sz w:val="22"/>
          <w:szCs w:val="22"/>
          <w:lang w:val="en-US"/>
        </w:rPr>
      </w:pPr>
      <w:bookmarkStart w:id="38" w:name="_Toc73516080"/>
      <w:r w:rsidRPr="002F2889">
        <w:rPr>
          <w:color w:val="000000" w:themeColor="text1"/>
          <w:sz w:val="22"/>
          <w:szCs w:val="22"/>
        </w:rPr>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18</w:t>
      </w:r>
      <w:r w:rsidRPr="002F2889">
        <w:rPr>
          <w:color w:val="000000" w:themeColor="text1"/>
          <w:sz w:val="22"/>
          <w:szCs w:val="22"/>
        </w:rPr>
        <w:fldChar w:fldCharType="end"/>
      </w:r>
      <w:r w:rsidRPr="002F2889">
        <w:rPr>
          <w:color w:val="000000" w:themeColor="text1"/>
          <w:sz w:val="22"/>
          <w:szCs w:val="22"/>
        </w:rPr>
        <w:t xml:space="preserve">. </w:t>
      </w:r>
      <w:r w:rsidRPr="002F2889">
        <w:rPr>
          <w:bCs/>
          <w:color w:val="000000" w:themeColor="text1"/>
          <w:sz w:val="22"/>
          <w:szCs w:val="22"/>
          <w:lang w:val="en-US"/>
        </w:rPr>
        <w:t xml:space="preserve">Liczba leczonych w poradniach - uzależnieni od alkoholu, środków psychoaktywnych </w:t>
      </w:r>
      <w:r w:rsidRPr="002F2889">
        <w:rPr>
          <w:bCs/>
          <w:color w:val="000000" w:themeColor="text1"/>
          <w:sz w:val="22"/>
          <w:szCs w:val="22"/>
          <w:lang w:val="en-US"/>
        </w:rPr>
        <w:br/>
        <w:t>w wybranych województwach Polski Wchodniej w latach 2013-201</w:t>
      </w:r>
      <w:r w:rsidR="00530AB7">
        <w:rPr>
          <w:bCs/>
          <w:color w:val="000000" w:themeColor="text1"/>
          <w:sz w:val="22"/>
          <w:szCs w:val="22"/>
          <w:lang w:val="en-US"/>
        </w:rPr>
        <w:t>9</w:t>
      </w:r>
      <w:bookmarkEnd w:id="38"/>
    </w:p>
    <w:p w14:paraId="0E054D19" w14:textId="1E61DF44" w:rsidR="00530AB7" w:rsidRDefault="00530AB7" w:rsidP="00530AB7">
      <w:pPr>
        <w:pStyle w:val="Legenda"/>
        <w:spacing w:before="0" w:after="0"/>
        <w:rPr>
          <w:bCs/>
          <w:color w:val="000000" w:themeColor="text1"/>
          <w:sz w:val="22"/>
          <w:szCs w:val="22"/>
          <w:lang w:val="en-US"/>
        </w:rPr>
      </w:pPr>
      <w:r>
        <w:rPr>
          <w:noProof/>
          <w:lang w:val="pl-PL" w:eastAsia="pl-PL"/>
        </w:rPr>
        <w:drawing>
          <wp:inline distT="0" distB="0" distL="0" distR="0" wp14:anchorId="2BBEF3D8" wp14:editId="06B18804">
            <wp:extent cx="5641340" cy="3545457"/>
            <wp:effectExtent l="0" t="0" r="16510" b="17145"/>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A57FFD0" w14:textId="77777777" w:rsidR="004B100F" w:rsidRDefault="004B100F" w:rsidP="00530AB7">
      <w:pPr>
        <w:spacing w:after="0"/>
        <w:jc w:val="center"/>
      </w:pPr>
      <w:r w:rsidRPr="0091031D">
        <w:rPr>
          <w:i/>
          <w:sz w:val="20"/>
          <w:szCs w:val="20"/>
        </w:rPr>
        <w:t>źródło: opracowanie własne na podstawie danych GUS</w:t>
      </w:r>
    </w:p>
    <w:p w14:paraId="1CFDCD92" w14:textId="77777777" w:rsidR="00D96159" w:rsidRDefault="00D96159" w:rsidP="00D96159">
      <w:pPr>
        <w:jc w:val="both"/>
        <w:rPr>
          <w:color w:val="538135" w:themeColor="accent6" w:themeShade="BF"/>
        </w:rPr>
      </w:pPr>
    </w:p>
    <w:p w14:paraId="4FC40905" w14:textId="46EB252E" w:rsidR="00CA6F16" w:rsidRDefault="00CA6F16">
      <w:pPr>
        <w:rPr>
          <w:color w:val="538135" w:themeColor="accent6" w:themeShade="BF"/>
        </w:rPr>
      </w:pPr>
      <w:r>
        <w:rPr>
          <w:color w:val="538135" w:themeColor="accent6" w:themeShade="BF"/>
        </w:rPr>
        <w:br w:type="page"/>
      </w:r>
    </w:p>
    <w:p w14:paraId="45FE28E2" w14:textId="31182716" w:rsidR="00B1118D" w:rsidRDefault="002849B3" w:rsidP="00723065">
      <w:pPr>
        <w:jc w:val="both"/>
      </w:pPr>
      <w:r>
        <w:rPr>
          <w:color w:val="000000" w:themeColor="text1"/>
        </w:rPr>
        <w:lastRenderedPageBreak/>
        <w:t>W opinii respondentów badania „Używanie substancji psychoaktywnych przez mieszkańców Olsztyna – postawy, opinie, zachowania”</w:t>
      </w:r>
      <w:r>
        <w:rPr>
          <w:rStyle w:val="Odwoanieprzypisudolnego"/>
          <w:color w:val="000000" w:themeColor="text1"/>
        </w:rPr>
        <w:footnoteReference w:id="12"/>
      </w:r>
      <w:r>
        <w:rPr>
          <w:color w:val="000000" w:themeColor="text1"/>
        </w:rPr>
        <w:t xml:space="preserve"> (oprac.: na zlecenie Miejskiego Zespołu Profilaktyki i Terapii Uzależnień w Olsztynie, marzec 2018) problem nadużywania alkoholu</w:t>
      </w:r>
      <w:r w:rsidR="005C2EBA">
        <w:rPr>
          <w:color w:val="000000" w:themeColor="text1"/>
        </w:rPr>
        <w:t xml:space="preserve"> (76,5% wskazań) oraz narkomania (67,5% wskazań)</w:t>
      </w:r>
      <w:r>
        <w:rPr>
          <w:color w:val="000000" w:themeColor="text1"/>
        </w:rPr>
        <w:t xml:space="preserve"> </w:t>
      </w:r>
      <w:r w:rsidR="005C2EBA">
        <w:rPr>
          <w:color w:val="000000" w:themeColor="text1"/>
        </w:rPr>
        <w:t xml:space="preserve">są poważnymi </w:t>
      </w:r>
      <w:r>
        <w:rPr>
          <w:color w:val="000000" w:themeColor="text1"/>
        </w:rPr>
        <w:t>problem</w:t>
      </w:r>
      <w:r w:rsidR="005C2EBA">
        <w:rPr>
          <w:color w:val="000000" w:themeColor="text1"/>
        </w:rPr>
        <w:t>ami</w:t>
      </w:r>
      <w:r>
        <w:rPr>
          <w:color w:val="000000" w:themeColor="text1"/>
        </w:rPr>
        <w:t xml:space="preserve"> współczesnego Olsztyna. </w:t>
      </w:r>
      <w:r w:rsidR="005C2EBA">
        <w:rPr>
          <w:color w:val="000000" w:themeColor="text1"/>
        </w:rPr>
        <w:t xml:space="preserve">Znaczący odsetek badanych (82,8% respondentów) spożyło w swoim życiu alkohol wysokoprocentowy. </w:t>
      </w:r>
      <w:r w:rsidR="005C2EBA">
        <w:t xml:space="preserve">Skala zażywania substancji psychoaktywnych w przypadku badanych respondentów pozostawała nieporównywalnie mniejsza, niż spożywanie przez nich napojów alkoholowych. </w:t>
      </w:r>
    </w:p>
    <w:p w14:paraId="06A03F60" w14:textId="2F4E4154" w:rsidR="0044238E" w:rsidRPr="000C077F" w:rsidRDefault="0044238E" w:rsidP="00723065">
      <w:pPr>
        <w:jc w:val="both"/>
        <w:rPr>
          <w:color w:val="000000" w:themeColor="text1"/>
        </w:rPr>
      </w:pPr>
      <w:r>
        <w:t>W roku 2019 odnotowano 8,12% spadek liczby osób przyjętych do Izby Wytrzeźwień w stosunku do danych z roku 2013. Zmniejsz</w:t>
      </w:r>
      <w:r w:rsidR="004F448C">
        <w:t xml:space="preserve">yła </w:t>
      </w:r>
      <w:r>
        <w:t xml:space="preserve">się także liczba rodzin wspieranych finansowo i materialnie </w:t>
      </w:r>
      <w:r w:rsidR="004F448C">
        <w:t xml:space="preserve">w ramach </w:t>
      </w:r>
      <w:r>
        <w:t xml:space="preserve"> pomoc</w:t>
      </w:r>
      <w:r w:rsidR="004F448C">
        <w:t>y</w:t>
      </w:r>
      <w:r>
        <w:t xml:space="preserve"> społeczn</w:t>
      </w:r>
      <w:r w:rsidR="004F448C">
        <w:t>ej</w:t>
      </w:r>
      <w:r>
        <w:t>, w których występuje problem alkoholowy</w:t>
      </w:r>
      <w:r w:rsidR="004F448C">
        <w:t xml:space="preserve"> (mniej o 27,52% rodzin). </w:t>
      </w:r>
      <w:r>
        <w:t>Zmian</w:t>
      </w:r>
      <w:r w:rsidR="004F448C">
        <w:t>y</w:t>
      </w:r>
      <w:r>
        <w:t xml:space="preserve"> t</w:t>
      </w:r>
      <w:r w:rsidR="004F448C">
        <w:t>e</w:t>
      </w:r>
      <w:r>
        <w:t xml:space="preserve">, </w:t>
      </w:r>
      <w:r w:rsidR="004F448C">
        <w:br/>
      </w:r>
      <w:r>
        <w:t>w badanych latach 2013-2019, nie ma</w:t>
      </w:r>
      <w:r w:rsidR="004F448C">
        <w:t>ją</w:t>
      </w:r>
      <w:r>
        <w:t xml:space="preserve"> jednak stałego charakteru</w:t>
      </w:r>
      <w:r w:rsidR="004F448C">
        <w:t xml:space="preserve"> (wykres 20 i 21)</w:t>
      </w:r>
      <w:r>
        <w:t xml:space="preserve">. </w:t>
      </w:r>
    </w:p>
    <w:p w14:paraId="267EFA94" w14:textId="198B3AA2" w:rsidR="00CA6F16" w:rsidRDefault="00CA6F16" w:rsidP="00CA6F16">
      <w:pPr>
        <w:pStyle w:val="Legenda"/>
        <w:rPr>
          <w:bCs/>
          <w:color w:val="000000" w:themeColor="text1"/>
          <w:sz w:val="22"/>
          <w:szCs w:val="22"/>
          <w:lang w:val="pl-PL"/>
        </w:rPr>
      </w:pPr>
      <w:bookmarkStart w:id="39" w:name="_Toc73516081"/>
      <w:r w:rsidRPr="002F2889">
        <w:rPr>
          <w:color w:val="000000" w:themeColor="text1"/>
          <w:sz w:val="22"/>
          <w:szCs w:val="22"/>
        </w:rPr>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19</w:t>
      </w:r>
      <w:r w:rsidRPr="002F2889">
        <w:rPr>
          <w:color w:val="000000" w:themeColor="text1"/>
          <w:sz w:val="22"/>
          <w:szCs w:val="22"/>
        </w:rPr>
        <w:fldChar w:fldCharType="end"/>
      </w:r>
      <w:r w:rsidRPr="002F2889">
        <w:rPr>
          <w:color w:val="000000" w:themeColor="text1"/>
          <w:sz w:val="22"/>
          <w:szCs w:val="22"/>
        </w:rPr>
        <w:t xml:space="preserve">. </w:t>
      </w:r>
      <w:r w:rsidRPr="002F2889">
        <w:rPr>
          <w:bCs/>
          <w:color w:val="000000" w:themeColor="text1"/>
          <w:sz w:val="22"/>
          <w:szCs w:val="22"/>
          <w:lang w:val="pl-PL"/>
        </w:rPr>
        <w:t>Liczba przyjęć do Izby Wytrzeźwień w Olsztynie w latach 2013-201</w:t>
      </w:r>
      <w:r w:rsidR="002D1B9C">
        <w:rPr>
          <w:bCs/>
          <w:color w:val="000000" w:themeColor="text1"/>
          <w:sz w:val="22"/>
          <w:szCs w:val="22"/>
          <w:lang w:val="pl-PL"/>
        </w:rPr>
        <w:t>9</w:t>
      </w:r>
      <w:bookmarkEnd w:id="39"/>
    </w:p>
    <w:p w14:paraId="2E9ADA63" w14:textId="293A1A0F" w:rsidR="00723065" w:rsidRPr="00E966A4" w:rsidRDefault="00E966A4" w:rsidP="00822210">
      <w:pPr>
        <w:pStyle w:val="Legenda"/>
        <w:spacing w:before="0" w:after="0"/>
        <w:jc w:val="center"/>
        <w:rPr>
          <w:color w:val="000000" w:themeColor="text1"/>
          <w:sz w:val="22"/>
          <w:szCs w:val="22"/>
          <w:lang w:val="pl-PL"/>
        </w:rPr>
      </w:pPr>
      <w:r>
        <w:rPr>
          <w:noProof/>
          <w:lang w:val="pl-PL" w:eastAsia="pl-PL"/>
        </w:rPr>
        <w:drawing>
          <wp:inline distT="0" distB="0" distL="0" distR="0" wp14:anchorId="6AE2C93F" wp14:editId="571AABC8">
            <wp:extent cx="4390390" cy="2087593"/>
            <wp:effectExtent l="0" t="0" r="10160" b="8255"/>
            <wp:docPr id="198" name="Wykres 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5B8CC14" w14:textId="53B3D847" w:rsidR="00723065" w:rsidRPr="001C2F62" w:rsidRDefault="001C2F62" w:rsidP="00822210">
      <w:pPr>
        <w:spacing w:after="0"/>
        <w:jc w:val="center"/>
        <w:rPr>
          <w:i/>
          <w:sz w:val="20"/>
          <w:szCs w:val="20"/>
        </w:rPr>
      </w:pPr>
      <w:r w:rsidRPr="001C2F62">
        <w:rPr>
          <w:i/>
          <w:sz w:val="20"/>
          <w:szCs w:val="20"/>
        </w:rPr>
        <w:t>ź</w:t>
      </w:r>
      <w:r w:rsidR="00723065" w:rsidRPr="001C2F62">
        <w:rPr>
          <w:i/>
          <w:sz w:val="20"/>
          <w:szCs w:val="20"/>
        </w:rPr>
        <w:t xml:space="preserve">ródło: </w:t>
      </w:r>
      <w:r w:rsidR="00E966A4">
        <w:rPr>
          <w:i/>
          <w:sz w:val="20"/>
          <w:szCs w:val="20"/>
        </w:rPr>
        <w:t>o</w:t>
      </w:r>
      <w:r w:rsidR="00723065" w:rsidRPr="001C2F62">
        <w:rPr>
          <w:i/>
          <w:sz w:val="20"/>
          <w:szCs w:val="20"/>
        </w:rPr>
        <w:t xml:space="preserve">pracowanie własne na podstawie danych w </w:t>
      </w:r>
      <w:r w:rsidR="004B100F" w:rsidRPr="001C2F62">
        <w:rPr>
          <w:i/>
          <w:sz w:val="20"/>
          <w:szCs w:val="20"/>
        </w:rPr>
        <w:t>„</w:t>
      </w:r>
      <w:r w:rsidR="00723065" w:rsidRPr="001C2F62">
        <w:rPr>
          <w:i/>
          <w:sz w:val="20"/>
          <w:szCs w:val="20"/>
        </w:rPr>
        <w:t xml:space="preserve">Gminnym programie profilaktyki </w:t>
      </w:r>
      <w:r w:rsidR="00203C75" w:rsidRPr="001C2F62">
        <w:rPr>
          <w:i/>
          <w:sz w:val="20"/>
          <w:szCs w:val="20"/>
        </w:rPr>
        <w:br/>
      </w:r>
      <w:r w:rsidR="00723065" w:rsidRPr="001C2F62">
        <w:rPr>
          <w:i/>
          <w:sz w:val="20"/>
          <w:szCs w:val="20"/>
        </w:rPr>
        <w:t>i rozwiązywania problemów alkoholowych oraz przeciwdziałania narkomanii dla Olsztyna na rok 202</w:t>
      </w:r>
      <w:r w:rsidR="009A3DF4">
        <w:rPr>
          <w:i/>
          <w:sz w:val="20"/>
          <w:szCs w:val="20"/>
        </w:rPr>
        <w:t>1</w:t>
      </w:r>
      <w:r w:rsidR="004B100F" w:rsidRPr="001C2F62">
        <w:rPr>
          <w:i/>
          <w:sz w:val="20"/>
          <w:szCs w:val="20"/>
        </w:rPr>
        <w:t>”</w:t>
      </w:r>
      <w:r w:rsidR="00723065" w:rsidRPr="001C2F62">
        <w:rPr>
          <w:i/>
          <w:sz w:val="20"/>
          <w:szCs w:val="20"/>
        </w:rPr>
        <w:t xml:space="preserve"> </w:t>
      </w:r>
      <w:r w:rsidR="004B100F" w:rsidRPr="001C2F62">
        <w:rPr>
          <w:i/>
          <w:sz w:val="20"/>
          <w:szCs w:val="20"/>
        </w:rPr>
        <w:br/>
      </w:r>
      <w:r w:rsidR="00E966A4">
        <w:rPr>
          <w:i/>
          <w:sz w:val="20"/>
          <w:szCs w:val="20"/>
        </w:rPr>
        <w:t>- załącznik nr 1 do uchwały nr XXVIII/489/20 Rady Miasta Olsztyna z dnia 16 grudnia 2020 r.</w:t>
      </w:r>
    </w:p>
    <w:p w14:paraId="1D79D304" w14:textId="63C752C5" w:rsidR="00723065" w:rsidRDefault="00723065" w:rsidP="00723065">
      <w:pPr>
        <w:jc w:val="both"/>
      </w:pPr>
    </w:p>
    <w:p w14:paraId="73979B86" w14:textId="6785B56A" w:rsidR="00CA6F16" w:rsidRDefault="00CA6F16" w:rsidP="00CA6F16">
      <w:pPr>
        <w:pStyle w:val="Legenda"/>
        <w:rPr>
          <w:bCs/>
          <w:color w:val="000000" w:themeColor="text1"/>
          <w:sz w:val="22"/>
          <w:szCs w:val="22"/>
          <w:lang w:val="pl-PL"/>
        </w:rPr>
      </w:pPr>
      <w:bookmarkStart w:id="40" w:name="_Toc73516082"/>
      <w:r w:rsidRPr="002F2889">
        <w:rPr>
          <w:color w:val="000000" w:themeColor="text1"/>
          <w:sz w:val="22"/>
          <w:szCs w:val="22"/>
        </w:rPr>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20</w:t>
      </w:r>
      <w:r w:rsidRPr="002F2889">
        <w:rPr>
          <w:color w:val="000000" w:themeColor="text1"/>
          <w:sz w:val="22"/>
          <w:szCs w:val="22"/>
        </w:rPr>
        <w:fldChar w:fldCharType="end"/>
      </w:r>
      <w:r w:rsidRPr="002F2889">
        <w:rPr>
          <w:color w:val="000000" w:themeColor="text1"/>
          <w:sz w:val="22"/>
          <w:szCs w:val="22"/>
        </w:rPr>
        <w:t xml:space="preserve">. </w:t>
      </w:r>
      <w:r w:rsidRPr="002F2889">
        <w:rPr>
          <w:bCs/>
          <w:color w:val="000000" w:themeColor="text1"/>
          <w:sz w:val="22"/>
          <w:szCs w:val="22"/>
          <w:lang w:val="pl-PL"/>
        </w:rPr>
        <w:t xml:space="preserve">Liczba rodzin z problemami alkoholowymi korzystających z pomocy finansowej </w:t>
      </w:r>
      <w:r w:rsidRPr="002F2889">
        <w:rPr>
          <w:bCs/>
          <w:color w:val="000000" w:themeColor="text1"/>
          <w:sz w:val="22"/>
          <w:szCs w:val="22"/>
          <w:lang w:val="pl-PL"/>
        </w:rPr>
        <w:br/>
        <w:t>i materialnej w Olsztynie w latach 2013-201</w:t>
      </w:r>
      <w:r w:rsidR="00E966A4">
        <w:rPr>
          <w:bCs/>
          <w:color w:val="000000" w:themeColor="text1"/>
          <w:sz w:val="22"/>
          <w:szCs w:val="22"/>
          <w:lang w:val="pl-PL"/>
        </w:rPr>
        <w:t>9</w:t>
      </w:r>
      <w:bookmarkEnd w:id="40"/>
    </w:p>
    <w:p w14:paraId="65A0F952" w14:textId="15B89D4E" w:rsidR="00723065" w:rsidRPr="00E966A4" w:rsidRDefault="00E966A4" w:rsidP="00E966A4">
      <w:pPr>
        <w:pStyle w:val="Legenda"/>
        <w:spacing w:before="0" w:after="0"/>
        <w:jc w:val="center"/>
        <w:rPr>
          <w:bCs/>
          <w:color w:val="000000" w:themeColor="text1"/>
          <w:sz w:val="22"/>
          <w:szCs w:val="22"/>
          <w:lang w:val="pl-PL"/>
        </w:rPr>
      </w:pPr>
      <w:r>
        <w:rPr>
          <w:noProof/>
          <w:lang w:val="pl-PL" w:eastAsia="pl-PL"/>
        </w:rPr>
        <w:drawing>
          <wp:inline distT="0" distB="0" distL="0" distR="0" wp14:anchorId="4C937EAE" wp14:editId="650397A1">
            <wp:extent cx="4407643" cy="2001328"/>
            <wp:effectExtent l="0" t="0" r="12065" b="18415"/>
            <wp:docPr id="205" name="Wykres 20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2E1DAD5" w14:textId="77777777" w:rsidR="00E966A4" w:rsidRPr="001C2F62" w:rsidRDefault="00E966A4" w:rsidP="00E966A4">
      <w:pPr>
        <w:spacing w:after="0"/>
        <w:jc w:val="center"/>
        <w:rPr>
          <w:i/>
          <w:sz w:val="20"/>
          <w:szCs w:val="20"/>
        </w:rPr>
      </w:pPr>
      <w:r w:rsidRPr="001C2F62">
        <w:rPr>
          <w:i/>
          <w:sz w:val="20"/>
          <w:szCs w:val="20"/>
        </w:rPr>
        <w:t xml:space="preserve">źródło: </w:t>
      </w:r>
      <w:r>
        <w:rPr>
          <w:i/>
          <w:sz w:val="20"/>
          <w:szCs w:val="20"/>
        </w:rPr>
        <w:t>o</w:t>
      </w:r>
      <w:r w:rsidRPr="001C2F62">
        <w:rPr>
          <w:i/>
          <w:sz w:val="20"/>
          <w:szCs w:val="20"/>
        </w:rPr>
        <w:t xml:space="preserve">pracowanie własne na podstawie danych w „Gminnym programie profilaktyki </w:t>
      </w:r>
      <w:r w:rsidRPr="001C2F62">
        <w:rPr>
          <w:i/>
          <w:sz w:val="20"/>
          <w:szCs w:val="20"/>
        </w:rPr>
        <w:br/>
        <w:t>i rozwiązywania problemów alkoholowych oraz przeciwdziałania narkomanii dla Olsztyna na rok 202</w:t>
      </w:r>
      <w:r>
        <w:rPr>
          <w:i/>
          <w:sz w:val="20"/>
          <w:szCs w:val="20"/>
        </w:rPr>
        <w:t>1</w:t>
      </w:r>
      <w:r w:rsidRPr="001C2F62">
        <w:rPr>
          <w:i/>
          <w:sz w:val="20"/>
          <w:szCs w:val="20"/>
        </w:rPr>
        <w:t xml:space="preserve">” </w:t>
      </w:r>
      <w:r w:rsidRPr="001C2F62">
        <w:rPr>
          <w:i/>
          <w:sz w:val="20"/>
          <w:szCs w:val="20"/>
        </w:rPr>
        <w:br/>
      </w:r>
      <w:r>
        <w:rPr>
          <w:i/>
          <w:sz w:val="20"/>
          <w:szCs w:val="20"/>
        </w:rPr>
        <w:t>- załącznik nr 1 do uchwały nr XXVIII/489/20 Rady Miasta Olsztyna z dnia 16 grudnia 2020 r.</w:t>
      </w:r>
    </w:p>
    <w:p w14:paraId="6CE0D05D" w14:textId="04FC50DB" w:rsidR="006A5232" w:rsidRDefault="006A5232" w:rsidP="00723065">
      <w:pPr>
        <w:jc w:val="both"/>
      </w:pPr>
    </w:p>
    <w:p w14:paraId="7BA4EF2B" w14:textId="77777777" w:rsidR="006A5232" w:rsidRPr="006A5232" w:rsidRDefault="006A5232" w:rsidP="006A5232">
      <w:pPr>
        <w:jc w:val="both"/>
      </w:pPr>
      <w:r w:rsidRPr="006A5232">
        <w:t>W ramach Krajowej Mapy Zagrożeń Bezpieczeństwa policja udostępnia dane za ostatni rok o liczbie interwencji związanych ze spożywaniem alkoholu w miejscach publicznych. W Olsztynie najwięcej takich interwencji w 2020 r. było w pasie od centrum miasta do jego południowej części. Do osiedli, których większość powierzchni pokrywały poligony wyróżniające się największą liczbą interwencji (&gt;29) można zaliczyć: Zatorze, Kętrzyńskiego, Śródmieście, Kościuszki, Podgrodzie, Grunwaldzkie, Nagórki, Jaroty, Generałów. Liczba interwencji była także zauważalna, choć w mniejszym stopniu, w Podleśnej, Pojezierzu, Mazurskim, Brzezinach i Pieczewie. W osiedlach po wschodniej stronie miasta było wyraźnie mniej interwencji związanych ze spożywaniem alkoholu w miejscach publicznych. Może to mieć związek z liczbą ludności i sposobem użytkowania przestrzeni publicznych w konkretnych częściach miasta.</w:t>
      </w:r>
    </w:p>
    <w:p w14:paraId="3F82D8A0" w14:textId="4E55E945" w:rsidR="00B622E7" w:rsidRPr="00B622E7" w:rsidRDefault="00B622E7" w:rsidP="00B622E7">
      <w:pPr>
        <w:pStyle w:val="Legenda"/>
        <w:rPr>
          <w:sz w:val="22"/>
          <w:szCs w:val="22"/>
          <w:lang w:val="pl-PL"/>
        </w:rPr>
      </w:pPr>
      <w:bookmarkStart w:id="41" w:name="_Toc73516169"/>
      <w:r w:rsidRPr="00B622E7">
        <w:rPr>
          <w:sz w:val="22"/>
          <w:szCs w:val="22"/>
          <w:lang w:val="pl-PL"/>
        </w:rPr>
        <w:t xml:space="preserve">Rysunek </w:t>
      </w:r>
      <w:r w:rsidRPr="00B622E7">
        <w:rPr>
          <w:sz w:val="22"/>
          <w:szCs w:val="22"/>
        </w:rPr>
        <w:fldChar w:fldCharType="begin"/>
      </w:r>
      <w:r w:rsidRPr="00B622E7">
        <w:rPr>
          <w:sz w:val="22"/>
          <w:szCs w:val="22"/>
          <w:lang w:val="pl-PL"/>
        </w:rPr>
        <w:instrText xml:space="preserve"> SEQ Rysunek \* ARABIC </w:instrText>
      </w:r>
      <w:r w:rsidRPr="00B622E7">
        <w:rPr>
          <w:sz w:val="22"/>
          <w:szCs w:val="22"/>
        </w:rPr>
        <w:fldChar w:fldCharType="separate"/>
      </w:r>
      <w:r w:rsidR="00AD58C3">
        <w:rPr>
          <w:noProof/>
          <w:sz w:val="22"/>
          <w:szCs w:val="22"/>
          <w:lang w:val="pl-PL"/>
        </w:rPr>
        <w:t>4</w:t>
      </w:r>
      <w:r w:rsidRPr="00B622E7">
        <w:rPr>
          <w:sz w:val="22"/>
          <w:szCs w:val="22"/>
        </w:rPr>
        <w:fldChar w:fldCharType="end"/>
      </w:r>
      <w:r w:rsidRPr="00B622E7">
        <w:rPr>
          <w:sz w:val="22"/>
          <w:szCs w:val="22"/>
          <w:lang w:val="pl-PL"/>
        </w:rPr>
        <w:t>. Interwencje policji związane ze spożywaniem alkoholu w miejscach publicznych</w:t>
      </w:r>
      <w:bookmarkEnd w:id="41"/>
      <w:r w:rsidRPr="00B622E7">
        <w:rPr>
          <w:sz w:val="22"/>
          <w:szCs w:val="22"/>
          <w:lang w:val="pl-PL"/>
        </w:rPr>
        <w:t xml:space="preserve"> </w:t>
      </w:r>
    </w:p>
    <w:p w14:paraId="3C9EB7B7" w14:textId="77777777" w:rsidR="004E4701" w:rsidRDefault="006A5232" w:rsidP="004E4701">
      <w:pPr>
        <w:keepNext/>
        <w:jc w:val="center"/>
      </w:pPr>
      <w:r w:rsidRPr="006A5232">
        <w:rPr>
          <w:noProof/>
          <w:lang w:eastAsia="pl-PL"/>
        </w:rPr>
        <w:drawing>
          <wp:inline distT="0" distB="0" distL="0" distR="0" wp14:anchorId="1C18F49E" wp14:editId="046D23AC">
            <wp:extent cx="4989995" cy="4419600"/>
            <wp:effectExtent l="0" t="0" r="1270" b="0"/>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01540" cy="4429826"/>
                    </a:xfrm>
                    <a:prstGeom prst="rect">
                      <a:avLst/>
                    </a:prstGeom>
                  </pic:spPr>
                </pic:pic>
              </a:graphicData>
            </a:graphic>
          </wp:inline>
        </w:drawing>
      </w:r>
    </w:p>
    <w:p w14:paraId="7F0917FB" w14:textId="5414961E" w:rsidR="006A5232" w:rsidRPr="00B622E7" w:rsidRDefault="00B622E7" w:rsidP="00B622E7">
      <w:pPr>
        <w:jc w:val="center"/>
        <w:rPr>
          <w:i/>
          <w:sz w:val="20"/>
          <w:szCs w:val="20"/>
        </w:rPr>
      </w:pPr>
      <w:r w:rsidRPr="00B622E7">
        <w:rPr>
          <w:i/>
          <w:sz w:val="20"/>
          <w:szCs w:val="20"/>
        </w:rPr>
        <w:t>ź</w:t>
      </w:r>
      <w:r w:rsidR="004E4701" w:rsidRPr="00B622E7">
        <w:rPr>
          <w:i/>
          <w:sz w:val="20"/>
          <w:szCs w:val="20"/>
        </w:rPr>
        <w:t>ródło: Krajowa Mapa Zagrożeń Bezpieczeństwa https://policja.maps.arcgis.com/apps/MapSeries/index.html?appid=b5fc08aaa8a54296b418383584313263</w:t>
      </w:r>
    </w:p>
    <w:p w14:paraId="37D7CD21" w14:textId="77777777" w:rsidR="004E4701" w:rsidRDefault="004E4701" w:rsidP="00723065">
      <w:pPr>
        <w:jc w:val="both"/>
      </w:pPr>
    </w:p>
    <w:p w14:paraId="33847DEC" w14:textId="3EA6555E" w:rsidR="00723065" w:rsidRPr="00ED4EDD" w:rsidRDefault="00723065" w:rsidP="00723065">
      <w:pPr>
        <w:jc w:val="both"/>
      </w:pPr>
      <w:r w:rsidRPr="00ED4EDD">
        <w:t xml:space="preserve">Zjawiskiem, które staje się obecnie przedmiotem coraz żywszego zainteresowania społecznego jest przemoc rówieśnicza, w tym (choć nie wyłącznie) przemoc w szkole. Nie jest ona zjawiskiem powszechnym, a przynajmniej trudno o wiarygodne dane na temat jej skali, ponieważ jeśli występuje, to nie spotyka się z właściwą reakcją – fakt </w:t>
      </w:r>
      <w:r w:rsidR="00074868">
        <w:t xml:space="preserve">doświadczania agresji </w:t>
      </w:r>
      <w:r w:rsidRPr="00ED4EDD">
        <w:t xml:space="preserve">nie </w:t>
      </w:r>
      <w:r w:rsidR="00074868">
        <w:t xml:space="preserve">jest </w:t>
      </w:r>
      <w:r w:rsidRPr="00ED4EDD">
        <w:t>zgł</w:t>
      </w:r>
      <w:r w:rsidR="00074868">
        <w:t>aszan</w:t>
      </w:r>
      <w:r w:rsidRPr="00ED4EDD">
        <w:t>y nauczycielom ani rodzicom.</w:t>
      </w:r>
    </w:p>
    <w:p w14:paraId="2EFD0F4D" w14:textId="77777777" w:rsidR="00B622E7" w:rsidRDefault="00B622E7" w:rsidP="00723065">
      <w:pPr>
        <w:jc w:val="both"/>
      </w:pPr>
    </w:p>
    <w:p w14:paraId="01AE1D84" w14:textId="77777777" w:rsidR="00B622E7" w:rsidRDefault="00B622E7" w:rsidP="00723065">
      <w:pPr>
        <w:jc w:val="both"/>
      </w:pPr>
    </w:p>
    <w:p w14:paraId="7CDFA870" w14:textId="1BAAC757" w:rsidR="00723065" w:rsidRPr="00ED4EDD" w:rsidRDefault="00723065" w:rsidP="00723065">
      <w:pPr>
        <w:jc w:val="both"/>
      </w:pPr>
      <w:r w:rsidRPr="00ED4EDD">
        <w:t xml:space="preserve">Wyniki badania pn. </w:t>
      </w:r>
      <w:r w:rsidRPr="00ED4EDD">
        <w:rPr>
          <w:i/>
        </w:rPr>
        <w:t xml:space="preserve">Różne formy agresji i przemocy rówieśniczej (w tym cyberprzemocy) oraz ryzykowne zachowania w Sieci gimnazjalistów na tle działań o charakterze profilaktycznym </w:t>
      </w:r>
      <w:r w:rsidRPr="00ED4EDD">
        <w:t>wykonane w Katedrze Pedagogiki Ogólnej Uniwersytetu Warmińsko-Mazurskiego (Olsztyn 2014 r.) wskazują, że problem przemocy rówieśniczej jest poważny mimo trudnej do zbadania skali</w:t>
      </w:r>
      <w:r w:rsidRPr="00ED4EDD">
        <w:rPr>
          <w:rStyle w:val="Odwoanieprzypisudolnego"/>
        </w:rPr>
        <w:footnoteReference w:id="13"/>
      </w:r>
      <w:r w:rsidRPr="00ED4EDD">
        <w:t>.</w:t>
      </w:r>
    </w:p>
    <w:p w14:paraId="2B4DCB7F" w14:textId="4615156E" w:rsidR="00723065" w:rsidRPr="00ED4EDD" w:rsidRDefault="00723065" w:rsidP="00723065">
      <w:pPr>
        <w:jc w:val="both"/>
      </w:pPr>
      <w:r w:rsidRPr="00ED4EDD">
        <w:t>Najbardziej popularn</w:t>
      </w:r>
      <w:r w:rsidR="005F547B">
        <w:t>a</w:t>
      </w:r>
      <w:r w:rsidRPr="00ED4EDD">
        <w:t xml:space="preserve"> form</w:t>
      </w:r>
      <w:r w:rsidR="005F547B">
        <w:t>a</w:t>
      </w:r>
      <w:r w:rsidRPr="00ED4EDD">
        <w:t xml:space="preserve"> agresji </w:t>
      </w:r>
      <w:r w:rsidR="00074868">
        <w:t xml:space="preserve">ma </w:t>
      </w:r>
      <w:r w:rsidRPr="00ED4EDD">
        <w:t>charakter werbalny</w:t>
      </w:r>
      <w:r w:rsidR="005F547B">
        <w:t xml:space="preserve"> (</w:t>
      </w:r>
      <w:r w:rsidRPr="00ED4EDD">
        <w:t>wyzywani</w:t>
      </w:r>
      <w:r w:rsidR="005F547B">
        <w:t>e, o</w:t>
      </w:r>
      <w:r w:rsidRPr="00ED4EDD">
        <w:t>brażanie</w:t>
      </w:r>
      <w:r w:rsidR="005F547B">
        <w:t>)</w:t>
      </w:r>
      <w:r w:rsidRPr="00ED4EDD">
        <w:t xml:space="preserve">, doświadczył </w:t>
      </w:r>
      <w:r w:rsidR="005F547B">
        <w:t xml:space="preserve">jej </w:t>
      </w:r>
      <w:r w:rsidRPr="00ED4EDD">
        <w:t xml:space="preserve">co drugi badany. Ponad 40% badanych doświadczyło agresji werbalnej wielokrotnie. Z kolei 42,4% uczniów (460 uczniów) </w:t>
      </w:r>
      <w:r w:rsidR="00FF1942">
        <w:t>było obiektem</w:t>
      </w:r>
      <w:r w:rsidRPr="00ED4EDD">
        <w:t xml:space="preserve"> wymyślania i/lub rozpowszechniania plotek i nieprawdziwych informacji na swój temat, z czego ponad 55% częściej niż raz. </w:t>
      </w:r>
      <w:r w:rsidR="005F547B">
        <w:t>W</w:t>
      </w:r>
      <w:r w:rsidRPr="00ED4EDD">
        <w:t xml:space="preserve">ykluczania z grupy </w:t>
      </w:r>
      <w:r w:rsidR="005F547B">
        <w:t xml:space="preserve">- </w:t>
      </w:r>
      <w:r w:rsidRPr="00ED4EDD">
        <w:t>prawie 20%</w:t>
      </w:r>
      <w:r w:rsidR="002D458F">
        <w:t xml:space="preserve"> badanych</w:t>
      </w:r>
      <w:r w:rsidRPr="00ED4EDD">
        <w:t>.</w:t>
      </w:r>
    </w:p>
    <w:p w14:paraId="628495E2" w14:textId="3736235A" w:rsidR="00723065" w:rsidRPr="00ED4EDD" w:rsidRDefault="00723065" w:rsidP="00723065">
      <w:pPr>
        <w:jc w:val="both"/>
      </w:pPr>
      <w:r w:rsidRPr="00ED4EDD">
        <w:t xml:space="preserve">Duży odsetek uczniów padł również ofiarą przemocy fizycznej. Popychany był co trzeci gimnazjalista, </w:t>
      </w:r>
      <w:r w:rsidR="002D458F">
        <w:br/>
      </w:r>
      <w:r w:rsidRPr="00ED4EDD">
        <w:t>a prawie co dziesiąty częściej niż pięć razy. Z kolei ofiarami szarpania było 310 osób, czyli 28,6% badanych. Co czwarty badany gimnazjalista doświadczył agresji fizycznej więcej niż raz</w:t>
      </w:r>
      <w:r w:rsidR="002D458F">
        <w:t>.</w:t>
      </w:r>
      <w:r w:rsidRPr="00ED4EDD">
        <w:t xml:space="preserve"> </w:t>
      </w:r>
      <w:r w:rsidR="002D458F">
        <w:t xml:space="preserve">Na tym tle </w:t>
      </w:r>
      <w:r w:rsidRPr="00ED4EDD">
        <w:t>niepokojąco wypadają wyniki odpowiedzi wychowawców</w:t>
      </w:r>
      <w:r w:rsidR="002D458F">
        <w:t>, z których</w:t>
      </w:r>
      <w:r w:rsidRPr="00ED4EDD">
        <w:t xml:space="preserve"> </w:t>
      </w:r>
      <w:r w:rsidR="002D458F">
        <w:t>p</w:t>
      </w:r>
      <w:r w:rsidRPr="00ED4EDD">
        <w:t>onad połowa nie odnotowała ani jednego wydarzenia noszącego znamiona agresji fizycznej.</w:t>
      </w:r>
    </w:p>
    <w:p w14:paraId="1376FBA3" w14:textId="56DB5CAE" w:rsidR="00723065" w:rsidRPr="00ED4EDD" w:rsidRDefault="002D458F" w:rsidP="00723065">
      <w:pPr>
        <w:jc w:val="both"/>
      </w:pPr>
      <w:r>
        <w:t>N</w:t>
      </w:r>
      <w:r w:rsidR="00723065" w:rsidRPr="00ED4EDD">
        <w:t>iszczenia własności, czyli formy agresji materialnej, doświadczyło aż 27% badanych, z tego połowa wielokrotnie. Co dziesiąty gimnazjalista doświadczył agresji seksualnej, z czego ponad połowa częściej niż raz. Niemal 5% badanej</w:t>
      </w:r>
      <w:r>
        <w:t xml:space="preserve"> </w:t>
      </w:r>
      <w:r w:rsidRPr="00ED4EDD">
        <w:t>populacji</w:t>
      </w:r>
      <w:r w:rsidR="00723065" w:rsidRPr="00ED4EDD">
        <w:t xml:space="preserve"> było ofiarami zmuszania do robienia nieprzyjemnych dla siebie rzeczy i tyle samo </w:t>
      </w:r>
      <w:r>
        <w:t xml:space="preserve">było </w:t>
      </w:r>
      <w:r w:rsidR="00723065" w:rsidRPr="00ED4EDD">
        <w:t>zamykanych w pomieszczeniu.</w:t>
      </w:r>
    </w:p>
    <w:p w14:paraId="56A04B58" w14:textId="0CDE1D46" w:rsidR="00723065" w:rsidRPr="00ED4EDD" w:rsidRDefault="00723065" w:rsidP="00723065">
      <w:pPr>
        <w:jc w:val="both"/>
      </w:pPr>
      <w:r w:rsidRPr="00ED4EDD">
        <w:t>Niepokojący jest odsetek uczniów negatywnie oceniających atmosferę w szkole</w:t>
      </w:r>
      <w:r w:rsidR="00AA5482">
        <w:t xml:space="preserve"> – wynosi on 52,3% osób biorących udział w badaniu</w:t>
      </w:r>
      <w:r w:rsidRPr="00ED4EDD">
        <w:t>. Z kolei 15% jest zdania, że nikt w klasie go/jej nie lubi lub udzieliła odpowiedzi: „mniej niż połowa uczniów w klasie mnie lubi”.</w:t>
      </w:r>
    </w:p>
    <w:p w14:paraId="5E775279" w14:textId="77777777" w:rsidR="00723065" w:rsidRPr="00ED4EDD" w:rsidRDefault="00723065" w:rsidP="00723065">
      <w:pPr>
        <w:jc w:val="both"/>
      </w:pPr>
      <w:r w:rsidRPr="00ED4EDD">
        <w:t>Około 30% badanych w okresie 1 roku doznało dwukrotnie którejś ze wskazanych form agresji elektronicznej. Trzy formy cyberagresji można uznać za najbardziej powszechne. Mowa o: włamaniu na profil czy konto ofiary (18,7%), pisanie obraźliwych komentarzy pod jej adresem (20%) oraz bycie obiektem zdjęć czy nagrań wykonywanych wbrew woli (36,1%). Warto jednak dodać, że co dziesiąty gimnazjalista doświadczył rozpowszechniania kompromitujących nagrań ze swoim udziałem, a 12% badanych było szantażowanych ich upublicznieniem.</w:t>
      </w:r>
    </w:p>
    <w:p w14:paraId="22A3CE31" w14:textId="77777777" w:rsidR="00723065" w:rsidRPr="00ED4EDD" w:rsidRDefault="00723065" w:rsidP="00723065">
      <w:pPr>
        <w:jc w:val="both"/>
      </w:pPr>
      <w:r w:rsidRPr="00ED4EDD">
        <w:t>Większość wychowawców nie odnotowuje przypadków cyberagresji, której ofiarami mieli być uczniowie. Połowa z nich zarejestrowała kilka incydentów pisania obraźliwych komentarzy, czy wyśmiewania ucznia za pośrednictwem Internetu lub telefonu komórkowego. Wśród zachowań ryzykownych w kontekście wiktymizacji w zakresie cyberagresji najwięcej miejsca poświęcono sekstingowi. Z otrzymanych danych wynika, że co dziesiąty uczeń był namawiany do przesyłania swoich nagich zdjęć, w tym prawie połowa częściej niż raz. Ostatecznie 5,8% zrobiło sobie takie zdjęcia, a 3% zdecydowało się na ich publikację. Większą aktywność w odniesieniu do wskazanych zachowań wykazują chłopcy. Na zawarcie znajomości przez Internet zdecydowała się ponad połowa badanych, tj. 54,4%, z kolei na spotkanie – 28,8%.</w:t>
      </w:r>
    </w:p>
    <w:p w14:paraId="0129E64D" w14:textId="77777777" w:rsidR="00723065" w:rsidRPr="00ED4EDD" w:rsidRDefault="00723065" w:rsidP="00723065">
      <w:pPr>
        <w:jc w:val="both"/>
      </w:pPr>
      <w:r w:rsidRPr="00ED4EDD">
        <w:lastRenderedPageBreak/>
        <w:t>Wśród stron zawierających szkodliwe treści, największą popularnością cieszą się witryny o tematyce erotycznej, czy pornograficznej. Do korzystania z nich przyznał się co trzeci badany. Z kolei 61,1% przyznało, że poszukiwało w/w treści. Niemal 14% badanych zadeklarowało, że w trakcie minionego roku przeglądało strony promujące rasizm i przemoc, a co dziesiąty gimnazjalista – zachęcające do używania narkotyków. Użytkownikami tego typu stron są częściej chłopcy.</w:t>
      </w:r>
    </w:p>
    <w:p w14:paraId="3F74C9CD" w14:textId="77777777" w:rsidR="00723065" w:rsidRPr="00ED4EDD" w:rsidRDefault="00723065" w:rsidP="00723065">
      <w:pPr>
        <w:jc w:val="both"/>
      </w:pPr>
      <w:r w:rsidRPr="00ED4EDD">
        <w:t>Co dziesiąty gimnazjalista nadużywa Internetu (przy nieznacznej przewadze chłopców). Istotne jest też, że ani uczestnictwo w zajęciach pozalekcyjnych, ani też kontrola rodzicielska nie mają na to większego wpływu.</w:t>
      </w:r>
      <w:r w:rsidRPr="00ED4EDD">
        <w:tab/>
      </w:r>
    </w:p>
    <w:p w14:paraId="7E6E8F4B" w14:textId="29EDC9B2" w:rsidR="00723065" w:rsidRDefault="00723065" w:rsidP="00723065">
      <w:pPr>
        <w:jc w:val="both"/>
      </w:pPr>
    </w:p>
    <w:p w14:paraId="225F8B6E" w14:textId="192DB7DF" w:rsidR="00F43F4F" w:rsidRDefault="00F43F4F" w:rsidP="00F43F4F">
      <w:pPr>
        <w:pStyle w:val="Nagwek2"/>
      </w:pPr>
      <w:bookmarkStart w:id="42" w:name="_Toc73534894"/>
      <w:r>
        <w:t>1.3 Bezpieczeństwo publiczne</w:t>
      </w:r>
      <w:bookmarkEnd w:id="42"/>
    </w:p>
    <w:p w14:paraId="09F3B331" w14:textId="1576CAD8" w:rsidR="00F43F4F" w:rsidRDefault="00F43F4F" w:rsidP="00723065">
      <w:pPr>
        <w:jc w:val="both"/>
      </w:pPr>
    </w:p>
    <w:p w14:paraId="2DD1A12A" w14:textId="3620F29E" w:rsidR="009544CD" w:rsidRDefault="009544CD" w:rsidP="00946C5A">
      <w:pPr>
        <w:jc w:val="both"/>
      </w:pPr>
      <w:r>
        <w:t>W r</w:t>
      </w:r>
      <w:r w:rsidRPr="002E49E0">
        <w:t>apor</w:t>
      </w:r>
      <w:r>
        <w:t xml:space="preserve">cie </w:t>
      </w:r>
      <w:r>
        <w:rPr>
          <w:i/>
        </w:rPr>
        <w:t>Bezpieczne i otwarte miasta</w:t>
      </w:r>
      <w:r>
        <w:rPr>
          <w:rStyle w:val="Odwoanieprzypisudolnego"/>
          <w:i/>
        </w:rPr>
        <w:footnoteReference w:id="14"/>
      </w:r>
      <w:r w:rsidRPr="002E49E0">
        <w:t xml:space="preserve"> Polskiej Fundacji im. Roberta Schumana i Fundacji Konrada Adenauera </w:t>
      </w:r>
      <w:r>
        <w:t xml:space="preserve">z maja 2017 r. Olsztyn znalazł się na dziewiątym miejscu w rankingu najbezpieczniejszych </w:t>
      </w:r>
      <w:r>
        <w:br/>
        <w:t>i najbardziej otwartych na innych miast polskich obejmującym wszystkie 66 miast na prawach powiatu.</w:t>
      </w:r>
    </w:p>
    <w:p w14:paraId="29086746" w14:textId="14F3DCC4" w:rsidR="00964397" w:rsidRPr="00822B19" w:rsidRDefault="00964397" w:rsidP="00964397">
      <w:pPr>
        <w:pStyle w:val="Legenda"/>
        <w:rPr>
          <w:color w:val="000000" w:themeColor="text1"/>
          <w:sz w:val="22"/>
          <w:szCs w:val="22"/>
        </w:rPr>
      </w:pPr>
      <w:bookmarkStart w:id="43" w:name="_Toc73534970"/>
      <w:r w:rsidRPr="00822B19">
        <w:rPr>
          <w:color w:val="000000" w:themeColor="text1"/>
          <w:sz w:val="22"/>
          <w:szCs w:val="22"/>
        </w:rPr>
        <w:t xml:space="preserve">Tabela </w:t>
      </w:r>
      <w:r w:rsidRPr="00822B19">
        <w:rPr>
          <w:color w:val="000000" w:themeColor="text1"/>
          <w:sz w:val="22"/>
          <w:szCs w:val="22"/>
        </w:rPr>
        <w:fldChar w:fldCharType="begin"/>
      </w:r>
      <w:r w:rsidRPr="00822B19">
        <w:rPr>
          <w:color w:val="000000" w:themeColor="text1"/>
          <w:sz w:val="22"/>
          <w:szCs w:val="22"/>
        </w:rPr>
        <w:instrText xml:space="preserve"> SEQ Tabela \* ARABIC </w:instrText>
      </w:r>
      <w:r w:rsidRPr="00822B19">
        <w:rPr>
          <w:color w:val="000000" w:themeColor="text1"/>
          <w:sz w:val="22"/>
          <w:szCs w:val="22"/>
        </w:rPr>
        <w:fldChar w:fldCharType="separate"/>
      </w:r>
      <w:r w:rsidR="00AD58C3">
        <w:rPr>
          <w:noProof/>
          <w:color w:val="000000" w:themeColor="text1"/>
          <w:sz w:val="22"/>
          <w:szCs w:val="22"/>
        </w:rPr>
        <w:t>7</w:t>
      </w:r>
      <w:r w:rsidRPr="00822B19">
        <w:rPr>
          <w:color w:val="000000" w:themeColor="text1"/>
          <w:sz w:val="22"/>
          <w:szCs w:val="22"/>
        </w:rPr>
        <w:fldChar w:fldCharType="end"/>
      </w:r>
      <w:r w:rsidRPr="00822B19">
        <w:rPr>
          <w:color w:val="000000" w:themeColor="text1"/>
          <w:sz w:val="22"/>
          <w:szCs w:val="22"/>
        </w:rPr>
        <w:t xml:space="preserve">. Pozycja Olsztyna w rankingu – </w:t>
      </w:r>
      <w:r w:rsidRPr="00822B19">
        <w:rPr>
          <w:i w:val="0"/>
          <w:color w:val="000000" w:themeColor="text1"/>
          <w:sz w:val="22"/>
          <w:szCs w:val="22"/>
        </w:rPr>
        <w:t>raport</w:t>
      </w:r>
      <w:r w:rsidRPr="00822B19">
        <w:rPr>
          <w:color w:val="000000" w:themeColor="text1"/>
          <w:sz w:val="22"/>
          <w:szCs w:val="22"/>
        </w:rPr>
        <w:t xml:space="preserve"> Bezpieczne i otwarte miasta</w:t>
      </w:r>
      <w:bookmarkEnd w:id="43"/>
    </w:p>
    <w:tbl>
      <w:tblPr>
        <w:tblStyle w:val="Tabelasiatki1jasna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3402"/>
      </w:tblGrid>
      <w:tr w:rsidR="009544CD" w14:paraId="781326EF" w14:textId="77777777" w:rsidTr="00481F2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98" w:type="dxa"/>
            <w:shd w:val="clear" w:color="auto" w:fill="92D050"/>
          </w:tcPr>
          <w:p w14:paraId="5E209D00" w14:textId="77777777" w:rsidR="009544CD" w:rsidRDefault="009544CD" w:rsidP="009544CD">
            <w:pPr>
              <w:spacing w:after="120"/>
              <w:jc w:val="center"/>
            </w:pPr>
            <w:r>
              <w:t>Obszar</w:t>
            </w:r>
          </w:p>
        </w:tc>
        <w:tc>
          <w:tcPr>
            <w:tcW w:w="3402" w:type="dxa"/>
            <w:shd w:val="clear" w:color="auto" w:fill="92D050"/>
          </w:tcPr>
          <w:p w14:paraId="2433F38D" w14:textId="77777777" w:rsidR="009544CD" w:rsidRDefault="009544CD" w:rsidP="009544CD">
            <w:pPr>
              <w:spacing w:after="120"/>
              <w:jc w:val="center"/>
              <w:cnfStyle w:val="100000000000" w:firstRow="1" w:lastRow="0" w:firstColumn="0" w:lastColumn="0" w:oddVBand="0" w:evenVBand="0" w:oddHBand="0" w:evenHBand="0" w:firstRowFirstColumn="0" w:firstRowLastColumn="0" w:lastRowFirstColumn="0" w:lastRowLastColumn="0"/>
            </w:pPr>
            <w:r>
              <w:t>Miejsce Olsztyna w rankingu</w:t>
            </w:r>
          </w:p>
        </w:tc>
      </w:tr>
      <w:tr w:rsidR="009544CD" w14:paraId="43709C83" w14:textId="77777777" w:rsidTr="00481F26">
        <w:trPr>
          <w:jc w:val="center"/>
        </w:trPr>
        <w:tc>
          <w:tcPr>
            <w:cnfStyle w:val="001000000000" w:firstRow="0" w:lastRow="0" w:firstColumn="1" w:lastColumn="0" w:oddVBand="0" w:evenVBand="0" w:oddHBand="0" w:evenHBand="0" w:firstRowFirstColumn="0" w:firstRowLastColumn="0" w:lastRowFirstColumn="0" w:lastRowLastColumn="0"/>
            <w:tcW w:w="5098" w:type="dxa"/>
          </w:tcPr>
          <w:p w14:paraId="11C9A04E" w14:textId="77777777" w:rsidR="009544CD" w:rsidRPr="008331EA" w:rsidRDefault="009544CD" w:rsidP="00AF02A7">
            <w:pPr>
              <w:spacing w:after="120"/>
              <w:jc w:val="both"/>
              <w:rPr>
                <w:b w:val="0"/>
                <w:lang w:val="pl-PL"/>
              </w:rPr>
            </w:pPr>
            <w:r w:rsidRPr="008331EA">
              <w:rPr>
                <w:b w:val="0"/>
                <w:lang w:val="pl-PL"/>
              </w:rPr>
              <w:t>Bezpieczeństwo i otwartość – wskaźnik syntetyczny</w:t>
            </w:r>
          </w:p>
        </w:tc>
        <w:tc>
          <w:tcPr>
            <w:tcW w:w="3402" w:type="dxa"/>
          </w:tcPr>
          <w:p w14:paraId="7F177F03" w14:textId="77777777" w:rsidR="009544CD" w:rsidRDefault="009544CD" w:rsidP="00AF02A7">
            <w:pPr>
              <w:spacing w:after="120"/>
              <w:jc w:val="center"/>
              <w:cnfStyle w:val="000000000000" w:firstRow="0" w:lastRow="0" w:firstColumn="0" w:lastColumn="0" w:oddVBand="0" w:evenVBand="0" w:oddHBand="0" w:evenHBand="0" w:firstRowFirstColumn="0" w:firstRowLastColumn="0" w:lastRowFirstColumn="0" w:lastRowLastColumn="0"/>
            </w:pPr>
            <w:r>
              <w:t>9</w:t>
            </w:r>
          </w:p>
        </w:tc>
      </w:tr>
      <w:tr w:rsidR="009544CD" w14:paraId="6EE697AC" w14:textId="77777777" w:rsidTr="00481F26">
        <w:trPr>
          <w:jc w:val="center"/>
        </w:trPr>
        <w:tc>
          <w:tcPr>
            <w:cnfStyle w:val="001000000000" w:firstRow="0" w:lastRow="0" w:firstColumn="1" w:lastColumn="0" w:oddVBand="0" w:evenVBand="0" w:oddHBand="0" w:evenHBand="0" w:firstRowFirstColumn="0" w:firstRowLastColumn="0" w:lastRowFirstColumn="0" w:lastRowLastColumn="0"/>
            <w:tcW w:w="5098" w:type="dxa"/>
          </w:tcPr>
          <w:p w14:paraId="52312255" w14:textId="77777777" w:rsidR="009544CD" w:rsidRPr="00EB0DC6" w:rsidRDefault="009544CD" w:rsidP="00AF02A7">
            <w:pPr>
              <w:spacing w:after="120"/>
              <w:jc w:val="both"/>
              <w:rPr>
                <w:b w:val="0"/>
              </w:rPr>
            </w:pPr>
            <w:r w:rsidRPr="00EB0DC6">
              <w:rPr>
                <w:b w:val="0"/>
              </w:rPr>
              <w:t>Bezpieczeństwo publiczne</w:t>
            </w:r>
          </w:p>
        </w:tc>
        <w:tc>
          <w:tcPr>
            <w:tcW w:w="3402" w:type="dxa"/>
          </w:tcPr>
          <w:p w14:paraId="41FF016D" w14:textId="77777777" w:rsidR="009544CD" w:rsidRDefault="009544CD" w:rsidP="00AF02A7">
            <w:pPr>
              <w:spacing w:after="120"/>
              <w:jc w:val="center"/>
              <w:cnfStyle w:val="000000000000" w:firstRow="0" w:lastRow="0" w:firstColumn="0" w:lastColumn="0" w:oddVBand="0" w:evenVBand="0" w:oddHBand="0" w:evenHBand="0" w:firstRowFirstColumn="0" w:firstRowLastColumn="0" w:lastRowFirstColumn="0" w:lastRowLastColumn="0"/>
            </w:pPr>
            <w:r>
              <w:t>7</w:t>
            </w:r>
          </w:p>
        </w:tc>
      </w:tr>
      <w:tr w:rsidR="009544CD" w14:paraId="0D6C7835" w14:textId="77777777" w:rsidTr="00481F26">
        <w:trPr>
          <w:jc w:val="center"/>
        </w:trPr>
        <w:tc>
          <w:tcPr>
            <w:cnfStyle w:val="001000000000" w:firstRow="0" w:lastRow="0" w:firstColumn="1" w:lastColumn="0" w:oddVBand="0" w:evenVBand="0" w:oddHBand="0" w:evenHBand="0" w:firstRowFirstColumn="0" w:firstRowLastColumn="0" w:lastRowFirstColumn="0" w:lastRowLastColumn="0"/>
            <w:tcW w:w="5098" w:type="dxa"/>
          </w:tcPr>
          <w:p w14:paraId="1F55A2F6" w14:textId="77777777" w:rsidR="009544CD" w:rsidRPr="00EB0DC6" w:rsidRDefault="009544CD" w:rsidP="00AF02A7">
            <w:pPr>
              <w:spacing w:after="120"/>
              <w:jc w:val="both"/>
              <w:rPr>
                <w:b w:val="0"/>
              </w:rPr>
            </w:pPr>
            <w:r w:rsidRPr="00EB0DC6">
              <w:rPr>
                <w:b w:val="0"/>
              </w:rPr>
              <w:t>Otwartość</w:t>
            </w:r>
          </w:p>
        </w:tc>
        <w:tc>
          <w:tcPr>
            <w:tcW w:w="3402" w:type="dxa"/>
          </w:tcPr>
          <w:p w14:paraId="33598C69" w14:textId="77777777" w:rsidR="009544CD" w:rsidRDefault="009544CD" w:rsidP="00AF02A7">
            <w:pPr>
              <w:spacing w:after="120"/>
              <w:jc w:val="center"/>
              <w:cnfStyle w:val="000000000000" w:firstRow="0" w:lastRow="0" w:firstColumn="0" w:lastColumn="0" w:oddVBand="0" w:evenVBand="0" w:oddHBand="0" w:evenHBand="0" w:firstRowFirstColumn="0" w:firstRowLastColumn="0" w:lastRowFirstColumn="0" w:lastRowLastColumn="0"/>
            </w:pPr>
            <w:r>
              <w:t>51-66 (ostatnia dziesiątka)</w:t>
            </w:r>
          </w:p>
        </w:tc>
      </w:tr>
      <w:tr w:rsidR="009544CD" w14:paraId="26CA565A" w14:textId="77777777" w:rsidTr="00481F26">
        <w:trPr>
          <w:jc w:val="center"/>
        </w:trPr>
        <w:tc>
          <w:tcPr>
            <w:cnfStyle w:val="001000000000" w:firstRow="0" w:lastRow="0" w:firstColumn="1" w:lastColumn="0" w:oddVBand="0" w:evenVBand="0" w:oddHBand="0" w:evenHBand="0" w:firstRowFirstColumn="0" w:firstRowLastColumn="0" w:lastRowFirstColumn="0" w:lastRowLastColumn="0"/>
            <w:tcW w:w="5098" w:type="dxa"/>
          </w:tcPr>
          <w:p w14:paraId="154C377D" w14:textId="77777777" w:rsidR="009544CD" w:rsidRPr="00EB0DC6" w:rsidRDefault="009544CD" w:rsidP="00AF02A7">
            <w:pPr>
              <w:spacing w:after="120"/>
              <w:jc w:val="both"/>
              <w:rPr>
                <w:b w:val="0"/>
              </w:rPr>
            </w:pPr>
            <w:r w:rsidRPr="00EB0DC6">
              <w:rPr>
                <w:b w:val="0"/>
              </w:rPr>
              <w:t>Poczucie bezpieczeństwa indywidualnego</w:t>
            </w:r>
          </w:p>
        </w:tc>
        <w:tc>
          <w:tcPr>
            <w:tcW w:w="3402" w:type="dxa"/>
          </w:tcPr>
          <w:p w14:paraId="27F96CA9" w14:textId="77777777" w:rsidR="009544CD" w:rsidRDefault="009544CD" w:rsidP="00AF02A7">
            <w:pPr>
              <w:spacing w:after="120"/>
              <w:jc w:val="center"/>
              <w:cnfStyle w:val="000000000000" w:firstRow="0" w:lastRow="0" w:firstColumn="0" w:lastColumn="0" w:oddVBand="0" w:evenVBand="0" w:oddHBand="0" w:evenHBand="0" w:firstRowFirstColumn="0" w:firstRowLastColumn="0" w:lastRowFirstColumn="0" w:lastRowLastColumn="0"/>
            </w:pPr>
            <w:r>
              <w:t>14</w:t>
            </w:r>
          </w:p>
        </w:tc>
      </w:tr>
      <w:tr w:rsidR="009544CD" w14:paraId="07AD36AE" w14:textId="77777777" w:rsidTr="00481F26">
        <w:trPr>
          <w:jc w:val="center"/>
        </w:trPr>
        <w:tc>
          <w:tcPr>
            <w:cnfStyle w:val="001000000000" w:firstRow="0" w:lastRow="0" w:firstColumn="1" w:lastColumn="0" w:oddVBand="0" w:evenVBand="0" w:oddHBand="0" w:evenHBand="0" w:firstRowFirstColumn="0" w:firstRowLastColumn="0" w:lastRowFirstColumn="0" w:lastRowLastColumn="0"/>
            <w:tcW w:w="5098" w:type="dxa"/>
          </w:tcPr>
          <w:p w14:paraId="3B5F950F" w14:textId="77777777" w:rsidR="009544CD" w:rsidRPr="00EB0DC6" w:rsidRDefault="009544CD" w:rsidP="00AF02A7">
            <w:pPr>
              <w:spacing w:after="120"/>
              <w:jc w:val="both"/>
              <w:rPr>
                <w:b w:val="0"/>
              </w:rPr>
            </w:pPr>
            <w:r w:rsidRPr="00EB0DC6">
              <w:rPr>
                <w:b w:val="0"/>
              </w:rPr>
              <w:t>Bezpieczeństwo komunikacyjne</w:t>
            </w:r>
          </w:p>
        </w:tc>
        <w:tc>
          <w:tcPr>
            <w:tcW w:w="3402" w:type="dxa"/>
          </w:tcPr>
          <w:p w14:paraId="5CE63C89" w14:textId="77777777" w:rsidR="009544CD" w:rsidRDefault="009544CD" w:rsidP="00AF02A7">
            <w:pPr>
              <w:spacing w:after="120"/>
              <w:jc w:val="center"/>
              <w:cnfStyle w:val="000000000000" w:firstRow="0" w:lastRow="0" w:firstColumn="0" w:lastColumn="0" w:oddVBand="0" w:evenVBand="0" w:oddHBand="0" w:evenHBand="0" w:firstRowFirstColumn="0" w:firstRowLastColumn="0" w:lastRowFirstColumn="0" w:lastRowLastColumn="0"/>
            </w:pPr>
            <w:r>
              <w:t>21-30 (trzecia dziesiątka)</w:t>
            </w:r>
          </w:p>
        </w:tc>
      </w:tr>
      <w:tr w:rsidR="009544CD" w14:paraId="3ED6E82F" w14:textId="77777777" w:rsidTr="00481F26">
        <w:trPr>
          <w:jc w:val="center"/>
        </w:trPr>
        <w:tc>
          <w:tcPr>
            <w:cnfStyle w:val="001000000000" w:firstRow="0" w:lastRow="0" w:firstColumn="1" w:lastColumn="0" w:oddVBand="0" w:evenVBand="0" w:oddHBand="0" w:evenHBand="0" w:firstRowFirstColumn="0" w:firstRowLastColumn="0" w:lastRowFirstColumn="0" w:lastRowLastColumn="0"/>
            <w:tcW w:w="5098" w:type="dxa"/>
          </w:tcPr>
          <w:p w14:paraId="1B175BB3" w14:textId="77777777" w:rsidR="009544CD" w:rsidRPr="00EB0DC6" w:rsidRDefault="009544CD" w:rsidP="00AF02A7">
            <w:pPr>
              <w:spacing w:after="120"/>
              <w:jc w:val="both"/>
              <w:rPr>
                <w:b w:val="0"/>
              </w:rPr>
            </w:pPr>
            <w:r w:rsidRPr="00EB0DC6">
              <w:rPr>
                <w:b w:val="0"/>
              </w:rPr>
              <w:t>Bezpieczeństwo społeczno-ekonomiczne</w:t>
            </w:r>
          </w:p>
        </w:tc>
        <w:tc>
          <w:tcPr>
            <w:tcW w:w="3402" w:type="dxa"/>
          </w:tcPr>
          <w:p w14:paraId="6A259520" w14:textId="77777777" w:rsidR="009544CD" w:rsidRDefault="009544CD" w:rsidP="00AF02A7">
            <w:pPr>
              <w:spacing w:after="120"/>
              <w:jc w:val="center"/>
              <w:cnfStyle w:val="000000000000" w:firstRow="0" w:lastRow="0" w:firstColumn="0" w:lastColumn="0" w:oddVBand="0" w:evenVBand="0" w:oddHBand="0" w:evenHBand="0" w:firstRowFirstColumn="0" w:firstRowLastColumn="0" w:lastRowFirstColumn="0" w:lastRowLastColumn="0"/>
            </w:pPr>
            <w:r>
              <w:t>8</w:t>
            </w:r>
          </w:p>
        </w:tc>
      </w:tr>
    </w:tbl>
    <w:p w14:paraId="55961AB4" w14:textId="189A065F" w:rsidR="009544CD" w:rsidRPr="00A624F8" w:rsidRDefault="00A624F8" w:rsidP="00964397">
      <w:pPr>
        <w:spacing w:after="0"/>
        <w:jc w:val="center"/>
        <w:rPr>
          <w:sz w:val="20"/>
          <w:szCs w:val="20"/>
        </w:rPr>
      </w:pPr>
      <w:r w:rsidRPr="00A624F8">
        <w:rPr>
          <w:sz w:val="20"/>
          <w:szCs w:val="20"/>
        </w:rPr>
        <w:t>ź</w:t>
      </w:r>
      <w:r w:rsidR="00964397" w:rsidRPr="00A624F8">
        <w:rPr>
          <w:sz w:val="20"/>
          <w:szCs w:val="20"/>
        </w:rPr>
        <w:t>ródło: Polska Fundacja im. Roberta Schumana i Fundacja Konrada Adenauera; maj 2017 r. https://www.miasta.pl/uploads/attachment/file/1436/Europolis.-Bezpieczne-i-otwarte-miasta.pd</w:t>
      </w:r>
      <w:r w:rsidRPr="00A624F8">
        <w:rPr>
          <w:sz w:val="20"/>
          <w:szCs w:val="20"/>
        </w:rPr>
        <w:t>f</w:t>
      </w:r>
    </w:p>
    <w:p w14:paraId="536E8D21" w14:textId="77777777" w:rsidR="00A624F8" w:rsidRDefault="00A624F8" w:rsidP="00BD21F6">
      <w:pPr>
        <w:suppressAutoHyphens/>
        <w:jc w:val="both"/>
        <w:rPr>
          <w:rFonts w:eastAsia="Times New Roman" w:cs="Times New Roman"/>
          <w:lang w:eastAsia="ar-SA"/>
        </w:rPr>
      </w:pPr>
    </w:p>
    <w:p w14:paraId="58D021D1" w14:textId="3D6B2B72" w:rsidR="00946C5A" w:rsidRPr="00BD21F6" w:rsidRDefault="00946C5A" w:rsidP="00BD21F6">
      <w:pPr>
        <w:suppressAutoHyphens/>
        <w:jc w:val="both"/>
        <w:rPr>
          <w:rFonts w:eastAsia="Times New Roman" w:cs="Times New Roman"/>
          <w:bCs/>
          <w:lang w:eastAsia="ar-SA"/>
        </w:rPr>
      </w:pPr>
      <w:r>
        <w:rPr>
          <w:rFonts w:eastAsia="Times New Roman" w:cs="Times New Roman"/>
          <w:lang w:eastAsia="ar-SA"/>
        </w:rPr>
        <w:t>Jednym z przedsięwzięć na rzecz podnie</w:t>
      </w:r>
      <w:r w:rsidRPr="00946C5A">
        <w:rPr>
          <w:rFonts w:eastAsia="Times New Roman" w:cs="Times New Roman"/>
          <w:lang w:eastAsia="ar-SA"/>
        </w:rPr>
        <w:t>sieni</w:t>
      </w:r>
      <w:r>
        <w:rPr>
          <w:rFonts w:eastAsia="Times New Roman" w:cs="Times New Roman"/>
          <w:lang w:eastAsia="ar-SA"/>
        </w:rPr>
        <w:t>a</w:t>
      </w:r>
      <w:r w:rsidRPr="00946C5A">
        <w:rPr>
          <w:rFonts w:eastAsia="Times New Roman" w:cs="Times New Roman"/>
          <w:lang w:eastAsia="ar-SA"/>
        </w:rPr>
        <w:t xml:space="preserve"> i zapewnieni</w:t>
      </w:r>
      <w:r>
        <w:rPr>
          <w:rFonts w:eastAsia="Times New Roman" w:cs="Times New Roman"/>
          <w:lang w:eastAsia="ar-SA"/>
        </w:rPr>
        <w:t>a</w:t>
      </w:r>
      <w:r w:rsidRPr="00946C5A">
        <w:rPr>
          <w:rFonts w:eastAsia="Times New Roman" w:cs="Times New Roman"/>
          <w:lang w:eastAsia="ar-SA"/>
        </w:rPr>
        <w:t xml:space="preserve"> utrzymania wysokiego poziomu bezpieczeństwa</w:t>
      </w:r>
      <w:r w:rsidR="00666A27">
        <w:rPr>
          <w:rFonts w:eastAsia="Times New Roman" w:cs="Times New Roman"/>
          <w:lang w:eastAsia="ar-SA"/>
        </w:rPr>
        <w:t>, realizowany</w:t>
      </w:r>
      <w:r w:rsidR="006F1949">
        <w:rPr>
          <w:rFonts w:eastAsia="Times New Roman" w:cs="Times New Roman"/>
          <w:lang w:eastAsia="ar-SA"/>
        </w:rPr>
        <w:t>ch</w:t>
      </w:r>
      <w:r w:rsidR="00666A27">
        <w:rPr>
          <w:rFonts w:eastAsia="Times New Roman" w:cs="Times New Roman"/>
          <w:lang w:eastAsia="ar-SA"/>
        </w:rPr>
        <w:t xml:space="preserve"> </w:t>
      </w:r>
      <w:r w:rsidR="001D2D0D">
        <w:rPr>
          <w:rFonts w:eastAsia="Times New Roman" w:cs="Times New Roman"/>
          <w:lang w:eastAsia="ar-SA"/>
        </w:rPr>
        <w:t xml:space="preserve">na terenie Olsztyna </w:t>
      </w:r>
      <w:r w:rsidR="007E6C8E">
        <w:rPr>
          <w:rFonts w:eastAsia="Times New Roman" w:cs="Times New Roman"/>
          <w:lang w:eastAsia="ar-SA"/>
        </w:rPr>
        <w:t>jest projekt „Bezpieczny MOF”.</w:t>
      </w:r>
      <w:r w:rsidR="001D2D0D">
        <w:rPr>
          <w:rFonts w:eastAsia="Times New Roman" w:cs="Times New Roman"/>
          <w:lang w:eastAsia="ar-SA"/>
        </w:rPr>
        <w:t xml:space="preserve"> </w:t>
      </w:r>
      <w:r w:rsidR="006F1949">
        <w:rPr>
          <w:rFonts w:eastAsia="Times New Roman" w:cs="Times New Roman"/>
          <w:lang w:eastAsia="ar-SA"/>
        </w:rPr>
        <w:t>D</w:t>
      </w:r>
      <w:r w:rsidRPr="00946C5A">
        <w:rPr>
          <w:rFonts w:eastAsia="Times New Roman" w:cs="Times New Roman"/>
          <w:lang w:eastAsia="ar-SA"/>
        </w:rPr>
        <w:t xml:space="preserve">ziałania służące wyposażeniu i integracji służb zaangażowanych w usuwanie skutków klęsk żywiołowych </w:t>
      </w:r>
      <w:r w:rsidR="006F1949">
        <w:rPr>
          <w:rFonts w:eastAsia="Times New Roman" w:cs="Times New Roman"/>
          <w:lang w:eastAsia="ar-SA"/>
        </w:rPr>
        <w:br/>
      </w:r>
      <w:r w:rsidRPr="00946C5A">
        <w:rPr>
          <w:rFonts w:eastAsia="Times New Roman" w:cs="Times New Roman"/>
          <w:lang w:eastAsia="ar-SA"/>
        </w:rPr>
        <w:t xml:space="preserve">i środowiskowych oraz stworzenie możliwości wczesnego ostrzegania i informowania mieszkańców </w:t>
      </w:r>
      <w:r w:rsidR="006F1949">
        <w:rPr>
          <w:rFonts w:eastAsia="Times New Roman" w:cs="Times New Roman"/>
          <w:lang w:eastAsia="ar-SA"/>
        </w:rPr>
        <w:br/>
      </w:r>
      <w:r w:rsidR="00666A27">
        <w:rPr>
          <w:rFonts w:eastAsia="Times New Roman" w:cs="Times New Roman"/>
          <w:lang w:eastAsia="ar-SA"/>
        </w:rPr>
        <w:t>o zagrożeniu</w:t>
      </w:r>
      <w:r w:rsidR="00DB3ACD">
        <w:rPr>
          <w:rFonts w:eastAsia="Times New Roman" w:cs="Times New Roman"/>
          <w:lang w:eastAsia="ar-SA"/>
        </w:rPr>
        <w:t>,</w:t>
      </w:r>
      <w:r w:rsidR="00666A27">
        <w:rPr>
          <w:rFonts w:eastAsia="Times New Roman" w:cs="Times New Roman"/>
          <w:lang w:eastAsia="ar-SA"/>
        </w:rPr>
        <w:t xml:space="preserve"> </w:t>
      </w:r>
      <w:r w:rsidR="00BD21F6">
        <w:rPr>
          <w:rFonts w:eastAsia="Times New Roman" w:cs="Times New Roman"/>
          <w:lang w:eastAsia="ar-SA"/>
        </w:rPr>
        <w:t xml:space="preserve">w jego efekcie końcowym wpłyną na wzrost </w:t>
      </w:r>
      <w:r w:rsidR="00DB3ACD">
        <w:rPr>
          <w:rFonts w:eastAsia="Times New Roman" w:cs="Times New Roman"/>
          <w:lang w:eastAsia="ar-SA"/>
        </w:rPr>
        <w:t>poczucia</w:t>
      </w:r>
      <w:r w:rsidR="00666A27">
        <w:rPr>
          <w:rFonts w:eastAsia="Times New Roman" w:cs="Times New Roman"/>
          <w:lang w:eastAsia="ar-SA"/>
        </w:rPr>
        <w:t xml:space="preserve"> bezpieczeństwa </w:t>
      </w:r>
      <w:r w:rsidR="00DB3ACD">
        <w:rPr>
          <w:rFonts w:eastAsia="Times New Roman" w:cs="Times New Roman"/>
          <w:lang w:eastAsia="ar-SA"/>
        </w:rPr>
        <w:t xml:space="preserve">mieszkańców </w:t>
      </w:r>
      <w:r w:rsidR="006F1949">
        <w:rPr>
          <w:rFonts w:eastAsia="Times New Roman" w:cs="Times New Roman"/>
          <w:lang w:eastAsia="ar-SA"/>
        </w:rPr>
        <w:t xml:space="preserve"> Olsztyn</w:t>
      </w:r>
      <w:r w:rsidR="00DB3ACD">
        <w:rPr>
          <w:rFonts w:eastAsia="Times New Roman" w:cs="Times New Roman"/>
          <w:lang w:eastAsia="ar-SA"/>
        </w:rPr>
        <w:t>a</w:t>
      </w:r>
      <w:r w:rsidR="006F1949">
        <w:rPr>
          <w:rFonts w:eastAsia="Times New Roman" w:cs="Times New Roman"/>
          <w:lang w:eastAsia="ar-SA"/>
        </w:rPr>
        <w:t xml:space="preserve"> i </w:t>
      </w:r>
      <w:r w:rsidR="00DB3ACD">
        <w:rPr>
          <w:rFonts w:eastAsia="Times New Roman" w:cs="Times New Roman"/>
          <w:lang w:eastAsia="ar-SA"/>
        </w:rPr>
        <w:t xml:space="preserve">gmin jego </w:t>
      </w:r>
      <w:r w:rsidR="006F1949">
        <w:rPr>
          <w:rFonts w:eastAsia="Times New Roman" w:cs="Times New Roman"/>
          <w:lang w:eastAsia="ar-SA"/>
        </w:rPr>
        <w:t>obszar</w:t>
      </w:r>
      <w:r w:rsidR="00DB3ACD">
        <w:rPr>
          <w:rFonts w:eastAsia="Times New Roman" w:cs="Times New Roman"/>
          <w:lang w:eastAsia="ar-SA"/>
        </w:rPr>
        <w:t>u</w:t>
      </w:r>
      <w:r w:rsidR="006F1949">
        <w:rPr>
          <w:rFonts w:eastAsia="Times New Roman" w:cs="Times New Roman"/>
          <w:lang w:eastAsia="ar-SA"/>
        </w:rPr>
        <w:t xml:space="preserve"> funkcjonaln</w:t>
      </w:r>
      <w:r w:rsidR="00DB3ACD">
        <w:rPr>
          <w:rFonts w:eastAsia="Times New Roman" w:cs="Times New Roman"/>
          <w:lang w:eastAsia="ar-SA"/>
        </w:rPr>
        <w:t>ego</w:t>
      </w:r>
      <w:r w:rsidR="006F1949">
        <w:rPr>
          <w:rFonts w:eastAsia="Times New Roman" w:cs="Times New Roman"/>
          <w:lang w:eastAsia="ar-SA"/>
        </w:rPr>
        <w:t>.</w:t>
      </w:r>
    </w:p>
    <w:p w14:paraId="2FF3CF70" w14:textId="77777777" w:rsidR="00946C5A" w:rsidRDefault="00946C5A" w:rsidP="009544CD">
      <w:pPr>
        <w:spacing w:after="0"/>
        <w:jc w:val="both"/>
      </w:pPr>
    </w:p>
    <w:p w14:paraId="7A8B5E1A" w14:textId="77777777" w:rsidR="009544CD" w:rsidRPr="00CB0F12" w:rsidRDefault="009544CD" w:rsidP="009544CD">
      <w:pPr>
        <w:pStyle w:val="Nagwek3"/>
        <w:rPr>
          <w:sz w:val="22"/>
          <w:szCs w:val="22"/>
        </w:rPr>
      </w:pPr>
      <w:bookmarkStart w:id="44" w:name="_Toc73534895"/>
      <w:r w:rsidRPr="00CB0F12">
        <w:rPr>
          <w:sz w:val="22"/>
          <w:szCs w:val="22"/>
        </w:rPr>
        <w:lastRenderedPageBreak/>
        <w:t>1.3.1. Straż miejska</w:t>
      </w:r>
      <w:bookmarkEnd w:id="44"/>
    </w:p>
    <w:p w14:paraId="4FA60F2B" w14:textId="04A9EF20" w:rsidR="009544CD" w:rsidRDefault="009544CD" w:rsidP="009544CD">
      <w:pPr>
        <w:spacing w:after="0"/>
        <w:jc w:val="both"/>
      </w:pPr>
      <w:r>
        <w:t>Straż miejska jest służbą odpowiedzialną za porządek i bezpieczeństwo w mieście i częściowo na obszarze MOF</w:t>
      </w:r>
      <w:r>
        <w:rPr>
          <w:rStyle w:val="Odwoanieprzypisudolnego"/>
        </w:rPr>
        <w:footnoteReference w:id="15"/>
      </w:r>
      <w:r>
        <w:t>, uzupełniając pracę policji w codziennym kontakcie z mieszkańcami. Strażnikom olsztynianie zgłaszają głównie problemy związane z utrzymaniem</w:t>
      </w:r>
      <w:r w:rsidRPr="00712191">
        <w:t xml:space="preserve"> czystości i  porządku w mieście, zakł</w:t>
      </w:r>
      <w:r>
        <w:t>ócaniem</w:t>
      </w:r>
      <w:r w:rsidRPr="00712191">
        <w:t xml:space="preserve"> porządku publicznego i b</w:t>
      </w:r>
      <w:r>
        <w:t>ezpieczeństwa w ruchu drogowym, a także dotyczące nieprawidłowego trzymania zwierząt, uszkodzeń nawierzchni dróg, awarii występujących</w:t>
      </w:r>
      <w:r w:rsidRPr="00712191">
        <w:t xml:space="preserve"> </w:t>
      </w:r>
      <w:r>
        <w:br/>
      </w:r>
      <w:r w:rsidRPr="00712191">
        <w:t>w ur</w:t>
      </w:r>
      <w:r>
        <w:t>ządzeniach sieci komunalnych i</w:t>
      </w:r>
      <w:r w:rsidRPr="00712191">
        <w:t xml:space="preserve"> budynkach oraz </w:t>
      </w:r>
      <w:r>
        <w:t>osób potrzebujących</w:t>
      </w:r>
      <w:r w:rsidRPr="00712191">
        <w:t xml:space="preserve"> natychmiastowej pomocy.</w:t>
      </w:r>
    </w:p>
    <w:p w14:paraId="0647637D" w14:textId="7898120E" w:rsidR="001C73CA" w:rsidRDefault="001C73CA" w:rsidP="009544CD">
      <w:pPr>
        <w:spacing w:after="0"/>
        <w:jc w:val="both"/>
      </w:pPr>
    </w:p>
    <w:p w14:paraId="7B37B742" w14:textId="029AF0CA" w:rsidR="001C73CA" w:rsidRPr="00876C32" w:rsidRDefault="001C73CA" w:rsidP="001C73CA">
      <w:pPr>
        <w:pStyle w:val="Legenda"/>
        <w:rPr>
          <w:color w:val="000000" w:themeColor="text1"/>
          <w:sz w:val="22"/>
          <w:szCs w:val="22"/>
          <w:lang w:val="pl-PL"/>
        </w:rPr>
      </w:pPr>
      <w:bookmarkStart w:id="45" w:name="_Toc73516083"/>
      <w:r w:rsidRPr="00876C32">
        <w:rPr>
          <w:color w:val="000000" w:themeColor="text1"/>
          <w:sz w:val="22"/>
          <w:szCs w:val="22"/>
        </w:rPr>
        <w:t xml:space="preserve">Wykres </w:t>
      </w:r>
      <w:r w:rsidRPr="00876C32">
        <w:rPr>
          <w:color w:val="000000" w:themeColor="text1"/>
          <w:sz w:val="22"/>
          <w:szCs w:val="22"/>
        </w:rPr>
        <w:fldChar w:fldCharType="begin"/>
      </w:r>
      <w:r w:rsidRPr="00876C32">
        <w:rPr>
          <w:color w:val="000000" w:themeColor="text1"/>
          <w:sz w:val="22"/>
          <w:szCs w:val="22"/>
        </w:rPr>
        <w:instrText xml:space="preserve"> SEQ Wykres \* ARABIC </w:instrText>
      </w:r>
      <w:r w:rsidRPr="00876C32">
        <w:rPr>
          <w:color w:val="000000" w:themeColor="text1"/>
          <w:sz w:val="22"/>
          <w:szCs w:val="22"/>
        </w:rPr>
        <w:fldChar w:fldCharType="separate"/>
      </w:r>
      <w:r w:rsidR="00AD58C3">
        <w:rPr>
          <w:noProof/>
          <w:color w:val="000000" w:themeColor="text1"/>
          <w:sz w:val="22"/>
          <w:szCs w:val="22"/>
        </w:rPr>
        <w:t>21</w:t>
      </w:r>
      <w:r w:rsidRPr="00876C32">
        <w:rPr>
          <w:color w:val="000000" w:themeColor="text1"/>
          <w:sz w:val="22"/>
          <w:szCs w:val="22"/>
        </w:rPr>
        <w:fldChar w:fldCharType="end"/>
      </w:r>
      <w:r w:rsidRPr="00876C32">
        <w:rPr>
          <w:color w:val="000000" w:themeColor="text1"/>
          <w:sz w:val="22"/>
          <w:szCs w:val="22"/>
        </w:rPr>
        <w:t xml:space="preserve">. </w:t>
      </w:r>
      <w:r w:rsidRPr="00876C32">
        <w:rPr>
          <w:bCs/>
          <w:color w:val="000000" w:themeColor="text1"/>
          <w:sz w:val="22"/>
          <w:szCs w:val="22"/>
          <w:lang w:val="pl-PL"/>
        </w:rPr>
        <w:t>Liczba zgłoszeń do dyżurnych Straży Miejskiej w Olsztynie w latach 2009-2019</w:t>
      </w:r>
      <w:bookmarkEnd w:id="45"/>
    </w:p>
    <w:p w14:paraId="239A70D0" w14:textId="77777777" w:rsidR="009544CD" w:rsidRDefault="009544CD" w:rsidP="009544CD">
      <w:pPr>
        <w:spacing w:after="0"/>
        <w:jc w:val="center"/>
      </w:pPr>
      <w:r>
        <w:rPr>
          <w:noProof/>
          <w:lang w:eastAsia="pl-PL"/>
        </w:rPr>
        <w:drawing>
          <wp:inline distT="0" distB="0" distL="0" distR="0" wp14:anchorId="2D9E23A5" wp14:editId="1B059767">
            <wp:extent cx="4885899" cy="2333767"/>
            <wp:effectExtent l="0" t="0" r="10160" b="9525"/>
            <wp:docPr id="133" name="Obiek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6E6B327" w14:textId="5BB78542" w:rsidR="009544CD" w:rsidRPr="00424B1C" w:rsidRDefault="009544CD" w:rsidP="009544CD">
      <w:pPr>
        <w:spacing w:after="0"/>
        <w:jc w:val="center"/>
        <w:rPr>
          <w:i/>
          <w:sz w:val="20"/>
          <w:szCs w:val="20"/>
        </w:rPr>
      </w:pPr>
      <w:r w:rsidRPr="00424B1C">
        <w:rPr>
          <w:i/>
          <w:sz w:val="20"/>
          <w:szCs w:val="20"/>
        </w:rPr>
        <w:t>źródło: Sprawozdanie z działalności Straży Miejskiej w Olsztynie za rok 2019</w:t>
      </w:r>
    </w:p>
    <w:p w14:paraId="0B73C5F9" w14:textId="28CEB44D" w:rsidR="009544CD" w:rsidRDefault="009544CD" w:rsidP="009544CD">
      <w:pPr>
        <w:spacing w:after="0"/>
        <w:jc w:val="both"/>
        <w:rPr>
          <w:i/>
        </w:rPr>
      </w:pPr>
    </w:p>
    <w:p w14:paraId="3C8264CE" w14:textId="77777777" w:rsidR="007B7402" w:rsidRDefault="007B7402" w:rsidP="007B7402">
      <w:pPr>
        <w:pStyle w:val="Legenda"/>
        <w:rPr>
          <w:color w:val="FF0000"/>
          <w:sz w:val="22"/>
          <w:szCs w:val="22"/>
        </w:rPr>
      </w:pPr>
    </w:p>
    <w:p w14:paraId="5C410935" w14:textId="7267F479" w:rsidR="007B7402" w:rsidRPr="002F2889" w:rsidRDefault="007B7402" w:rsidP="007B7402">
      <w:pPr>
        <w:pStyle w:val="Legenda"/>
        <w:rPr>
          <w:color w:val="000000" w:themeColor="text1"/>
          <w:sz w:val="22"/>
          <w:szCs w:val="22"/>
          <w:lang w:val="pl-PL"/>
        </w:rPr>
      </w:pPr>
      <w:bookmarkStart w:id="46" w:name="_Toc73516084"/>
      <w:r w:rsidRPr="002F2889">
        <w:rPr>
          <w:color w:val="000000" w:themeColor="text1"/>
          <w:sz w:val="22"/>
          <w:szCs w:val="22"/>
        </w:rPr>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22</w:t>
      </w:r>
      <w:r w:rsidRPr="002F2889">
        <w:rPr>
          <w:color w:val="000000" w:themeColor="text1"/>
          <w:sz w:val="22"/>
          <w:szCs w:val="22"/>
        </w:rPr>
        <w:fldChar w:fldCharType="end"/>
      </w:r>
      <w:r w:rsidRPr="002F2889">
        <w:rPr>
          <w:color w:val="000000" w:themeColor="text1"/>
          <w:sz w:val="22"/>
          <w:szCs w:val="22"/>
        </w:rPr>
        <w:t xml:space="preserve">. </w:t>
      </w:r>
      <w:r w:rsidRPr="002F2889">
        <w:rPr>
          <w:bCs/>
          <w:color w:val="000000" w:themeColor="text1"/>
          <w:sz w:val="22"/>
          <w:szCs w:val="22"/>
          <w:lang w:val="pl-PL"/>
        </w:rPr>
        <w:t>Liczba interwencji podjętych przez Straż Miejską w Olsztynie w latach 2009-2019</w:t>
      </w:r>
      <w:bookmarkEnd w:id="46"/>
    </w:p>
    <w:p w14:paraId="737E9D06" w14:textId="77777777" w:rsidR="009544CD" w:rsidRDefault="009544CD" w:rsidP="009544CD">
      <w:pPr>
        <w:spacing w:after="0"/>
        <w:jc w:val="center"/>
      </w:pPr>
      <w:r>
        <w:rPr>
          <w:noProof/>
          <w:lang w:eastAsia="pl-PL"/>
        </w:rPr>
        <w:drawing>
          <wp:inline distT="0" distB="0" distL="0" distR="0" wp14:anchorId="38D1D5C5" wp14:editId="64F9BEC9">
            <wp:extent cx="4776470" cy="2450592"/>
            <wp:effectExtent l="0" t="0" r="5080" b="6985"/>
            <wp:docPr id="134" name="Obiek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B5AD887" w14:textId="04EE7132" w:rsidR="009544CD" w:rsidRPr="00424B1C" w:rsidRDefault="00424B1C" w:rsidP="0084210E">
      <w:pPr>
        <w:spacing w:after="0"/>
        <w:jc w:val="center"/>
        <w:rPr>
          <w:i/>
          <w:sz w:val="20"/>
          <w:szCs w:val="20"/>
        </w:rPr>
      </w:pPr>
      <w:r>
        <w:rPr>
          <w:i/>
          <w:sz w:val="20"/>
          <w:szCs w:val="20"/>
        </w:rPr>
        <w:t>ź</w:t>
      </w:r>
      <w:r w:rsidR="009544CD" w:rsidRPr="00424B1C">
        <w:rPr>
          <w:i/>
          <w:sz w:val="20"/>
          <w:szCs w:val="20"/>
        </w:rPr>
        <w:t>ródło: Sprawozdanie z działalności Straży Miejskiej w Olsztynie za rok 2019</w:t>
      </w:r>
    </w:p>
    <w:p w14:paraId="4C2B5F0A" w14:textId="71371F72" w:rsidR="007B7402" w:rsidRPr="002F2889" w:rsidRDefault="007B7402" w:rsidP="007B7402">
      <w:pPr>
        <w:pStyle w:val="Legenda"/>
        <w:rPr>
          <w:color w:val="000000" w:themeColor="text1"/>
          <w:sz w:val="22"/>
          <w:szCs w:val="22"/>
          <w:lang w:val="pl-PL"/>
        </w:rPr>
      </w:pPr>
      <w:bookmarkStart w:id="47" w:name="_Toc73516085"/>
      <w:r w:rsidRPr="002F2889">
        <w:rPr>
          <w:color w:val="000000" w:themeColor="text1"/>
          <w:sz w:val="22"/>
          <w:szCs w:val="22"/>
        </w:rPr>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23</w:t>
      </w:r>
      <w:r w:rsidRPr="002F2889">
        <w:rPr>
          <w:color w:val="000000" w:themeColor="text1"/>
          <w:sz w:val="22"/>
          <w:szCs w:val="22"/>
        </w:rPr>
        <w:fldChar w:fldCharType="end"/>
      </w:r>
      <w:r w:rsidRPr="002F2889">
        <w:rPr>
          <w:color w:val="000000" w:themeColor="text1"/>
          <w:sz w:val="22"/>
          <w:szCs w:val="22"/>
        </w:rPr>
        <w:t xml:space="preserve">. </w:t>
      </w:r>
      <w:r w:rsidRPr="002F2889">
        <w:rPr>
          <w:bCs/>
          <w:color w:val="000000" w:themeColor="text1"/>
          <w:sz w:val="22"/>
          <w:szCs w:val="22"/>
          <w:lang w:val="pl-PL"/>
        </w:rPr>
        <w:t xml:space="preserve">Obszar tematyczny interwencji podjętych przez Straż Miejską </w:t>
      </w:r>
      <w:r w:rsidR="0017177B" w:rsidRPr="002F2889">
        <w:rPr>
          <w:bCs/>
          <w:color w:val="000000" w:themeColor="text1"/>
          <w:sz w:val="22"/>
          <w:szCs w:val="22"/>
          <w:lang w:val="pl-PL"/>
        </w:rPr>
        <w:t xml:space="preserve">w </w:t>
      </w:r>
      <w:r w:rsidRPr="002F2889">
        <w:rPr>
          <w:bCs/>
          <w:color w:val="000000" w:themeColor="text1"/>
          <w:sz w:val="22"/>
          <w:szCs w:val="22"/>
          <w:lang w:val="pl-PL"/>
        </w:rPr>
        <w:t>Olsztynie w roku 2019</w:t>
      </w:r>
      <w:bookmarkEnd w:id="47"/>
      <w:r w:rsidRPr="002F2889">
        <w:rPr>
          <w:bCs/>
          <w:color w:val="000000" w:themeColor="text1"/>
          <w:sz w:val="22"/>
          <w:szCs w:val="22"/>
          <w:lang w:val="pl-PL"/>
        </w:rPr>
        <w:t xml:space="preserve"> </w:t>
      </w:r>
    </w:p>
    <w:p w14:paraId="553571E8" w14:textId="77777777" w:rsidR="009544CD" w:rsidRDefault="009544CD" w:rsidP="001C0A39">
      <w:pPr>
        <w:spacing w:after="0"/>
        <w:jc w:val="center"/>
      </w:pPr>
      <w:r>
        <w:rPr>
          <w:noProof/>
          <w:lang w:eastAsia="pl-PL"/>
        </w:rPr>
        <w:lastRenderedPageBreak/>
        <w:drawing>
          <wp:inline distT="0" distB="0" distL="0" distR="0" wp14:anchorId="34A212B5" wp14:editId="67BFBAAB">
            <wp:extent cx="4732325" cy="1836115"/>
            <wp:effectExtent l="0" t="0" r="11430" b="12065"/>
            <wp:docPr id="135" name="Obiek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E5FBE73" w14:textId="75AF5062" w:rsidR="009544CD" w:rsidRPr="007D7A9D" w:rsidRDefault="007D7A9D" w:rsidP="00981177">
      <w:pPr>
        <w:spacing w:after="0"/>
        <w:jc w:val="center"/>
        <w:rPr>
          <w:sz w:val="20"/>
          <w:szCs w:val="20"/>
        </w:rPr>
      </w:pPr>
      <w:r>
        <w:rPr>
          <w:i/>
          <w:sz w:val="20"/>
          <w:szCs w:val="20"/>
        </w:rPr>
        <w:t>ź</w:t>
      </w:r>
      <w:r w:rsidR="009544CD" w:rsidRPr="007D7A9D">
        <w:rPr>
          <w:i/>
          <w:sz w:val="20"/>
          <w:szCs w:val="20"/>
        </w:rPr>
        <w:t>ródło: Sprawozdanie z działalności Straży Miejskiej w Olsztynie za rok 2019</w:t>
      </w:r>
    </w:p>
    <w:p w14:paraId="3A1A3491" w14:textId="77777777" w:rsidR="009544CD" w:rsidRDefault="009544CD" w:rsidP="009544CD">
      <w:pPr>
        <w:spacing w:after="0"/>
        <w:jc w:val="both"/>
      </w:pPr>
    </w:p>
    <w:p w14:paraId="1A5F8302" w14:textId="77777777" w:rsidR="009544CD" w:rsidRPr="00CB0F12" w:rsidRDefault="009544CD" w:rsidP="009544CD">
      <w:pPr>
        <w:pStyle w:val="Nagwek3"/>
        <w:rPr>
          <w:sz w:val="22"/>
          <w:szCs w:val="22"/>
        </w:rPr>
      </w:pPr>
      <w:bookmarkStart w:id="48" w:name="_Toc73534896"/>
      <w:r w:rsidRPr="00CB0F12">
        <w:rPr>
          <w:sz w:val="22"/>
          <w:szCs w:val="22"/>
        </w:rPr>
        <w:t>1.3.2. Policja</w:t>
      </w:r>
      <w:bookmarkEnd w:id="48"/>
      <w:r w:rsidRPr="00CB0F12">
        <w:rPr>
          <w:sz w:val="22"/>
          <w:szCs w:val="22"/>
        </w:rPr>
        <w:t xml:space="preserve"> </w:t>
      </w:r>
    </w:p>
    <w:p w14:paraId="5306D2A7" w14:textId="57513630" w:rsidR="002E59D9" w:rsidRDefault="002E59D9" w:rsidP="00976DB9">
      <w:pPr>
        <w:jc w:val="both"/>
      </w:pPr>
      <w:r>
        <w:t>Komenda Miejska Policji</w:t>
      </w:r>
      <w:r w:rsidR="00FF1942">
        <w:t xml:space="preserve"> w Olsztynie </w:t>
      </w:r>
      <w:r>
        <w:t xml:space="preserve">funkcjonuje w ramach struktury wydziałowej </w:t>
      </w:r>
      <w:r w:rsidR="00FF1942">
        <w:t>wraz</w:t>
      </w:r>
      <w:r>
        <w:t xml:space="preserve"> z trzema Posterunkami Policji </w:t>
      </w:r>
      <w:r w:rsidR="007D63C3">
        <w:t xml:space="preserve">zlokalizowanych </w:t>
      </w:r>
      <w:r>
        <w:t>na terenie administracyjnym miasta. Jednostka Policji w latach 2018-2019 p</w:t>
      </w:r>
      <w:r w:rsidR="007D63C3">
        <w:t xml:space="preserve">rzeszła gruntowną reorganizację, celem której było dostosowanie działalności do </w:t>
      </w:r>
      <w:r>
        <w:t>potrzeb społecznych. Dzięki</w:t>
      </w:r>
      <w:r w:rsidR="007D63C3">
        <w:t xml:space="preserve"> </w:t>
      </w:r>
      <w:r>
        <w:t>strukturze posterunków w mieście dzielnicowi są bliżej mieszkańców i na bieżąco  realiz</w:t>
      </w:r>
      <w:r w:rsidR="007D63C3">
        <w:t>ują z</w:t>
      </w:r>
      <w:r>
        <w:t>adania w ramach Krajowe</w:t>
      </w:r>
      <w:r w:rsidR="00976DB9">
        <w:t>j Mapy Zagrożeń Bezpieczeństwa.</w:t>
      </w:r>
    </w:p>
    <w:p w14:paraId="702E129C" w14:textId="05EF18AA" w:rsidR="002E59D9" w:rsidRDefault="00FA66BD" w:rsidP="00976DB9">
      <w:pPr>
        <w:jc w:val="both"/>
      </w:pPr>
      <w:r>
        <w:t>Dane statystyczne dostępne dla badanych miast Polski Wschodniej wskazują</w:t>
      </w:r>
      <w:r w:rsidR="00B4108A">
        <w:t xml:space="preserve"> jednoznacznie na korzystne zmiany, jakie zachodzą w obszarze bezpieczeństwa publicznego.</w:t>
      </w:r>
      <w:r>
        <w:t xml:space="preserve"> </w:t>
      </w:r>
      <w:r w:rsidR="00B4108A">
        <w:t>W analizowanych latach 2013-2019 l</w:t>
      </w:r>
      <w:r w:rsidR="002E59D9">
        <w:t>iczba przestępstw ogółem stwierdzonych przez Policję w zakończonych postępowaniach przygotowawczych</w:t>
      </w:r>
      <w:r w:rsidR="00B4108A">
        <w:t xml:space="preserve"> spada (</w:t>
      </w:r>
      <w:r w:rsidR="00465830">
        <w:t>poza</w:t>
      </w:r>
      <w:r w:rsidR="00B4108A">
        <w:t xml:space="preserve"> niewielkimi wyjątkami </w:t>
      </w:r>
      <w:r w:rsidR="00465830">
        <w:t xml:space="preserve">zaobserwowanymi w roku 2017 </w:t>
      </w:r>
      <w:r w:rsidR="00B4108A">
        <w:t>–</w:t>
      </w:r>
      <w:r w:rsidR="00465830">
        <w:t xml:space="preserve"> </w:t>
      </w:r>
      <w:r w:rsidR="00B4108A">
        <w:t xml:space="preserve">wzrost liczby przestępstw </w:t>
      </w:r>
      <w:r w:rsidR="00465830">
        <w:t xml:space="preserve">na terenie Kielc i Lublina, oraz w roku 2018 – w Kielcach i Białymstoku). </w:t>
      </w:r>
      <w:r w:rsidR="00883110">
        <w:t xml:space="preserve">W Olsztynie liczba </w:t>
      </w:r>
      <w:r w:rsidR="00465830">
        <w:t xml:space="preserve">przestępstw stwierdzonych przez Policję ogółem </w:t>
      </w:r>
      <w:r w:rsidR="00883110">
        <w:t xml:space="preserve">spadła o </w:t>
      </w:r>
      <w:r w:rsidR="00465830">
        <w:t>blisko 22%</w:t>
      </w:r>
      <w:r w:rsidR="00883110">
        <w:t xml:space="preserve"> (rok 2019 w porównaniu do roku 2013).</w:t>
      </w:r>
    </w:p>
    <w:p w14:paraId="7E7999D9" w14:textId="5EAF3AED" w:rsidR="001C0A39" w:rsidRPr="002F2889" w:rsidRDefault="001C0A39" w:rsidP="001C0A39">
      <w:pPr>
        <w:pStyle w:val="Legenda"/>
        <w:rPr>
          <w:color w:val="000000" w:themeColor="text1"/>
          <w:sz w:val="22"/>
          <w:szCs w:val="22"/>
          <w:lang w:val="pl-PL"/>
        </w:rPr>
      </w:pPr>
      <w:bookmarkStart w:id="49" w:name="_Toc73516086"/>
      <w:r w:rsidRPr="002F2889">
        <w:rPr>
          <w:color w:val="000000" w:themeColor="text1"/>
          <w:sz w:val="22"/>
          <w:szCs w:val="22"/>
        </w:rPr>
        <w:t xml:space="preserve">Wykres </w:t>
      </w:r>
      <w:r w:rsidRPr="002F2889">
        <w:rPr>
          <w:color w:val="000000" w:themeColor="text1"/>
          <w:sz w:val="22"/>
          <w:szCs w:val="22"/>
        </w:rPr>
        <w:fldChar w:fldCharType="begin"/>
      </w:r>
      <w:r w:rsidRPr="002F2889">
        <w:rPr>
          <w:color w:val="000000" w:themeColor="text1"/>
          <w:sz w:val="22"/>
          <w:szCs w:val="22"/>
        </w:rPr>
        <w:instrText xml:space="preserve"> SEQ Wykres \* ARABIC </w:instrText>
      </w:r>
      <w:r w:rsidRPr="002F2889">
        <w:rPr>
          <w:color w:val="000000" w:themeColor="text1"/>
          <w:sz w:val="22"/>
          <w:szCs w:val="22"/>
        </w:rPr>
        <w:fldChar w:fldCharType="separate"/>
      </w:r>
      <w:r w:rsidR="00AD58C3">
        <w:rPr>
          <w:noProof/>
          <w:color w:val="000000" w:themeColor="text1"/>
          <w:sz w:val="22"/>
          <w:szCs w:val="22"/>
        </w:rPr>
        <w:t>24</w:t>
      </w:r>
      <w:r w:rsidRPr="002F2889">
        <w:rPr>
          <w:color w:val="000000" w:themeColor="text1"/>
          <w:sz w:val="22"/>
          <w:szCs w:val="22"/>
        </w:rPr>
        <w:fldChar w:fldCharType="end"/>
      </w:r>
      <w:r w:rsidRPr="002F2889">
        <w:rPr>
          <w:color w:val="000000" w:themeColor="text1"/>
          <w:sz w:val="22"/>
          <w:szCs w:val="22"/>
        </w:rPr>
        <w:t xml:space="preserve">. </w:t>
      </w:r>
      <w:r w:rsidRPr="002F2889">
        <w:rPr>
          <w:bCs/>
          <w:color w:val="000000" w:themeColor="text1"/>
          <w:sz w:val="22"/>
          <w:szCs w:val="22"/>
          <w:lang w:val="pl-PL"/>
        </w:rPr>
        <w:t>Przestępstwa stwierdzone przez Policję ogółem w zakończonych postępowaniach przygotowawczych w latach 2013 i 2019</w:t>
      </w:r>
      <w:bookmarkEnd w:id="49"/>
    </w:p>
    <w:p w14:paraId="37D4E44F" w14:textId="4C01D975" w:rsidR="002E59D9" w:rsidRDefault="002E59D9" w:rsidP="002E59D9">
      <w:pPr>
        <w:spacing w:after="0"/>
        <w:jc w:val="center"/>
      </w:pPr>
      <w:r>
        <w:rPr>
          <w:noProof/>
          <w:lang w:eastAsia="pl-PL"/>
        </w:rPr>
        <w:drawing>
          <wp:inline distT="0" distB="0" distL="0" distR="0" wp14:anchorId="7E004115" wp14:editId="460DE7FB">
            <wp:extent cx="4335552" cy="2340864"/>
            <wp:effectExtent l="0" t="0" r="8255" b="2540"/>
            <wp:docPr id="93" name="Wykres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11F4DA7" w14:textId="61B108B2" w:rsidR="00883110" w:rsidRDefault="00883110" w:rsidP="00883110">
      <w:pPr>
        <w:jc w:val="center"/>
        <w:rPr>
          <w:i/>
          <w:sz w:val="20"/>
          <w:szCs w:val="20"/>
        </w:rPr>
      </w:pPr>
      <w:r w:rsidRPr="0091031D">
        <w:rPr>
          <w:i/>
          <w:sz w:val="20"/>
          <w:szCs w:val="20"/>
        </w:rPr>
        <w:t>źródło: opracowanie własne na podstawie danych GUS</w:t>
      </w:r>
    </w:p>
    <w:p w14:paraId="5FA78654" w14:textId="45B981BE" w:rsidR="00E71852" w:rsidRDefault="00E71852">
      <w:pPr>
        <w:rPr>
          <w:i/>
          <w:sz w:val="20"/>
          <w:szCs w:val="20"/>
        </w:rPr>
      </w:pPr>
      <w:r>
        <w:rPr>
          <w:i/>
          <w:sz w:val="20"/>
          <w:szCs w:val="20"/>
        </w:rPr>
        <w:br w:type="page"/>
      </w:r>
    </w:p>
    <w:p w14:paraId="78B3200D" w14:textId="358342EA" w:rsidR="00E71852" w:rsidRDefault="00E71852" w:rsidP="00E71852"/>
    <w:p w14:paraId="3EC1C8ED" w14:textId="4C6BB367" w:rsidR="00E71852" w:rsidRPr="000F66B1" w:rsidRDefault="00E71852" w:rsidP="00E71852">
      <w:pPr>
        <w:pStyle w:val="Legenda"/>
        <w:rPr>
          <w:bCs/>
          <w:sz w:val="22"/>
          <w:szCs w:val="22"/>
          <w:lang w:val="pl-PL"/>
        </w:rPr>
      </w:pPr>
      <w:bookmarkStart w:id="50" w:name="_Toc73516087"/>
      <w:r w:rsidRPr="002236E6">
        <w:rPr>
          <w:sz w:val="22"/>
          <w:szCs w:val="22"/>
        </w:rPr>
        <w:t xml:space="preserve">Wykres </w:t>
      </w:r>
      <w:r w:rsidRPr="002236E6">
        <w:rPr>
          <w:sz w:val="22"/>
          <w:szCs w:val="22"/>
        </w:rPr>
        <w:fldChar w:fldCharType="begin"/>
      </w:r>
      <w:r w:rsidRPr="002236E6">
        <w:rPr>
          <w:sz w:val="22"/>
          <w:szCs w:val="22"/>
        </w:rPr>
        <w:instrText xml:space="preserve"> SEQ Wykres \* ARABIC </w:instrText>
      </w:r>
      <w:r w:rsidRPr="002236E6">
        <w:rPr>
          <w:sz w:val="22"/>
          <w:szCs w:val="22"/>
        </w:rPr>
        <w:fldChar w:fldCharType="separate"/>
      </w:r>
      <w:r w:rsidR="00AD58C3">
        <w:rPr>
          <w:noProof/>
          <w:sz w:val="22"/>
          <w:szCs w:val="22"/>
        </w:rPr>
        <w:t>25</w:t>
      </w:r>
      <w:r w:rsidRPr="002236E6">
        <w:rPr>
          <w:sz w:val="22"/>
          <w:szCs w:val="22"/>
        </w:rPr>
        <w:fldChar w:fldCharType="end"/>
      </w:r>
      <w:r w:rsidRPr="002236E6">
        <w:rPr>
          <w:sz w:val="22"/>
          <w:szCs w:val="22"/>
        </w:rPr>
        <w:t xml:space="preserve">. </w:t>
      </w:r>
      <w:r w:rsidRPr="002236E6">
        <w:rPr>
          <w:bCs/>
          <w:sz w:val="22"/>
          <w:szCs w:val="22"/>
          <w:lang w:val="pl-PL"/>
        </w:rPr>
        <w:t xml:space="preserve">Przestępstwa stwierdzone przez Policję ogółem w zakończonych postępowaniach </w:t>
      </w:r>
      <w:r w:rsidR="002236E6">
        <w:rPr>
          <w:bCs/>
          <w:sz w:val="22"/>
          <w:szCs w:val="22"/>
          <w:lang w:val="pl-PL"/>
        </w:rPr>
        <w:br/>
      </w:r>
      <w:r w:rsidRPr="002236E6">
        <w:rPr>
          <w:bCs/>
          <w:sz w:val="22"/>
          <w:szCs w:val="22"/>
          <w:lang w:val="pl-PL"/>
        </w:rPr>
        <w:t>w Olsztynie w latach 2013-2019</w:t>
      </w:r>
      <w:bookmarkEnd w:id="50"/>
    </w:p>
    <w:p w14:paraId="388E4D7F" w14:textId="57919AE3" w:rsidR="002E59D9" w:rsidRDefault="007129A7" w:rsidP="007129A7">
      <w:pPr>
        <w:spacing w:after="0"/>
        <w:jc w:val="center"/>
      </w:pPr>
      <w:r>
        <w:rPr>
          <w:noProof/>
          <w:lang w:eastAsia="pl-PL"/>
        </w:rPr>
        <w:drawing>
          <wp:inline distT="0" distB="0" distL="0" distR="0" wp14:anchorId="5FB32795" wp14:editId="65A2F5E6">
            <wp:extent cx="4284921" cy="2052084"/>
            <wp:effectExtent l="0" t="0" r="1905" b="5715"/>
            <wp:docPr id="61" name="Wykres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C8D8F2C" w14:textId="77777777" w:rsidR="007129A7" w:rsidRDefault="007129A7" w:rsidP="007129A7">
      <w:pPr>
        <w:jc w:val="center"/>
      </w:pPr>
      <w:r w:rsidRPr="0091031D">
        <w:rPr>
          <w:i/>
          <w:sz w:val="20"/>
          <w:szCs w:val="20"/>
        </w:rPr>
        <w:t>źródło: opracowanie własne na podstawie danych GUS</w:t>
      </w:r>
    </w:p>
    <w:p w14:paraId="07EFE716" w14:textId="097ABE2B" w:rsidR="007129A7" w:rsidRDefault="007129A7" w:rsidP="007129A7">
      <w:pPr>
        <w:spacing w:after="0"/>
        <w:jc w:val="center"/>
      </w:pPr>
    </w:p>
    <w:p w14:paraId="44DE4027" w14:textId="4B8E0DE8" w:rsidR="009F6EAB" w:rsidRDefault="00D16CC1" w:rsidP="00976DB9">
      <w:pPr>
        <w:jc w:val="both"/>
      </w:pPr>
      <w:r>
        <w:t xml:space="preserve">Na wykresie poniżej przedstawiono szczegółowo liczbę stwierdzonych przez Policję przestępstw </w:t>
      </w:r>
      <w:r>
        <w:br/>
        <w:t xml:space="preserve">w zakończonych postępowaniach przygotowawczych, w podziale na kategorię popełnionego czynu, zarejestrowanych na terenie Olsztyna. Dane świadczą o korzystnych zmianach zachodzących </w:t>
      </w:r>
      <w:r>
        <w:br/>
        <w:t xml:space="preserve">w obszarze bezpieczeństwa publicznego, które w ostatnich latach w większości przypadków systematycznie poprawiają się. Wyjątek stanowią przestępstwa o charakterze gospodarczym (ponad dwukrotny wzrost w analizowanych latach 2013 i 2019) oraz przestępstwa przeciwko rodzinie i opiece (więcej o prawie 39% w roku 2019 w porównaniu do roku 2013). </w:t>
      </w:r>
      <w:r w:rsidR="009F6EAB">
        <w:t xml:space="preserve">Spośród przestępstw stwierdzonych przez Policję w zakończonych postępowaniach przygotowawczych, największą grupę stanowią </w:t>
      </w:r>
      <w:r w:rsidR="00AC506C">
        <w:t>przestępstwa</w:t>
      </w:r>
      <w:r w:rsidR="009F6EAB">
        <w:t xml:space="preserve"> o charakterze kryminalnym</w:t>
      </w:r>
      <w:r w:rsidR="00AC506C">
        <w:t xml:space="preserve"> oraz przeciwko mieniu (odpowiednio 2</w:t>
      </w:r>
      <w:r w:rsidR="002236E6">
        <w:t xml:space="preserve"> </w:t>
      </w:r>
      <w:r w:rsidR="00AC506C">
        <w:t>341 oraz 2</w:t>
      </w:r>
      <w:r w:rsidR="002236E6">
        <w:t xml:space="preserve"> </w:t>
      </w:r>
      <w:r w:rsidR="00AC506C">
        <w:t>206 naruszeń prawa).</w:t>
      </w:r>
      <w:r w:rsidR="00396D6C">
        <w:t xml:space="preserve"> </w:t>
      </w:r>
      <w:r>
        <w:t xml:space="preserve">W zakresie bezpieczeństwa w ruchu drogowym, w </w:t>
      </w:r>
      <w:r w:rsidR="00396D6C">
        <w:t xml:space="preserve">roku 2019 przestępstwa drogowe stanowiły </w:t>
      </w:r>
      <w:r w:rsidR="00721AB8">
        <w:t xml:space="preserve">5,2% ogółu stwierdzonych w Olsztynie czynów karalnych, zaś przestępstwa przeciwko bezpieczeństwu powszechnemu i bezpieczeństwu w komunikacji – 5,6%. </w:t>
      </w:r>
    </w:p>
    <w:p w14:paraId="62BD5597" w14:textId="3C2B9B34" w:rsidR="002236E6" w:rsidRDefault="002236E6">
      <w:r>
        <w:br w:type="page"/>
      </w:r>
    </w:p>
    <w:p w14:paraId="7F287A7A" w14:textId="3C2D1806" w:rsidR="002236E6" w:rsidRPr="000F66B1" w:rsidRDefault="002236E6" w:rsidP="002236E6">
      <w:pPr>
        <w:pStyle w:val="Legenda"/>
        <w:rPr>
          <w:color w:val="000000" w:themeColor="text1"/>
          <w:sz w:val="22"/>
          <w:szCs w:val="22"/>
          <w:lang w:val="pl-PL"/>
        </w:rPr>
      </w:pPr>
      <w:bookmarkStart w:id="51" w:name="_Toc73516088"/>
      <w:r w:rsidRPr="000F66B1">
        <w:rPr>
          <w:color w:val="000000" w:themeColor="text1"/>
          <w:sz w:val="22"/>
          <w:szCs w:val="22"/>
        </w:rPr>
        <w:lastRenderedPageBreak/>
        <w:t xml:space="preserve">Wykres </w:t>
      </w:r>
      <w:r w:rsidRPr="000F66B1">
        <w:rPr>
          <w:color w:val="000000" w:themeColor="text1"/>
          <w:sz w:val="22"/>
          <w:szCs w:val="22"/>
        </w:rPr>
        <w:fldChar w:fldCharType="begin"/>
      </w:r>
      <w:r w:rsidRPr="000F66B1">
        <w:rPr>
          <w:color w:val="000000" w:themeColor="text1"/>
          <w:sz w:val="22"/>
          <w:szCs w:val="22"/>
        </w:rPr>
        <w:instrText xml:space="preserve"> SEQ Wykres \* ARABIC </w:instrText>
      </w:r>
      <w:r w:rsidRPr="000F66B1">
        <w:rPr>
          <w:color w:val="000000" w:themeColor="text1"/>
          <w:sz w:val="22"/>
          <w:szCs w:val="22"/>
        </w:rPr>
        <w:fldChar w:fldCharType="separate"/>
      </w:r>
      <w:r w:rsidR="00AD58C3">
        <w:rPr>
          <w:noProof/>
          <w:color w:val="000000" w:themeColor="text1"/>
          <w:sz w:val="22"/>
          <w:szCs w:val="22"/>
        </w:rPr>
        <w:t>26</w:t>
      </w:r>
      <w:r w:rsidRPr="000F66B1">
        <w:rPr>
          <w:color w:val="000000" w:themeColor="text1"/>
          <w:sz w:val="22"/>
          <w:szCs w:val="22"/>
        </w:rPr>
        <w:fldChar w:fldCharType="end"/>
      </w:r>
      <w:r w:rsidRPr="000F66B1">
        <w:rPr>
          <w:color w:val="000000" w:themeColor="text1"/>
          <w:sz w:val="22"/>
          <w:szCs w:val="22"/>
        </w:rPr>
        <w:t xml:space="preserve">. </w:t>
      </w:r>
      <w:r w:rsidRPr="000F66B1">
        <w:rPr>
          <w:bCs/>
          <w:color w:val="000000" w:themeColor="text1"/>
          <w:sz w:val="22"/>
          <w:szCs w:val="22"/>
          <w:lang w:val="pl-PL"/>
        </w:rPr>
        <w:t xml:space="preserve">Przestępstwa stwierdzone przez Policję w zakończonych postępowaniach </w:t>
      </w:r>
      <w:r w:rsidR="000C67CD" w:rsidRPr="000F66B1">
        <w:rPr>
          <w:bCs/>
          <w:color w:val="000000" w:themeColor="text1"/>
          <w:sz w:val="22"/>
          <w:szCs w:val="22"/>
          <w:lang w:val="pl-PL"/>
        </w:rPr>
        <w:t>p</w:t>
      </w:r>
      <w:r w:rsidRPr="000F66B1">
        <w:rPr>
          <w:bCs/>
          <w:color w:val="000000" w:themeColor="text1"/>
          <w:sz w:val="22"/>
          <w:szCs w:val="22"/>
          <w:lang w:val="pl-PL"/>
        </w:rPr>
        <w:t>rzygotowawczych w Olsztynie w latach 2013 i 2019</w:t>
      </w:r>
      <w:r w:rsidR="000F66B1" w:rsidRPr="000F66B1">
        <w:rPr>
          <w:bCs/>
          <w:color w:val="000000" w:themeColor="text1"/>
          <w:sz w:val="22"/>
          <w:szCs w:val="22"/>
          <w:lang w:val="pl-PL"/>
        </w:rPr>
        <w:t xml:space="preserve">, </w:t>
      </w:r>
      <w:r w:rsidR="00B5229B">
        <w:rPr>
          <w:bCs/>
          <w:color w:val="000000" w:themeColor="text1"/>
          <w:sz w:val="22"/>
          <w:szCs w:val="22"/>
          <w:lang w:val="pl-PL"/>
        </w:rPr>
        <w:t xml:space="preserve">ze względu </w:t>
      </w:r>
      <w:r w:rsidR="000F66B1" w:rsidRPr="000F66B1">
        <w:rPr>
          <w:sz w:val="22"/>
          <w:szCs w:val="22"/>
        </w:rPr>
        <w:t>na kategorię popełnionego czynu</w:t>
      </w:r>
      <w:bookmarkEnd w:id="51"/>
    </w:p>
    <w:p w14:paraId="008C2E77" w14:textId="1A1CE25F" w:rsidR="009F6EAB" w:rsidRDefault="009F6EAB" w:rsidP="007129A7">
      <w:pPr>
        <w:spacing w:after="0"/>
        <w:jc w:val="center"/>
      </w:pPr>
      <w:r>
        <w:rPr>
          <w:noProof/>
          <w:lang w:eastAsia="pl-PL"/>
        </w:rPr>
        <w:drawing>
          <wp:inline distT="0" distB="0" distL="0" distR="0" wp14:anchorId="5666CE06" wp14:editId="5821FD9A">
            <wp:extent cx="5760720" cy="3579495"/>
            <wp:effectExtent l="0" t="0" r="11430" b="1905"/>
            <wp:docPr id="86" name="Wykres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F539ACA" w14:textId="77777777" w:rsidR="008F73DC" w:rsidRDefault="008F73DC" w:rsidP="008F73DC">
      <w:pPr>
        <w:jc w:val="center"/>
      </w:pPr>
      <w:r w:rsidRPr="0091031D">
        <w:rPr>
          <w:i/>
          <w:sz w:val="20"/>
          <w:szCs w:val="20"/>
        </w:rPr>
        <w:t>źródło: opracowanie własne na podstawie danych GUS</w:t>
      </w:r>
    </w:p>
    <w:p w14:paraId="64027734" w14:textId="094AB35A" w:rsidR="00976DB9" w:rsidRPr="00976DB9" w:rsidRDefault="00976DB9" w:rsidP="00976DB9">
      <w:pPr>
        <w:jc w:val="both"/>
      </w:pPr>
      <w:r w:rsidRPr="00976DB9">
        <w:t>Krajowa Mapa Zagrożeń Bezpieczeństwa udostępnia dane o liczbie interwencji policji w podziale na siatkę kilometrową. Spośród interwencji wyszczególnione są te związane z zakłóceniem spokoju publicznego lub spoczynku nocnego, spożywaniem alkoholu w miejscach publicznych, kradzieżą mienia, uszkodzeniem mienia oraz suma interwencji.</w:t>
      </w:r>
    </w:p>
    <w:p w14:paraId="4DA3F648" w14:textId="54F2D127" w:rsidR="00976DB9" w:rsidRPr="00976DB9" w:rsidRDefault="00976DB9" w:rsidP="00976DB9">
      <w:pPr>
        <w:jc w:val="both"/>
      </w:pPr>
      <w:r w:rsidRPr="00976DB9">
        <w:t>Poligony z największą liczbą interwencji w 2020 r. w każdej z kategorii nakładają się przede wszystkim na centrum i południe miasta. Obszary z łączną sumą interwencji policji przekraczającą 44 przypadki, występują głównie w osiedlach: Zatorze, Śródmieście, Kętrzyńskiego, Pojezierze, Ko</w:t>
      </w:r>
      <w:r w:rsidR="000F3FDB">
        <w:t>r</w:t>
      </w:r>
      <w:r w:rsidRPr="00976DB9">
        <w:t xml:space="preserve">moran, Kościuszki, Pogrodzie, Grunwaldzkie, Brzeziny, Nagórki, Generałów, Jaroty, Pieczewo. Zauważalna jest także liczba interwencji zanotowanych w otaczających centrum jednostkach: Dajtki, Nad Jeziorem Długim, Podleśna, Mazurskie. Najmniej interwencji policji odbyło się w rzadziej zaludnionych osiedlach </w:t>
      </w:r>
      <w:r w:rsidR="00A16E1A">
        <w:br/>
      </w:r>
      <w:r w:rsidRPr="00976DB9">
        <w:t xml:space="preserve">w północnej części miasta oraz w Zielonej Górce i Kortowie. </w:t>
      </w:r>
    </w:p>
    <w:p w14:paraId="262C13AE" w14:textId="2A5EF8BB" w:rsidR="00976DB9" w:rsidRDefault="00976DB9" w:rsidP="00976DB9">
      <w:pPr>
        <w:jc w:val="both"/>
      </w:pPr>
      <w:r w:rsidRPr="00976DB9">
        <w:t>W Olsztynie widoczna jest korelacja liczby interwencji z liczbą mieszkańców oraz położeniem na mapie miasta. Im bliżej centrum i więcej mieszkańców tym więcej wykroczeń, którymi zajmuje się policja.</w:t>
      </w:r>
    </w:p>
    <w:p w14:paraId="1878F8C0" w14:textId="3B01B1B1" w:rsidR="002236E6" w:rsidRDefault="002236E6">
      <w:r>
        <w:br w:type="page"/>
      </w:r>
    </w:p>
    <w:p w14:paraId="478D2B72" w14:textId="77777777" w:rsidR="002236E6" w:rsidRDefault="002236E6" w:rsidP="002236E6">
      <w:pPr>
        <w:pStyle w:val="Legenda"/>
        <w:jc w:val="center"/>
        <w:rPr>
          <w:sz w:val="22"/>
          <w:szCs w:val="22"/>
          <w:lang w:val="pl-PL"/>
        </w:rPr>
      </w:pPr>
    </w:p>
    <w:p w14:paraId="5400459B" w14:textId="567B8199" w:rsidR="002236E6" w:rsidRPr="002236E6" w:rsidRDefault="002236E6" w:rsidP="00A16E1A">
      <w:pPr>
        <w:pStyle w:val="Legenda"/>
        <w:rPr>
          <w:sz w:val="22"/>
          <w:szCs w:val="22"/>
          <w:lang w:val="pl-PL"/>
        </w:rPr>
      </w:pPr>
      <w:bookmarkStart w:id="52" w:name="_Toc73516170"/>
      <w:r w:rsidRPr="002236E6">
        <w:rPr>
          <w:sz w:val="22"/>
          <w:szCs w:val="22"/>
          <w:lang w:val="pl-PL"/>
        </w:rPr>
        <w:t xml:space="preserve">Rysunek </w:t>
      </w:r>
      <w:r w:rsidRPr="002236E6">
        <w:rPr>
          <w:sz w:val="22"/>
          <w:szCs w:val="22"/>
        </w:rPr>
        <w:fldChar w:fldCharType="begin"/>
      </w:r>
      <w:r w:rsidRPr="002236E6">
        <w:rPr>
          <w:sz w:val="22"/>
          <w:szCs w:val="22"/>
          <w:lang w:val="pl-PL"/>
        </w:rPr>
        <w:instrText xml:space="preserve"> SEQ Rysunek \* ARABIC </w:instrText>
      </w:r>
      <w:r w:rsidRPr="002236E6">
        <w:rPr>
          <w:sz w:val="22"/>
          <w:szCs w:val="22"/>
        </w:rPr>
        <w:fldChar w:fldCharType="separate"/>
      </w:r>
      <w:r w:rsidR="00AD58C3">
        <w:rPr>
          <w:noProof/>
          <w:sz w:val="22"/>
          <w:szCs w:val="22"/>
          <w:lang w:val="pl-PL"/>
        </w:rPr>
        <w:t>5</w:t>
      </w:r>
      <w:r w:rsidRPr="002236E6">
        <w:rPr>
          <w:sz w:val="22"/>
          <w:szCs w:val="22"/>
        </w:rPr>
        <w:fldChar w:fldCharType="end"/>
      </w:r>
      <w:r w:rsidRPr="002236E6">
        <w:rPr>
          <w:sz w:val="22"/>
          <w:szCs w:val="22"/>
          <w:lang w:val="pl-PL"/>
        </w:rPr>
        <w:t>. Łączna liczba interwencji policji w Olsztynie</w:t>
      </w:r>
      <w:bookmarkEnd w:id="52"/>
    </w:p>
    <w:p w14:paraId="39C86355" w14:textId="77777777" w:rsidR="004E4701" w:rsidRDefault="00976DB9" w:rsidP="004E4701">
      <w:pPr>
        <w:keepNext/>
        <w:spacing w:after="0"/>
        <w:jc w:val="center"/>
      </w:pPr>
      <w:r w:rsidRPr="00976DB9">
        <w:rPr>
          <w:noProof/>
          <w:lang w:eastAsia="pl-PL"/>
        </w:rPr>
        <w:drawing>
          <wp:inline distT="0" distB="0" distL="0" distR="0" wp14:anchorId="1A1F6D70" wp14:editId="42B613F7">
            <wp:extent cx="4822578" cy="4295775"/>
            <wp:effectExtent l="0" t="0" r="0" b="0"/>
            <wp:docPr id="187" name="Obraz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886911" cy="4353081"/>
                    </a:xfrm>
                    <a:prstGeom prst="rect">
                      <a:avLst/>
                    </a:prstGeom>
                  </pic:spPr>
                </pic:pic>
              </a:graphicData>
            </a:graphic>
          </wp:inline>
        </w:drawing>
      </w:r>
    </w:p>
    <w:p w14:paraId="03FBC6CB" w14:textId="1CE6FA74" w:rsidR="00976DB9" w:rsidRPr="00A16E1A" w:rsidRDefault="002236E6" w:rsidP="002236E6">
      <w:pPr>
        <w:jc w:val="center"/>
        <w:rPr>
          <w:i/>
          <w:sz w:val="20"/>
          <w:szCs w:val="20"/>
        </w:rPr>
      </w:pPr>
      <w:r w:rsidRPr="00A16E1A">
        <w:rPr>
          <w:i/>
          <w:sz w:val="20"/>
          <w:szCs w:val="20"/>
        </w:rPr>
        <w:t>ź</w:t>
      </w:r>
      <w:r w:rsidR="004E4701" w:rsidRPr="00A16E1A">
        <w:rPr>
          <w:i/>
          <w:sz w:val="20"/>
          <w:szCs w:val="20"/>
        </w:rPr>
        <w:t>ródło: Krajowa Mapa Zagrożeń Bezpieczeństwa https://policja.maps.arcgis.com/apps/MapSeries/index.html?appid=b5fc08aaa8a54296b418383584313263</w:t>
      </w:r>
    </w:p>
    <w:p w14:paraId="7E162587" w14:textId="77777777" w:rsidR="00976DB9" w:rsidRDefault="00976DB9" w:rsidP="007129A7">
      <w:pPr>
        <w:spacing w:after="0"/>
        <w:jc w:val="center"/>
      </w:pPr>
    </w:p>
    <w:p w14:paraId="27A891B6" w14:textId="77777777" w:rsidR="009544CD" w:rsidRPr="00CB0F12" w:rsidRDefault="009544CD" w:rsidP="009544CD">
      <w:pPr>
        <w:pStyle w:val="Nagwek3"/>
        <w:rPr>
          <w:sz w:val="22"/>
          <w:szCs w:val="22"/>
        </w:rPr>
      </w:pPr>
      <w:bookmarkStart w:id="53" w:name="_Toc73534897"/>
      <w:r w:rsidRPr="00CB0F12">
        <w:rPr>
          <w:sz w:val="22"/>
          <w:szCs w:val="22"/>
        </w:rPr>
        <w:t>1.3.3. Bezpieczeństwo ruchu drogowego</w:t>
      </w:r>
      <w:bookmarkEnd w:id="53"/>
    </w:p>
    <w:p w14:paraId="08EAACBE" w14:textId="258F1994" w:rsidR="009544CD" w:rsidRDefault="009544CD" w:rsidP="009544CD">
      <w:pPr>
        <w:spacing w:after="0"/>
        <w:jc w:val="both"/>
      </w:pPr>
      <w:r w:rsidRPr="00D71A00">
        <w:t xml:space="preserve">Istotnym </w:t>
      </w:r>
      <w:r>
        <w:t xml:space="preserve">wymiarem bezpieczeństwa publicznego </w:t>
      </w:r>
      <w:r w:rsidRPr="00D71A00">
        <w:t xml:space="preserve">jest bezpieczeństwo w ruchu drogowym. Od wielu już lat na drogach </w:t>
      </w:r>
      <w:r w:rsidR="00843C6A">
        <w:t xml:space="preserve">Olsztyna i jego obszaru funkcjonalnego </w:t>
      </w:r>
      <w:r>
        <w:t xml:space="preserve">obserwuje się rosnące natężenie ruchu, co nie odbiega </w:t>
      </w:r>
      <w:r w:rsidRPr="00D71A00">
        <w:t xml:space="preserve">od trendów ogólnokrajowych. Jedną z przyczyn, </w:t>
      </w:r>
      <w:r>
        <w:t>jest niewątpliwie zwiększająca się liczba pojazdów, niepozostaj</w:t>
      </w:r>
      <w:r w:rsidR="00843C6A">
        <w:t xml:space="preserve">ąca </w:t>
      </w:r>
      <w:r>
        <w:t>bez wpływu na liczbę zdarzeń drogowych. Poprawiająca się infrastruktura ma z kolei pozytywny wpływ na bezpieczeństwo ruchu drogowego.</w:t>
      </w:r>
    </w:p>
    <w:p w14:paraId="2DF19C4A" w14:textId="5543240D" w:rsidR="00F93F7E" w:rsidRDefault="00F93F7E">
      <w:r>
        <w:br w:type="page"/>
      </w:r>
    </w:p>
    <w:p w14:paraId="0BCAED14" w14:textId="63DCC433" w:rsidR="009544CD" w:rsidRPr="00F93F7E" w:rsidRDefault="00F93F7E" w:rsidP="00F93F7E">
      <w:pPr>
        <w:pStyle w:val="Legenda"/>
        <w:rPr>
          <w:sz w:val="22"/>
          <w:szCs w:val="22"/>
          <w:lang w:val="pl-PL"/>
        </w:rPr>
      </w:pPr>
      <w:bookmarkStart w:id="54" w:name="_Toc73516089"/>
      <w:r w:rsidRPr="00F93F7E">
        <w:rPr>
          <w:sz w:val="22"/>
          <w:szCs w:val="22"/>
        </w:rPr>
        <w:lastRenderedPageBreak/>
        <w:t xml:space="preserve">Wykres </w:t>
      </w:r>
      <w:r w:rsidRPr="00F93F7E">
        <w:rPr>
          <w:sz w:val="22"/>
          <w:szCs w:val="22"/>
        </w:rPr>
        <w:fldChar w:fldCharType="begin"/>
      </w:r>
      <w:r w:rsidRPr="00F93F7E">
        <w:rPr>
          <w:sz w:val="22"/>
          <w:szCs w:val="22"/>
        </w:rPr>
        <w:instrText xml:space="preserve"> SEQ Wykres \* ARABIC </w:instrText>
      </w:r>
      <w:r w:rsidRPr="00F93F7E">
        <w:rPr>
          <w:sz w:val="22"/>
          <w:szCs w:val="22"/>
        </w:rPr>
        <w:fldChar w:fldCharType="separate"/>
      </w:r>
      <w:r w:rsidR="00AD58C3">
        <w:rPr>
          <w:noProof/>
          <w:sz w:val="22"/>
          <w:szCs w:val="22"/>
        </w:rPr>
        <w:t>27</w:t>
      </w:r>
      <w:r w:rsidRPr="00F93F7E">
        <w:rPr>
          <w:sz w:val="22"/>
          <w:szCs w:val="22"/>
        </w:rPr>
        <w:fldChar w:fldCharType="end"/>
      </w:r>
      <w:r w:rsidRPr="00F93F7E">
        <w:rPr>
          <w:sz w:val="22"/>
          <w:szCs w:val="22"/>
        </w:rPr>
        <w:t xml:space="preserve">. </w:t>
      </w:r>
      <w:r w:rsidRPr="00F93F7E">
        <w:rPr>
          <w:bCs/>
          <w:sz w:val="22"/>
          <w:szCs w:val="22"/>
          <w:lang w:val="pl-PL"/>
        </w:rPr>
        <w:t>Liczba zdarzeń drogowych na obszarze miasta Olsztyna w latach 2015-2019</w:t>
      </w:r>
      <w:bookmarkEnd w:id="54"/>
    </w:p>
    <w:p w14:paraId="29057D41" w14:textId="77777777" w:rsidR="009544CD" w:rsidRPr="006B3AA3" w:rsidRDefault="009544CD" w:rsidP="009544CD">
      <w:pPr>
        <w:spacing w:after="0"/>
        <w:jc w:val="center"/>
      </w:pPr>
      <w:r>
        <w:rPr>
          <w:noProof/>
          <w:lang w:eastAsia="pl-PL"/>
        </w:rPr>
        <w:drawing>
          <wp:inline distT="0" distB="0" distL="0" distR="0" wp14:anchorId="7A23B86C" wp14:editId="50AEA36D">
            <wp:extent cx="4542739" cy="2574950"/>
            <wp:effectExtent l="0" t="0" r="10795" b="15875"/>
            <wp:docPr id="137" name="Wykres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ADF1FE9" w14:textId="4CF29D48" w:rsidR="000005F2" w:rsidRPr="000005F2" w:rsidRDefault="0023017A" w:rsidP="000005F2">
      <w:pPr>
        <w:spacing w:after="0" w:line="240" w:lineRule="auto"/>
        <w:jc w:val="center"/>
        <w:rPr>
          <w:i/>
          <w:sz w:val="20"/>
          <w:szCs w:val="20"/>
        </w:rPr>
      </w:pPr>
      <w:r>
        <w:rPr>
          <w:i/>
          <w:sz w:val="20"/>
          <w:szCs w:val="20"/>
        </w:rPr>
        <w:t>ź</w:t>
      </w:r>
      <w:r w:rsidR="009544CD" w:rsidRPr="000005F2">
        <w:rPr>
          <w:i/>
          <w:sz w:val="20"/>
          <w:szCs w:val="20"/>
        </w:rPr>
        <w:t xml:space="preserve">ródło: Sprawozdania ze  stanu bezpieczeństwa na terenie miasta Olsztyn </w:t>
      </w:r>
    </w:p>
    <w:p w14:paraId="52A2ED32" w14:textId="1EAD6E3D" w:rsidR="009544CD" w:rsidRPr="000005F2" w:rsidRDefault="009544CD" w:rsidP="000005F2">
      <w:pPr>
        <w:spacing w:after="0" w:line="240" w:lineRule="auto"/>
        <w:jc w:val="center"/>
        <w:rPr>
          <w:i/>
          <w:sz w:val="20"/>
          <w:szCs w:val="20"/>
        </w:rPr>
      </w:pPr>
      <w:r w:rsidRPr="000005F2">
        <w:rPr>
          <w:i/>
          <w:sz w:val="20"/>
          <w:szCs w:val="20"/>
        </w:rPr>
        <w:t>Komendy Miejskiej Policji w Olsztynie za lata 201</w:t>
      </w:r>
      <w:r w:rsidR="0023017A">
        <w:rPr>
          <w:i/>
          <w:sz w:val="20"/>
          <w:szCs w:val="20"/>
        </w:rPr>
        <w:t>6</w:t>
      </w:r>
      <w:r w:rsidRPr="000005F2">
        <w:rPr>
          <w:i/>
          <w:sz w:val="20"/>
          <w:szCs w:val="20"/>
        </w:rPr>
        <w:t>-2019</w:t>
      </w:r>
    </w:p>
    <w:p w14:paraId="4F72750C" w14:textId="0B7270E6" w:rsidR="009544CD" w:rsidRDefault="009544CD" w:rsidP="009544CD">
      <w:pPr>
        <w:spacing w:after="0"/>
        <w:jc w:val="both"/>
      </w:pPr>
    </w:p>
    <w:p w14:paraId="3E8DFF23" w14:textId="7AC68612" w:rsidR="00F93F7E" w:rsidRPr="00F93F7E" w:rsidRDefault="00F93F7E" w:rsidP="00F93F7E">
      <w:pPr>
        <w:pStyle w:val="Legenda"/>
        <w:rPr>
          <w:sz w:val="22"/>
          <w:szCs w:val="22"/>
          <w:lang w:val="pl-PL"/>
        </w:rPr>
      </w:pPr>
      <w:bookmarkStart w:id="55" w:name="_Toc73516090"/>
      <w:r w:rsidRPr="00F93F7E">
        <w:rPr>
          <w:sz w:val="22"/>
          <w:szCs w:val="22"/>
        </w:rPr>
        <w:t xml:space="preserve">Wykres </w:t>
      </w:r>
      <w:r w:rsidRPr="00F93F7E">
        <w:rPr>
          <w:sz w:val="22"/>
          <w:szCs w:val="22"/>
        </w:rPr>
        <w:fldChar w:fldCharType="begin"/>
      </w:r>
      <w:r w:rsidRPr="00F93F7E">
        <w:rPr>
          <w:sz w:val="22"/>
          <w:szCs w:val="22"/>
        </w:rPr>
        <w:instrText xml:space="preserve"> SEQ Wykres \* ARABIC </w:instrText>
      </w:r>
      <w:r w:rsidRPr="00F93F7E">
        <w:rPr>
          <w:sz w:val="22"/>
          <w:szCs w:val="22"/>
        </w:rPr>
        <w:fldChar w:fldCharType="separate"/>
      </w:r>
      <w:r w:rsidR="00AD58C3">
        <w:rPr>
          <w:noProof/>
          <w:sz w:val="22"/>
          <w:szCs w:val="22"/>
        </w:rPr>
        <w:t>28</w:t>
      </w:r>
      <w:r w:rsidRPr="00F93F7E">
        <w:rPr>
          <w:sz w:val="22"/>
          <w:szCs w:val="22"/>
        </w:rPr>
        <w:fldChar w:fldCharType="end"/>
      </w:r>
      <w:r w:rsidRPr="00F93F7E">
        <w:rPr>
          <w:sz w:val="22"/>
          <w:szCs w:val="22"/>
        </w:rPr>
        <w:t xml:space="preserve">. </w:t>
      </w:r>
      <w:r w:rsidRPr="00F93F7E">
        <w:rPr>
          <w:bCs/>
          <w:sz w:val="22"/>
          <w:szCs w:val="22"/>
          <w:lang w:val="pl-PL"/>
        </w:rPr>
        <w:t>Liczba rannych i zabitych w zdarzeniach drogowych na obszarze miasta Olsztyna w latach 2015-2019</w:t>
      </w:r>
      <w:bookmarkEnd w:id="55"/>
    </w:p>
    <w:p w14:paraId="75013E0C" w14:textId="77777777" w:rsidR="009544CD" w:rsidRDefault="009544CD" w:rsidP="009544CD">
      <w:pPr>
        <w:spacing w:after="0"/>
        <w:jc w:val="center"/>
      </w:pPr>
      <w:r>
        <w:rPr>
          <w:noProof/>
          <w:lang w:eastAsia="pl-PL"/>
        </w:rPr>
        <w:drawing>
          <wp:inline distT="0" distB="0" distL="0" distR="0" wp14:anchorId="56392992" wp14:editId="14D68F34">
            <wp:extent cx="4623206" cy="2304288"/>
            <wp:effectExtent l="0" t="0" r="6350" b="1270"/>
            <wp:docPr id="138" name="Wykres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44AC02D" w14:textId="77777777" w:rsidR="0023017A" w:rsidRDefault="0023017A" w:rsidP="0023017A">
      <w:pPr>
        <w:spacing w:after="0" w:line="240" w:lineRule="auto"/>
        <w:jc w:val="center"/>
        <w:rPr>
          <w:i/>
          <w:sz w:val="20"/>
          <w:szCs w:val="20"/>
        </w:rPr>
      </w:pPr>
      <w:r>
        <w:rPr>
          <w:i/>
          <w:sz w:val="20"/>
          <w:szCs w:val="20"/>
        </w:rPr>
        <w:t>ź</w:t>
      </w:r>
      <w:r w:rsidR="009544CD" w:rsidRPr="0023017A">
        <w:rPr>
          <w:i/>
          <w:sz w:val="20"/>
          <w:szCs w:val="20"/>
        </w:rPr>
        <w:t xml:space="preserve">ródło: Sprawozdania stanu bezpieczeństwa na terenie miasta Olsztyn </w:t>
      </w:r>
    </w:p>
    <w:p w14:paraId="4BB659C1" w14:textId="0C355000" w:rsidR="009544CD" w:rsidRPr="0023017A" w:rsidRDefault="009544CD" w:rsidP="0023017A">
      <w:pPr>
        <w:spacing w:after="0" w:line="240" w:lineRule="auto"/>
        <w:jc w:val="center"/>
        <w:rPr>
          <w:i/>
          <w:sz w:val="20"/>
          <w:szCs w:val="20"/>
        </w:rPr>
      </w:pPr>
      <w:r w:rsidRPr="0023017A">
        <w:rPr>
          <w:i/>
          <w:sz w:val="20"/>
          <w:szCs w:val="20"/>
        </w:rPr>
        <w:t>Komendy Miejskiej Policji w Olsztynie za lata 201</w:t>
      </w:r>
      <w:r w:rsidR="0023017A" w:rsidRPr="0023017A">
        <w:rPr>
          <w:i/>
          <w:sz w:val="20"/>
          <w:szCs w:val="20"/>
        </w:rPr>
        <w:t>6</w:t>
      </w:r>
      <w:r w:rsidRPr="0023017A">
        <w:rPr>
          <w:i/>
          <w:sz w:val="20"/>
          <w:szCs w:val="20"/>
        </w:rPr>
        <w:t>-2019</w:t>
      </w:r>
    </w:p>
    <w:p w14:paraId="09507991" w14:textId="16C4F716" w:rsidR="009E17FC" w:rsidRDefault="009E17FC" w:rsidP="00723065">
      <w:pPr>
        <w:jc w:val="both"/>
      </w:pPr>
    </w:p>
    <w:p w14:paraId="727C2309" w14:textId="282155D1" w:rsidR="005651BF" w:rsidRDefault="002223EC" w:rsidP="003D2D33">
      <w:pPr>
        <w:pStyle w:val="Nagwek2"/>
      </w:pPr>
      <w:bookmarkStart w:id="56" w:name="_Toc73534898"/>
      <w:r>
        <w:t>1.</w:t>
      </w:r>
      <w:r w:rsidR="00F43F4F">
        <w:t>4</w:t>
      </w:r>
      <w:r>
        <w:t xml:space="preserve"> </w:t>
      </w:r>
      <w:r w:rsidR="005651BF">
        <w:t>Społeczeństwo obywatelskie</w:t>
      </w:r>
      <w:bookmarkEnd w:id="56"/>
    </w:p>
    <w:p w14:paraId="1F58F49A" w14:textId="77777777" w:rsidR="005651BF" w:rsidRPr="00ED4EDD" w:rsidRDefault="005651BF" w:rsidP="005651BF">
      <w:pPr>
        <w:jc w:val="both"/>
      </w:pPr>
      <w:r w:rsidRPr="00ED4EDD">
        <w:t>Wg badań GUS (</w:t>
      </w:r>
      <w:r w:rsidRPr="00ED4EDD">
        <w:rPr>
          <w:i/>
          <w:shd w:val="clear" w:color="auto" w:fill="FFFFFF"/>
        </w:rPr>
        <w:t>Działalność stowarzyszeń i podobnych organizacji społecznych, fundacji, społecznych podmiotów wyznaniowych oraz samorządu gospodarczego i zawodowego w 2018 r. - wyniki wstępne</w:t>
      </w:r>
      <w:r w:rsidRPr="00ED4EDD">
        <w:rPr>
          <w:shd w:val="clear" w:color="auto" w:fill="FFFFFF"/>
        </w:rPr>
        <w:t xml:space="preserve">) w Polsce systematycznie rośnie aktywność społeczna mierzona liczbą aktywnych organizacji non-profit. </w:t>
      </w:r>
    </w:p>
    <w:p w14:paraId="1CE3D16D" w14:textId="79DBB545" w:rsidR="005651BF" w:rsidRDefault="00F43F4F" w:rsidP="003D2D33">
      <w:pPr>
        <w:pStyle w:val="Nagwek3"/>
      </w:pPr>
      <w:bookmarkStart w:id="57" w:name="_Toc73534899"/>
      <w:r>
        <w:t>1.4</w:t>
      </w:r>
      <w:r w:rsidR="002223EC">
        <w:t xml:space="preserve">.1 </w:t>
      </w:r>
      <w:r w:rsidR="003D2D33">
        <w:t>Sektor pozarządowy</w:t>
      </w:r>
      <w:bookmarkEnd w:id="57"/>
    </w:p>
    <w:p w14:paraId="6AE5F46C" w14:textId="60ECBBEC" w:rsidR="00B53A27" w:rsidRDefault="00B53A27" w:rsidP="00B53A27">
      <w:pPr>
        <w:jc w:val="both"/>
        <w:rPr>
          <w:shd w:val="clear" w:color="auto" w:fill="FFFFFF"/>
        </w:rPr>
      </w:pPr>
      <w:r w:rsidRPr="00ED4EDD">
        <w:rPr>
          <w:shd w:val="clear" w:color="auto" w:fill="FFFFFF"/>
        </w:rPr>
        <w:t xml:space="preserve">W latach 2010-2018 liczba </w:t>
      </w:r>
      <w:r w:rsidR="004C6C49">
        <w:rPr>
          <w:shd w:val="clear" w:color="auto" w:fill="FFFFFF"/>
        </w:rPr>
        <w:t xml:space="preserve">aktywnych organizacji non-profit </w:t>
      </w:r>
      <w:r w:rsidRPr="00ED4EDD">
        <w:rPr>
          <w:shd w:val="clear" w:color="auto" w:fill="FFFFFF"/>
        </w:rPr>
        <w:t xml:space="preserve">wzrosła o 10%. </w:t>
      </w:r>
      <w:r w:rsidR="00A75221">
        <w:rPr>
          <w:shd w:val="clear" w:color="auto" w:fill="FFFFFF"/>
        </w:rPr>
        <w:t xml:space="preserve">W Olsztynie w roku 2019 funkcjonowało 61 organizacji pozarządowych </w:t>
      </w:r>
      <w:r w:rsidRPr="00ED4EDD">
        <w:rPr>
          <w:shd w:val="clear" w:color="auto" w:fill="FFFFFF"/>
        </w:rPr>
        <w:t xml:space="preserve">w przeliczeniu na 10 tys. </w:t>
      </w:r>
      <w:r w:rsidR="00A75221">
        <w:rPr>
          <w:shd w:val="clear" w:color="auto" w:fill="FFFFFF"/>
        </w:rPr>
        <w:t xml:space="preserve">olsztynian, więcej niż średnia wartość </w:t>
      </w:r>
      <w:r w:rsidR="00A531C5">
        <w:rPr>
          <w:shd w:val="clear" w:color="auto" w:fill="FFFFFF"/>
        </w:rPr>
        <w:t xml:space="preserve">dla </w:t>
      </w:r>
      <w:r w:rsidR="00A75221">
        <w:rPr>
          <w:shd w:val="clear" w:color="auto" w:fill="FFFFFF"/>
        </w:rPr>
        <w:t>kraju</w:t>
      </w:r>
      <w:r w:rsidR="00A531C5">
        <w:rPr>
          <w:shd w:val="clear" w:color="auto" w:fill="FFFFFF"/>
        </w:rPr>
        <w:t xml:space="preserve"> </w:t>
      </w:r>
      <w:r w:rsidR="00A75221">
        <w:rPr>
          <w:shd w:val="clear" w:color="auto" w:fill="FFFFFF"/>
        </w:rPr>
        <w:t>(</w:t>
      </w:r>
      <w:r w:rsidR="00A531C5">
        <w:rPr>
          <w:shd w:val="clear" w:color="auto" w:fill="FFFFFF"/>
        </w:rPr>
        <w:t xml:space="preserve">38 organizacji na 10 tys. </w:t>
      </w:r>
      <w:r w:rsidR="00A75221">
        <w:rPr>
          <w:shd w:val="clear" w:color="auto" w:fill="FFFFFF"/>
        </w:rPr>
        <w:t>mieszkańców)</w:t>
      </w:r>
      <w:r w:rsidRPr="00ED4EDD">
        <w:rPr>
          <w:shd w:val="clear" w:color="auto" w:fill="FFFFFF"/>
        </w:rPr>
        <w:t xml:space="preserve">. Spis organizacji pozarządowych na portalu </w:t>
      </w:r>
      <w:r w:rsidRPr="00ED4EDD">
        <w:rPr>
          <w:shd w:val="clear" w:color="auto" w:fill="FFFFFF"/>
        </w:rPr>
        <w:lastRenderedPageBreak/>
        <w:t>ngo.pl</w:t>
      </w:r>
      <w:r w:rsidRPr="00ED4EDD">
        <w:rPr>
          <w:rStyle w:val="Odwoanieprzypisudolnego"/>
          <w:shd w:val="clear" w:color="auto" w:fill="FFFFFF"/>
        </w:rPr>
        <w:footnoteReference w:id="16"/>
      </w:r>
      <w:r w:rsidRPr="00ED4EDD">
        <w:rPr>
          <w:shd w:val="clear" w:color="auto" w:fill="FFFFFF"/>
        </w:rPr>
        <w:t xml:space="preserve"> w </w:t>
      </w:r>
      <w:r>
        <w:rPr>
          <w:shd w:val="clear" w:color="auto" w:fill="FFFFFF"/>
        </w:rPr>
        <w:t>sierpniu</w:t>
      </w:r>
      <w:r w:rsidRPr="00ED4EDD">
        <w:rPr>
          <w:shd w:val="clear" w:color="auto" w:fill="FFFFFF"/>
        </w:rPr>
        <w:t xml:space="preserve"> 2020 r. zawiera 13</w:t>
      </w:r>
      <w:r>
        <w:rPr>
          <w:shd w:val="clear" w:color="auto" w:fill="FFFFFF"/>
        </w:rPr>
        <w:t xml:space="preserve">53 </w:t>
      </w:r>
      <w:r w:rsidRPr="00ED4EDD">
        <w:rPr>
          <w:shd w:val="clear" w:color="auto" w:fill="FFFFFF"/>
        </w:rPr>
        <w:t>organizacji pozarządowych działających na terenie Olsztyna</w:t>
      </w:r>
      <w:r w:rsidR="00D1667B">
        <w:rPr>
          <w:shd w:val="clear" w:color="auto" w:fill="FFFFFF"/>
        </w:rPr>
        <w:t xml:space="preserve">. Aktywność sektora pozarządowego w pozostałych miastach Polski Wschodniej jest mniejsza niż Olsztynie – od 45 organizacji w przeliczeniu na 10 tys. mieszkańców w Białymstoku do 57 w Lublinie. </w:t>
      </w:r>
    </w:p>
    <w:p w14:paraId="75D0CA7F" w14:textId="77777777" w:rsidR="00F93F7E" w:rsidRDefault="00F93F7E" w:rsidP="00F93F7E">
      <w:pPr>
        <w:pStyle w:val="Legenda"/>
        <w:rPr>
          <w:sz w:val="22"/>
          <w:szCs w:val="22"/>
        </w:rPr>
      </w:pPr>
    </w:p>
    <w:p w14:paraId="12DECB6C" w14:textId="0C9996BA" w:rsidR="00D61C42" w:rsidRPr="00F93F7E" w:rsidRDefault="00F93F7E" w:rsidP="00F93F7E">
      <w:pPr>
        <w:pStyle w:val="Legenda"/>
        <w:rPr>
          <w:sz w:val="22"/>
          <w:szCs w:val="22"/>
        </w:rPr>
      </w:pPr>
      <w:bookmarkStart w:id="58" w:name="_Toc73534971"/>
      <w:r w:rsidRPr="00F93F7E">
        <w:rPr>
          <w:sz w:val="22"/>
          <w:szCs w:val="22"/>
        </w:rPr>
        <w:t xml:space="preserve">Tabela </w:t>
      </w:r>
      <w:r w:rsidRPr="00F93F7E">
        <w:rPr>
          <w:sz w:val="22"/>
          <w:szCs w:val="22"/>
        </w:rPr>
        <w:fldChar w:fldCharType="begin"/>
      </w:r>
      <w:r w:rsidRPr="00F93F7E">
        <w:rPr>
          <w:sz w:val="22"/>
          <w:szCs w:val="22"/>
        </w:rPr>
        <w:instrText xml:space="preserve"> SEQ Tabela \* ARABIC </w:instrText>
      </w:r>
      <w:r w:rsidRPr="00F93F7E">
        <w:rPr>
          <w:sz w:val="22"/>
          <w:szCs w:val="22"/>
        </w:rPr>
        <w:fldChar w:fldCharType="separate"/>
      </w:r>
      <w:r w:rsidR="00AD58C3">
        <w:rPr>
          <w:noProof/>
          <w:sz w:val="22"/>
          <w:szCs w:val="22"/>
        </w:rPr>
        <w:t>8</w:t>
      </w:r>
      <w:r w:rsidRPr="00F93F7E">
        <w:rPr>
          <w:sz w:val="22"/>
          <w:szCs w:val="22"/>
        </w:rPr>
        <w:fldChar w:fldCharType="end"/>
      </w:r>
      <w:r w:rsidRPr="00F93F7E">
        <w:rPr>
          <w:sz w:val="22"/>
          <w:szCs w:val="22"/>
        </w:rPr>
        <w:t xml:space="preserve">. </w:t>
      </w:r>
      <w:r w:rsidRPr="00F93F7E">
        <w:rPr>
          <w:rFonts w:eastAsia="Times New Roman" w:cs="Times New Roman"/>
          <w:color w:val="000000"/>
          <w:sz w:val="22"/>
          <w:szCs w:val="22"/>
          <w:lang w:eastAsia="pl-PL"/>
        </w:rPr>
        <w:t xml:space="preserve">Fundacje, stowarzyszenia i organizacje społeczne na 10 tys. </w:t>
      </w:r>
      <w:r w:rsidR="00024A3B">
        <w:rPr>
          <w:rFonts w:eastAsia="Times New Roman" w:cs="Times New Roman"/>
          <w:color w:val="000000"/>
          <w:sz w:val="22"/>
          <w:szCs w:val="22"/>
          <w:lang w:eastAsia="pl-PL"/>
        </w:rPr>
        <w:t>m</w:t>
      </w:r>
      <w:r w:rsidRPr="00F93F7E">
        <w:rPr>
          <w:rFonts w:eastAsia="Times New Roman" w:cs="Times New Roman"/>
          <w:color w:val="000000"/>
          <w:sz w:val="22"/>
          <w:szCs w:val="22"/>
          <w:lang w:eastAsia="pl-PL"/>
        </w:rPr>
        <w:t>ieszkańców</w:t>
      </w:r>
      <w:bookmarkEnd w:id="58"/>
      <w:r w:rsidR="00024A3B">
        <w:rPr>
          <w:rFonts w:eastAsia="Times New Roman" w:cs="Times New Roman"/>
          <w:color w:val="000000"/>
          <w:sz w:val="22"/>
          <w:szCs w:val="22"/>
          <w:lang w:eastAsia="pl-PL"/>
        </w:rPr>
        <w:t xml:space="preserve"> </w:t>
      </w:r>
    </w:p>
    <w:tbl>
      <w:tblPr>
        <w:tblW w:w="5103" w:type="dxa"/>
        <w:jc w:val="center"/>
        <w:tblCellMar>
          <w:left w:w="70" w:type="dxa"/>
          <w:right w:w="70" w:type="dxa"/>
        </w:tblCellMar>
        <w:tblLook w:val="04A0" w:firstRow="1" w:lastRow="0" w:firstColumn="1" w:lastColumn="0" w:noHBand="0" w:noVBand="1"/>
      </w:tblPr>
      <w:tblGrid>
        <w:gridCol w:w="1276"/>
        <w:gridCol w:w="1875"/>
        <w:gridCol w:w="1952"/>
      </w:tblGrid>
      <w:tr w:rsidR="00D61C42" w:rsidRPr="00D61C42" w14:paraId="1EA13526" w14:textId="77777777" w:rsidTr="00F93F7E">
        <w:trPr>
          <w:trHeight w:val="300"/>
          <w:jc w:val="center"/>
        </w:trPr>
        <w:tc>
          <w:tcPr>
            <w:tcW w:w="1276" w:type="dxa"/>
            <w:tcBorders>
              <w:top w:val="nil"/>
              <w:left w:val="nil"/>
              <w:bottom w:val="nil"/>
              <w:right w:val="nil"/>
            </w:tcBorders>
            <w:shd w:val="clear" w:color="000000" w:fill="FFFFFF"/>
            <w:vAlign w:val="center"/>
            <w:hideMark/>
          </w:tcPr>
          <w:p w14:paraId="1016F8A9" w14:textId="77777777" w:rsidR="00D61C42" w:rsidRPr="00D61C42" w:rsidRDefault="00D61C42" w:rsidP="00D61C42">
            <w:pPr>
              <w:spacing w:after="0" w:line="240" w:lineRule="auto"/>
              <w:rPr>
                <w:rFonts w:ascii="Calibri" w:eastAsia="Times New Roman" w:hAnsi="Calibri" w:cs="Times New Roman"/>
                <w:color w:val="000000"/>
                <w:lang w:eastAsia="pl-PL"/>
              </w:rPr>
            </w:pPr>
            <w:r w:rsidRPr="00D61C42">
              <w:rPr>
                <w:rFonts w:ascii="Calibri" w:eastAsia="Times New Roman" w:hAnsi="Calibri" w:cs="Times New Roman"/>
                <w:color w:val="000000"/>
                <w:lang w:eastAsia="pl-PL"/>
              </w:rPr>
              <w:t> </w:t>
            </w:r>
          </w:p>
        </w:tc>
        <w:tc>
          <w:tcPr>
            <w:tcW w:w="1875"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5C4E13C8" w14:textId="77777777" w:rsidR="00D61C42" w:rsidRPr="00D61C42" w:rsidRDefault="00D61C42" w:rsidP="00D61C42">
            <w:pPr>
              <w:spacing w:after="0" w:line="240" w:lineRule="auto"/>
              <w:jc w:val="center"/>
              <w:rPr>
                <w:rFonts w:ascii="Calibri" w:eastAsia="Times New Roman" w:hAnsi="Calibri" w:cs="Times New Roman"/>
                <w:b/>
                <w:color w:val="000000"/>
                <w:lang w:eastAsia="pl-PL"/>
              </w:rPr>
            </w:pPr>
            <w:r w:rsidRPr="00D61C42">
              <w:rPr>
                <w:rFonts w:ascii="Calibri" w:eastAsia="Times New Roman" w:hAnsi="Calibri" w:cs="Times New Roman"/>
                <w:b/>
                <w:color w:val="000000"/>
                <w:lang w:eastAsia="pl-PL"/>
              </w:rPr>
              <w:t>2013</w:t>
            </w:r>
          </w:p>
        </w:tc>
        <w:tc>
          <w:tcPr>
            <w:tcW w:w="1952" w:type="dxa"/>
            <w:tcBorders>
              <w:top w:val="single" w:sz="4" w:space="0" w:color="auto"/>
              <w:left w:val="nil"/>
              <w:bottom w:val="single" w:sz="4" w:space="0" w:color="auto"/>
              <w:right w:val="single" w:sz="4" w:space="0" w:color="auto"/>
            </w:tcBorders>
            <w:shd w:val="clear" w:color="auto" w:fill="92D050"/>
            <w:vAlign w:val="center"/>
            <w:hideMark/>
          </w:tcPr>
          <w:p w14:paraId="3A59B5D3" w14:textId="77777777" w:rsidR="00D61C42" w:rsidRPr="00D61C42" w:rsidRDefault="00D61C42" w:rsidP="00D61C42">
            <w:pPr>
              <w:spacing w:after="0" w:line="240" w:lineRule="auto"/>
              <w:jc w:val="center"/>
              <w:rPr>
                <w:rFonts w:ascii="Calibri" w:eastAsia="Times New Roman" w:hAnsi="Calibri" w:cs="Times New Roman"/>
                <w:b/>
                <w:color w:val="000000"/>
                <w:lang w:eastAsia="pl-PL"/>
              </w:rPr>
            </w:pPr>
            <w:r w:rsidRPr="00D61C42">
              <w:rPr>
                <w:rFonts w:ascii="Calibri" w:eastAsia="Times New Roman" w:hAnsi="Calibri" w:cs="Times New Roman"/>
                <w:b/>
                <w:color w:val="000000"/>
                <w:lang w:eastAsia="pl-PL"/>
              </w:rPr>
              <w:t>2019</w:t>
            </w:r>
          </w:p>
        </w:tc>
      </w:tr>
      <w:tr w:rsidR="00D61C42" w:rsidRPr="00D61C42" w14:paraId="3E65252A" w14:textId="77777777" w:rsidTr="009941F0">
        <w:trPr>
          <w:trHeight w:val="300"/>
          <w:jc w:val="center"/>
        </w:trPr>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2980AFF3" w14:textId="77777777" w:rsidR="00D61C42" w:rsidRPr="00D61C42" w:rsidRDefault="00D61C42" w:rsidP="00D61C42">
            <w:pPr>
              <w:spacing w:after="0" w:line="240" w:lineRule="auto"/>
              <w:rPr>
                <w:rFonts w:ascii="Calibri" w:eastAsia="Times New Roman" w:hAnsi="Calibri" w:cs="Times New Roman"/>
                <w:lang w:eastAsia="pl-PL"/>
              </w:rPr>
            </w:pPr>
            <w:r w:rsidRPr="00D61C42">
              <w:rPr>
                <w:rFonts w:ascii="Calibri" w:eastAsia="Times New Roman" w:hAnsi="Calibri" w:cs="Times New Roman"/>
                <w:lang w:eastAsia="pl-PL"/>
              </w:rPr>
              <w:t>POLSKA</w:t>
            </w:r>
          </w:p>
        </w:tc>
        <w:tc>
          <w:tcPr>
            <w:tcW w:w="1875" w:type="dxa"/>
            <w:tcBorders>
              <w:top w:val="nil"/>
              <w:left w:val="nil"/>
              <w:bottom w:val="single" w:sz="4" w:space="0" w:color="auto"/>
              <w:right w:val="single" w:sz="4" w:space="0" w:color="auto"/>
            </w:tcBorders>
            <w:shd w:val="clear" w:color="auto" w:fill="D9D9D9" w:themeFill="background1" w:themeFillShade="D9"/>
            <w:noWrap/>
            <w:vAlign w:val="bottom"/>
            <w:hideMark/>
          </w:tcPr>
          <w:p w14:paraId="48EAB925" w14:textId="77777777" w:rsidR="00D61C42" w:rsidRPr="00D61C42" w:rsidRDefault="00D61C42" w:rsidP="00D61C42">
            <w:pPr>
              <w:spacing w:after="0" w:line="240" w:lineRule="auto"/>
              <w:jc w:val="center"/>
              <w:rPr>
                <w:rFonts w:ascii="Calibri" w:eastAsia="Times New Roman" w:hAnsi="Calibri" w:cs="Times New Roman"/>
                <w:lang w:eastAsia="pl-PL"/>
              </w:rPr>
            </w:pPr>
            <w:r w:rsidRPr="00D61C42">
              <w:rPr>
                <w:rFonts w:ascii="Calibri" w:eastAsia="Times New Roman" w:hAnsi="Calibri" w:cs="Times New Roman"/>
                <w:lang w:eastAsia="pl-PL"/>
              </w:rPr>
              <w:t>32</w:t>
            </w:r>
          </w:p>
        </w:tc>
        <w:tc>
          <w:tcPr>
            <w:tcW w:w="1952" w:type="dxa"/>
            <w:tcBorders>
              <w:top w:val="nil"/>
              <w:left w:val="nil"/>
              <w:bottom w:val="single" w:sz="4" w:space="0" w:color="auto"/>
              <w:right w:val="single" w:sz="4" w:space="0" w:color="auto"/>
            </w:tcBorders>
            <w:shd w:val="clear" w:color="auto" w:fill="D9D9D9" w:themeFill="background1" w:themeFillShade="D9"/>
            <w:noWrap/>
            <w:vAlign w:val="bottom"/>
            <w:hideMark/>
          </w:tcPr>
          <w:p w14:paraId="6FCD9F4C" w14:textId="77777777" w:rsidR="00D61C42" w:rsidRPr="00D61C42" w:rsidRDefault="00D61C42" w:rsidP="00D61C42">
            <w:pPr>
              <w:spacing w:after="0" w:line="240" w:lineRule="auto"/>
              <w:jc w:val="center"/>
              <w:rPr>
                <w:rFonts w:ascii="Calibri" w:eastAsia="Times New Roman" w:hAnsi="Calibri" w:cs="Times New Roman"/>
                <w:lang w:eastAsia="pl-PL"/>
              </w:rPr>
            </w:pPr>
            <w:r w:rsidRPr="00D61C42">
              <w:rPr>
                <w:rFonts w:ascii="Calibri" w:eastAsia="Times New Roman" w:hAnsi="Calibri" w:cs="Times New Roman"/>
                <w:lang w:eastAsia="pl-PL"/>
              </w:rPr>
              <w:t>38</w:t>
            </w:r>
          </w:p>
        </w:tc>
      </w:tr>
      <w:tr w:rsidR="00D61C42" w:rsidRPr="00D61C42" w14:paraId="77007C98" w14:textId="77777777" w:rsidTr="009941F0">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94F8E27" w14:textId="77777777" w:rsidR="00D61C42" w:rsidRPr="00D61C42" w:rsidRDefault="00D61C42" w:rsidP="00D61C42">
            <w:pPr>
              <w:spacing w:after="0" w:line="240" w:lineRule="auto"/>
              <w:rPr>
                <w:rFonts w:ascii="Calibri" w:eastAsia="Times New Roman" w:hAnsi="Calibri" w:cs="Times New Roman"/>
                <w:lang w:eastAsia="pl-PL"/>
              </w:rPr>
            </w:pPr>
            <w:r w:rsidRPr="00D61C42">
              <w:rPr>
                <w:rFonts w:ascii="Calibri" w:eastAsia="Times New Roman" w:hAnsi="Calibri" w:cs="Times New Roman"/>
                <w:lang w:eastAsia="pl-PL"/>
              </w:rPr>
              <w:t>Olsztyn</w:t>
            </w:r>
          </w:p>
        </w:tc>
        <w:tc>
          <w:tcPr>
            <w:tcW w:w="1875" w:type="dxa"/>
            <w:tcBorders>
              <w:top w:val="nil"/>
              <w:left w:val="nil"/>
              <w:bottom w:val="single" w:sz="4" w:space="0" w:color="auto"/>
              <w:right w:val="single" w:sz="4" w:space="0" w:color="auto"/>
            </w:tcBorders>
            <w:shd w:val="clear" w:color="auto" w:fill="auto"/>
            <w:noWrap/>
            <w:vAlign w:val="bottom"/>
            <w:hideMark/>
          </w:tcPr>
          <w:p w14:paraId="0C0D5C77" w14:textId="77777777" w:rsidR="00D61C42" w:rsidRPr="00D61C42" w:rsidRDefault="00D61C42" w:rsidP="00D61C42">
            <w:pPr>
              <w:spacing w:after="0" w:line="240" w:lineRule="auto"/>
              <w:jc w:val="center"/>
              <w:rPr>
                <w:rFonts w:ascii="Calibri" w:eastAsia="Times New Roman" w:hAnsi="Calibri" w:cs="Times New Roman"/>
                <w:lang w:eastAsia="pl-PL"/>
              </w:rPr>
            </w:pPr>
            <w:r w:rsidRPr="00D61C42">
              <w:rPr>
                <w:rFonts w:ascii="Calibri" w:eastAsia="Times New Roman" w:hAnsi="Calibri" w:cs="Times New Roman"/>
                <w:lang w:eastAsia="pl-PL"/>
              </w:rPr>
              <w:t>51</w:t>
            </w:r>
          </w:p>
        </w:tc>
        <w:tc>
          <w:tcPr>
            <w:tcW w:w="1952" w:type="dxa"/>
            <w:tcBorders>
              <w:top w:val="nil"/>
              <w:left w:val="nil"/>
              <w:bottom w:val="single" w:sz="4" w:space="0" w:color="auto"/>
              <w:right w:val="single" w:sz="4" w:space="0" w:color="auto"/>
            </w:tcBorders>
            <w:shd w:val="clear" w:color="auto" w:fill="auto"/>
            <w:noWrap/>
            <w:vAlign w:val="bottom"/>
            <w:hideMark/>
          </w:tcPr>
          <w:p w14:paraId="77A10317" w14:textId="77777777" w:rsidR="00D61C42" w:rsidRPr="00D61C42" w:rsidRDefault="00D61C42" w:rsidP="00D61C42">
            <w:pPr>
              <w:spacing w:after="0" w:line="240" w:lineRule="auto"/>
              <w:jc w:val="center"/>
              <w:rPr>
                <w:rFonts w:ascii="Calibri" w:eastAsia="Times New Roman" w:hAnsi="Calibri" w:cs="Times New Roman"/>
                <w:lang w:eastAsia="pl-PL"/>
              </w:rPr>
            </w:pPr>
            <w:r w:rsidRPr="00D61C42">
              <w:rPr>
                <w:rFonts w:ascii="Calibri" w:eastAsia="Times New Roman" w:hAnsi="Calibri" w:cs="Times New Roman"/>
                <w:lang w:eastAsia="pl-PL"/>
              </w:rPr>
              <w:t>61</w:t>
            </w:r>
          </w:p>
        </w:tc>
      </w:tr>
      <w:tr w:rsidR="00D61C42" w:rsidRPr="00D61C42" w14:paraId="5AAAA4E7" w14:textId="77777777" w:rsidTr="009941F0">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8B8BB24" w14:textId="77777777" w:rsidR="00D61C42" w:rsidRPr="00D61C42" w:rsidRDefault="00D61C42" w:rsidP="00D61C42">
            <w:pPr>
              <w:spacing w:after="0" w:line="240" w:lineRule="auto"/>
              <w:rPr>
                <w:rFonts w:ascii="Calibri" w:eastAsia="Times New Roman" w:hAnsi="Calibri" w:cs="Times New Roman"/>
                <w:lang w:eastAsia="pl-PL"/>
              </w:rPr>
            </w:pPr>
            <w:r w:rsidRPr="00D61C42">
              <w:rPr>
                <w:rFonts w:ascii="Calibri" w:eastAsia="Times New Roman" w:hAnsi="Calibri" w:cs="Times New Roman"/>
                <w:lang w:eastAsia="pl-PL"/>
              </w:rPr>
              <w:t>Kielce</w:t>
            </w:r>
          </w:p>
        </w:tc>
        <w:tc>
          <w:tcPr>
            <w:tcW w:w="1875" w:type="dxa"/>
            <w:tcBorders>
              <w:top w:val="nil"/>
              <w:left w:val="nil"/>
              <w:bottom w:val="single" w:sz="4" w:space="0" w:color="auto"/>
              <w:right w:val="single" w:sz="4" w:space="0" w:color="auto"/>
            </w:tcBorders>
            <w:shd w:val="clear" w:color="auto" w:fill="auto"/>
            <w:noWrap/>
            <w:vAlign w:val="bottom"/>
            <w:hideMark/>
          </w:tcPr>
          <w:p w14:paraId="11F051E3" w14:textId="77777777" w:rsidR="00D61C42" w:rsidRPr="00D61C42" w:rsidRDefault="00D61C42" w:rsidP="00D61C42">
            <w:pPr>
              <w:spacing w:after="0" w:line="240" w:lineRule="auto"/>
              <w:jc w:val="center"/>
              <w:rPr>
                <w:rFonts w:ascii="Calibri" w:eastAsia="Times New Roman" w:hAnsi="Calibri" w:cs="Times New Roman"/>
                <w:lang w:eastAsia="pl-PL"/>
              </w:rPr>
            </w:pPr>
            <w:r w:rsidRPr="00D61C42">
              <w:rPr>
                <w:rFonts w:ascii="Calibri" w:eastAsia="Times New Roman" w:hAnsi="Calibri" w:cs="Times New Roman"/>
                <w:lang w:eastAsia="pl-PL"/>
              </w:rPr>
              <w:t>41</w:t>
            </w:r>
          </w:p>
        </w:tc>
        <w:tc>
          <w:tcPr>
            <w:tcW w:w="1952" w:type="dxa"/>
            <w:tcBorders>
              <w:top w:val="nil"/>
              <w:left w:val="nil"/>
              <w:bottom w:val="single" w:sz="4" w:space="0" w:color="auto"/>
              <w:right w:val="single" w:sz="4" w:space="0" w:color="auto"/>
            </w:tcBorders>
            <w:shd w:val="clear" w:color="auto" w:fill="auto"/>
            <w:noWrap/>
            <w:vAlign w:val="bottom"/>
            <w:hideMark/>
          </w:tcPr>
          <w:p w14:paraId="4B8223F7" w14:textId="77777777" w:rsidR="00D61C42" w:rsidRPr="00D61C42" w:rsidRDefault="00D61C42" w:rsidP="00D61C42">
            <w:pPr>
              <w:spacing w:after="0" w:line="240" w:lineRule="auto"/>
              <w:jc w:val="center"/>
              <w:rPr>
                <w:rFonts w:ascii="Calibri" w:eastAsia="Times New Roman" w:hAnsi="Calibri" w:cs="Times New Roman"/>
                <w:lang w:eastAsia="pl-PL"/>
              </w:rPr>
            </w:pPr>
            <w:r w:rsidRPr="00D61C42">
              <w:rPr>
                <w:rFonts w:ascii="Calibri" w:eastAsia="Times New Roman" w:hAnsi="Calibri" w:cs="Times New Roman"/>
                <w:lang w:eastAsia="pl-PL"/>
              </w:rPr>
              <w:t>50</w:t>
            </w:r>
          </w:p>
        </w:tc>
      </w:tr>
      <w:tr w:rsidR="00D61C42" w:rsidRPr="00D61C42" w14:paraId="7795BE55" w14:textId="77777777" w:rsidTr="009941F0">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F851A84" w14:textId="77777777" w:rsidR="00D61C42" w:rsidRPr="00D61C42" w:rsidRDefault="00D61C42" w:rsidP="00D61C42">
            <w:pPr>
              <w:spacing w:after="0" w:line="240" w:lineRule="auto"/>
              <w:rPr>
                <w:rFonts w:ascii="Calibri" w:eastAsia="Times New Roman" w:hAnsi="Calibri" w:cs="Times New Roman"/>
                <w:lang w:eastAsia="pl-PL"/>
              </w:rPr>
            </w:pPr>
            <w:r w:rsidRPr="00D61C42">
              <w:rPr>
                <w:rFonts w:ascii="Calibri" w:eastAsia="Times New Roman" w:hAnsi="Calibri" w:cs="Times New Roman"/>
                <w:lang w:eastAsia="pl-PL"/>
              </w:rPr>
              <w:t>Białystok</w:t>
            </w:r>
          </w:p>
        </w:tc>
        <w:tc>
          <w:tcPr>
            <w:tcW w:w="1875" w:type="dxa"/>
            <w:tcBorders>
              <w:top w:val="nil"/>
              <w:left w:val="nil"/>
              <w:bottom w:val="single" w:sz="4" w:space="0" w:color="auto"/>
              <w:right w:val="single" w:sz="4" w:space="0" w:color="auto"/>
            </w:tcBorders>
            <w:shd w:val="clear" w:color="auto" w:fill="auto"/>
            <w:noWrap/>
            <w:vAlign w:val="bottom"/>
            <w:hideMark/>
          </w:tcPr>
          <w:p w14:paraId="105729AD" w14:textId="77777777" w:rsidR="00D61C42" w:rsidRPr="00D61C42" w:rsidRDefault="00D61C42" w:rsidP="00D61C42">
            <w:pPr>
              <w:spacing w:after="0" w:line="240" w:lineRule="auto"/>
              <w:jc w:val="center"/>
              <w:rPr>
                <w:rFonts w:ascii="Calibri" w:eastAsia="Times New Roman" w:hAnsi="Calibri" w:cs="Times New Roman"/>
                <w:lang w:eastAsia="pl-PL"/>
              </w:rPr>
            </w:pPr>
            <w:r w:rsidRPr="00D61C42">
              <w:rPr>
                <w:rFonts w:ascii="Calibri" w:eastAsia="Times New Roman" w:hAnsi="Calibri" w:cs="Times New Roman"/>
                <w:lang w:eastAsia="pl-PL"/>
              </w:rPr>
              <w:t>38</w:t>
            </w:r>
          </w:p>
        </w:tc>
        <w:tc>
          <w:tcPr>
            <w:tcW w:w="1952" w:type="dxa"/>
            <w:tcBorders>
              <w:top w:val="nil"/>
              <w:left w:val="nil"/>
              <w:bottom w:val="single" w:sz="4" w:space="0" w:color="auto"/>
              <w:right w:val="single" w:sz="4" w:space="0" w:color="auto"/>
            </w:tcBorders>
            <w:shd w:val="clear" w:color="auto" w:fill="auto"/>
            <w:noWrap/>
            <w:vAlign w:val="bottom"/>
            <w:hideMark/>
          </w:tcPr>
          <w:p w14:paraId="7AE67EA7" w14:textId="77777777" w:rsidR="00D61C42" w:rsidRPr="00D61C42" w:rsidRDefault="00D61C42" w:rsidP="00D61C42">
            <w:pPr>
              <w:spacing w:after="0" w:line="240" w:lineRule="auto"/>
              <w:jc w:val="center"/>
              <w:rPr>
                <w:rFonts w:ascii="Calibri" w:eastAsia="Times New Roman" w:hAnsi="Calibri" w:cs="Times New Roman"/>
                <w:lang w:eastAsia="pl-PL"/>
              </w:rPr>
            </w:pPr>
            <w:r w:rsidRPr="00D61C42">
              <w:rPr>
                <w:rFonts w:ascii="Calibri" w:eastAsia="Times New Roman" w:hAnsi="Calibri" w:cs="Times New Roman"/>
                <w:lang w:eastAsia="pl-PL"/>
              </w:rPr>
              <w:t>45</w:t>
            </w:r>
          </w:p>
        </w:tc>
      </w:tr>
      <w:tr w:rsidR="00D61C42" w:rsidRPr="00D61C42" w14:paraId="661DCE43" w14:textId="77777777" w:rsidTr="009941F0">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6B3B1D9" w14:textId="77777777" w:rsidR="00D61C42" w:rsidRPr="00D61C42" w:rsidRDefault="00D61C42" w:rsidP="00D61C42">
            <w:pPr>
              <w:spacing w:after="0" w:line="240" w:lineRule="auto"/>
              <w:rPr>
                <w:rFonts w:ascii="Calibri" w:eastAsia="Times New Roman" w:hAnsi="Calibri" w:cs="Times New Roman"/>
                <w:lang w:eastAsia="pl-PL"/>
              </w:rPr>
            </w:pPr>
            <w:r w:rsidRPr="00D61C42">
              <w:rPr>
                <w:rFonts w:ascii="Calibri" w:eastAsia="Times New Roman" w:hAnsi="Calibri" w:cs="Times New Roman"/>
                <w:lang w:eastAsia="pl-PL"/>
              </w:rPr>
              <w:t>Rzeszów</w:t>
            </w:r>
          </w:p>
        </w:tc>
        <w:tc>
          <w:tcPr>
            <w:tcW w:w="1875" w:type="dxa"/>
            <w:tcBorders>
              <w:top w:val="nil"/>
              <w:left w:val="nil"/>
              <w:bottom w:val="single" w:sz="4" w:space="0" w:color="auto"/>
              <w:right w:val="single" w:sz="4" w:space="0" w:color="auto"/>
            </w:tcBorders>
            <w:shd w:val="clear" w:color="auto" w:fill="auto"/>
            <w:noWrap/>
            <w:vAlign w:val="bottom"/>
            <w:hideMark/>
          </w:tcPr>
          <w:p w14:paraId="76BAAC1E" w14:textId="77777777" w:rsidR="00D61C42" w:rsidRPr="00D61C42" w:rsidRDefault="00D61C42" w:rsidP="00D61C42">
            <w:pPr>
              <w:spacing w:after="0" w:line="240" w:lineRule="auto"/>
              <w:jc w:val="center"/>
              <w:rPr>
                <w:rFonts w:ascii="Calibri" w:eastAsia="Times New Roman" w:hAnsi="Calibri" w:cs="Times New Roman"/>
                <w:lang w:eastAsia="pl-PL"/>
              </w:rPr>
            </w:pPr>
            <w:r w:rsidRPr="00D61C42">
              <w:rPr>
                <w:rFonts w:ascii="Calibri" w:eastAsia="Times New Roman" w:hAnsi="Calibri" w:cs="Times New Roman"/>
                <w:lang w:eastAsia="pl-PL"/>
              </w:rPr>
              <w:t>46</w:t>
            </w:r>
          </w:p>
        </w:tc>
        <w:tc>
          <w:tcPr>
            <w:tcW w:w="1952" w:type="dxa"/>
            <w:tcBorders>
              <w:top w:val="nil"/>
              <w:left w:val="nil"/>
              <w:bottom w:val="single" w:sz="4" w:space="0" w:color="auto"/>
              <w:right w:val="single" w:sz="4" w:space="0" w:color="auto"/>
            </w:tcBorders>
            <w:shd w:val="clear" w:color="auto" w:fill="auto"/>
            <w:noWrap/>
            <w:vAlign w:val="bottom"/>
            <w:hideMark/>
          </w:tcPr>
          <w:p w14:paraId="7269F661" w14:textId="77777777" w:rsidR="00D61C42" w:rsidRPr="00D61C42" w:rsidRDefault="00D61C42" w:rsidP="00D61C42">
            <w:pPr>
              <w:spacing w:after="0" w:line="240" w:lineRule="auto"/>
              <w:jc w:val="center"/>
              <w:rPr>
                <w:rFonts w:ascii="Calibri" w:eastAsia="Times New Roman" w:hAnsi="Calibri" w:cs="Times New Roman"/>
                <w:lang w:eastAsia="pl-PL"/>
              </w:rPr>
            </w:pPr>
            <w:r w:rsidRPr="00D61C42">
              <w:rPr>
                <w:rFonts w:ascii="Calibri" w:eastAsia="Times New Roman" w:hAnsi="Calibri" w:cs="Times New Roman"/>
                <w:lang w:eastAsia="pl-PL"/>
              </w:rPr>
              <w:t>52</w:t>
            </w:r>
          </w:p>
        </w:tc>
      </w:tr>
      <w:tr w:rsidR="00D61C42" w:rsidRPr="00D61C42" w14:paraId="15AE5D2D" w14:textId="77777777" w:rsidTr="009941F0">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07ED741" w14:textId="77777777" w:rsidR="00D61C42" w:rsidRPr="00D61C42" w:rsidRDefault="00D61C42" w:rsidP="00D61C42">
            <w:pPr>
              <w:spacing w:after="0" w:line="240" w:lineRule="auto"/>
              <w:rPr>
                <w:rFonts w:ascii="Calibri" w:eastAsia="Times New Roman" w:hAnsi="Calibri" w:cs="Times New Roman"/>
                <w:lang w:eastAsia="pl-PL"/>
              </w:rPr>
            </w:pPr>
            <w:r w:rsidRPr="00D61C42">
              <w:rPr>
                <w:rFonts w:ascii="Calibri" w:eastAsia="Times New Roman" w:hAnsi="Calibri" w:cs="Times New Roman"/>
                <w:lang w:eastAsia="pl-PL"/>
              </w:rPr>
              <w:t>Lublin</w:t>
            </w:r>
          </w:p>
        </w:tc>
        <w:tc>
          <w:tcPr>
            <w:tcW w:w="1875" w:type="dxa"/>
            <w:tcBorders>
              <w:top w:val="nil"/>
              <w:left w:val="nil"/>
              <w:bottom w:val="single" w:sz="4" w:space="0" w:color="auto"/>
              <w:right w:val="single" w:sz="4" w:space="0" w:color="auto"/>
            </w:tcBorders>
            <w:shd w:val="clear" w:color="auto" w:fill="auto"/>
            <w:noWrap/>
            <w:vAlign w:val="bottom"/>
            <w:hideMark/>
          </w:tcPr>
          <w:p w14:paraId="3D149634" w14:textId="77777777" w:rsidR="00D61C42" w:rsidRPr="00D61C42" w:rsidRDefault="00D61C42" w:rsidP="00D61C42">
            <w:pPr>
              <w:spacing w:after="0" w:line="240" w:lineRule="auto"/>
              <w:jc w:val="center"/>
              <w:rPr>
                <w:rFonts w:ascii="Calibri" w:eastAsia="Times New Roman" w:hAnsi="Calibri" w:cs="Times New Roman"/>
                <w:lang w:eastAsia="pl-PL"/>
              </w:rPr>
            </w:pPr>
            <w:r w:rsidRPr="00D61C42">
              <w:rPr>
                <w:rFonts w:ascii="Calibri" w:eastAsia="Times New Roman" w:hAnsi="Calibri" w:cs="Times New Roman"/>
                <w:lang w:eastAsia="pl-PL"/>
              </w:rPr>
              <w:t>47</w:t>
            </w:r>
          </w:p>
        </w:tc>
        <w:tc>
          <w:tcPr>
            <w:tcW w:w="1952" w:type="dxa"/>
            <w:tcBorders>
              <w:top w:val="nil"/>
              <w:left w:val="nil"/>
              <w:bottom w:val="single" w:sz="4" w:space="0" w:color="auto"/>
              <w:right w:val="single" w:sz="4" w:space="0" w:color="auto"/>
            </w:tcBorders>
            <w:shd w:val="clear" w:color="auto" w:fill="auto"/>
            <w:noWrap/>
            <w:vAlign w:val="bottom"/>
            <w:hideMark/>
          </w:tcPr>
          <w:p w14:paraId="59D32E91" w14:textId="77777777" w:rsidR="00D61C42" w:rsidRPr="00D61C42" w:rsidRDefault="00D61C42" w:rsidP="00D61C42">
            <w:pPr>
              <w:spacing w:after="0" w:line="240" w:lineRule="auto"/>
              <w:jc w:val="center"/>
              <w:rPr>
                <w:rFonts w:ascii="Calibri" w:eastAsia="Times New Roman" w:hAnsi="Calibri" w:cs="Times New Roman"/>
                <w:lang w:eastAsia="pl-PL"/>
              </w:rPr>
            </w:pPr>
            <w:r w:rsidRPr="00D61C42">
              <w:rPr>
                <w:rFonts w:ascii="Calibri" w:eastAsia="Times New Roman" w:hAnsi="Calibri" w:cs="Times New Roman"/>
                <w:lang w:eastAsia="pl-PL"/>
              </w:rPr>
              <w:t>57</w:t>
            </w:r>
          </w:p>
        </w:tc>
      </w:tr>
    </w:tbl>
    <w:p w14:paraId="5D393B6C" w14:textId="77777777" w:rsidR="001711A5" w:rsidRDefault="001711A5" w:rsidP="001711A5">
      <w:pPr>
        <w:jc w:val="center"/>
      </w:pPr>
      <w:r w:rsidRPr="0091031D">
        <w:rPr>
          <w:i/>
          <w:sz w:val="20"/>
          <w:szCs w:val="20"/>
        </w:rPr>
        <w:t xml:space="preserve">źródło: </w:t>
      </w:r>
      <w:r w:rsidR="005837D9" w:rsidRPr="0091031D">
        <w:rPr>
          <w:i/>
          <w:sz w:val="20"/>
          <w:szCs w:val="20"/>
        </w:rPr>
        <w:t>opracowanie własne na podstawie danych GUS</w:t>
      </w:r>
    </w:p>
    <w:p w14:paraId="77A98149" w14:textId="77777777" w:rsidR="00D61C42" w:rsidRPr="00ED4EDD" w:rsidRDefault="00D61C42" w:rsidP="00B53A27">
      <w:pPr>
        <w:jc w:val="both"/>
      </w:pPr>
    </w:p>
    <w:p w14:paraId="588BBB6B" w14:textId="0182DEA5" w:rsidR="00B53A27" w:rsidRDefault="00F43F4F" w:rsidP="00D61C42">
      <w:pPr>
        <w:pStyle w:val="Nagwek3"/>
      </w:pPr>
      <w:bookmarkStart w:id="59" w:name="_Toc73534900"/>
      <w:r>
        <w:t>1.4</w:t>
      </w:r>
      <w:r w:rsidR="002223EC">
        <w:t xml:space="preserve">.2 </w:t>
      </w:r>
      <w:r w:rsidR="00FF0554">
        <w:t>Udział w wyborach</w:t>
      </w:r>
      <w:bookmarkEnd w:id="59"/>
    </w:p>
    <w:p w14:paraId="03A1D4C9" w14:textId="3E92EE5A" w:rsidR="00A064CF" w:rsidRDefault="00A064CF" w:rsidP="00A064CF">
      <w:pPr>
        <w:jc w:val="both"/>
        <w:rPr>
          <w:color w:val="000000" w:themeColor="text1"/>
        </w:rPr>
      </w:pPr>
      <w:r w:rsidRPr="00A064CF">
        <w:rPr>
          <w:color w:val="000000" w:themeColor="text1"/>
        </w:rPr>
        <w:t xml:space="preserve">Zaangażowanie </w:t>
      </w:r>
      <w:r>
        <w:rPr>
          <w:color w:val="000000" w:themeColor="text1"/>
        </w:rPr>
        <w:t xml:space="preserve">obywateli Polski </w:t>
      </w:r>
      <w:r w:rsidRPr="00A064CF">
        <w:rPr>
          <w:color w:val="000000" w:themeColor="text1"/>
        </w:rPr>
        <w:t xml:space="preserve">w wybory samorządowe rośnie. Frekwencja w wyborach samorządowych w roku 2018 we wszystkich omawianych miastach Polski Wschodniej wzrosła </w:t>
      </w:r>
      <w:r>
        <w:rPr>
          <w:color w:val="000000" w:themeColor="text1"/>
        </w:rPr>
        <w:br/>
      </w:r>
      <w:r w:rsidRPr="00A064CF">
        <w:rPr>
          <w:color w:val="000000" w:themeColor="text1"/>
        </w:rPr>
        <w:t>w stosunku do 2014 roku. W większości miast jest też wyższa od średniej krajowej.</w:t>
      </w:r>
    </w:p>
    <w:p w14:paraId="3CBE965F" w14:textId="77777777" w:rsidR="009503FE" w:rsidRDefault="009503FE" w:rsidP="009503FE">
      <w:pPr>
        <w:pStyle w:val="Legenda"/>
        <w:rPr>
          <w:sz w:val="22"/>
          <w:szCs w:val="22"/>
        </w:rPr>
      </w:pPr>
    </w:p>
    <w:p w14:paraId="79E2435C" w14:textId="35B4F9F2" w:rsidR="009503FE" w:rsidRPr="009503FE" w:rsidRDefault="009503FE" w:rsidP="009503FE">
      <w:pPr>
        <w:pStyle w:val="Legenda"/>
        <w:rPr>
          <w:sz w:val="22"/>
          <w:szCs w:val="22"/>
          <w:lang w:val="pl-PL"/>
        </w:rPr>
      </w:pPr>
      <w:bookmarkStart w:id="60" w:name="_Toc73516091"/>
      <w:r w:rsidRPr="009503FE">
        <w:rPr>
          <w:sz w:val="22"/>
          <w:szCs w:val="22"/>
        </w:rPr>
        <w:t xml:space="preserve">Wykres </w:t>
      </w:r>
      <w:r w:rsidRPr="009503FE">
        <w:rPr>
          <w:sz w:val="22"/>
          <w:szCs w:val="22"/>
        </w:rPr>
        <w:fldChar w:fldCharType="begin"/>
      </w:r>
      <w:r w:rsidRPr="009503FE">
        <w:rPr>
          <w:sz w:val="22"/>
          <w:szCs w:val="22"/>
        </w:rPr>
        <w:instrText xml:space="preserve"> SEQ Wykres \* ARABIC </w:instrText>
      </w:r>
      <w:r w:rsidRPr="009503FE">
        <w:rPr>
          <w:sz w:val="22"/>
          <w:szCs w:val="22"/>
        </w:rPr>
        <w:fldChar w:fldCharType="separate"/>
      </w:r>
      <w:r w:rsidR="00AD58C3">
        <w:rPr>
          <w:noProof/>
          <w:sz w:val="22"/>
          <w:szCs w:val="22"/>
        </w:rPr>
        <w:t>29</w:t>
      </w:r>
      <w:r w:rsidRPr="009503FE">
        <w:rPr>
          <w:sz w:val="22"/>
          <w:szCs w:val="22"/>
        </w:rPr>
        <w:fldChar w:fldCharType="end"/>
      </w:r>
      <w:r w:rsidRPr="009503FE">
        <w:rPr>
          <w:sz w:val="22"/>
          <w:szCs w:val="22"/>
        </w:rPr>
        <w:t xml:space="preserve">. </w:t>
      </w:r>
      <w:r w:rsidRPr="009503FE">
        <w:rPr>
          <w:bCs/>
          <w:sz w:val="22"/>
          <w:szCs w:val="22"/>
          <w:lang w:val="en-US"/>
        </w:rPr>
        <w:t>Frekwencja wyborcza w wyborach</w:t>
      </w:r>
      <w:r w:rsidRPr="009503FE">
        <w:rPr>
          <w:bCs/>
          <w:sz w:val="22"/>
          <w:szCs w:val="22"/>
          <w:lang w:val="pl-PL"/>
        </w:rPr>
        <w:t xml:space="preserve"> do rad gmin </w:t>
      </w:r>
      <w:r w:rsidR="00D5485D">
        <w:rPr>
          <w:bCs/>
          <w:sz w:val="22"/>
          <w:szCs w:val="22"/>
          <w:lang w:val="pl-PL"/>
        </w:rPr>
        <w:t>(2014 i 2018)</w:t>
      </w:r>
      <w:bookmarkEnd w:id="60"/>
    </w:p>
    <w:p w14:paraId="55C6884A" w14:textId="77777777" w:rsidR="00723065" w:rsidRDefault="003079A3" w:rsidP="005837D9">
      <w:pPr>
        <w:spacing w:after="0"/>
        <w:jc w:val="center"/>
      </w:pPr>
      <w:r>
        <w:rPr>
          <w:noProof/>
          <w:lang w:eastAsia="pl-PL"/>
        </w:rPr>
        <w:drawing>
          <wp:inline distT="0" distB="0" distL="0" distR="0" wp14:anchorId="319219C7" wp14:editId="786F9D34">
            <wp:extent cx="4557369" cy="2275028"/>
            <wp:effectExtent l="0" t="0" r="15240" b="11430"/>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C675C9E" w14:textId="50151C07" w:rsidR="00D30E89" w:rsidRPr="005837D9" w:rsidRDefault="00D30E89" w:rsidP="005837D9">
      <w:pPr>
        <w:spacing w:after="0"/>
        <w:jc w:val="center"/>
        <w:rPr>
          <w:sz w:val="20"/>
          <w:szCs w:val="20"/>
        </w:rPr>
      </w:pPr>
      <w:r w:rsidRPr="005837D9">
        <w:rPr>
          <w:i/>
          <w:sz w:val="20"/>
          <w:szCs w:val="20"/>
        </w:rPr>
        <w:t xml:space="preserve">źródło: </w:t>
      </w:r>
      <w:r w:rsidR="00F30A69">
        <w:rPr>
          <w:i/>
          <w:sz w:val="20"/>
          <w:szCs w:val="20"/>
        </w:rPr>
        <w:t>o</w:t>
      </w:r>
      <w:r w:rsidRPr="005837D9">
        <w:rPr>
          <w:i/>
          <w:sz w:val="20"/>
          <w:szCs w:val="20"/>
        </w:rPr>
        <w:t>pracowanie własne na podstawie statystyk Państwowej Komisji Wyborczej</w:t>
      </w:r>
    </w:p>
    <w:p w14:paraId="1F044FFA" w14:textId="2F2B9D89" w:rsidR="00F30A69" w:rsidRDefault="00F30A69">
      <w:r>
        <w:br w:type="page"/>
      </w:r>
    </w:p>
    <w:p w14:paraId="540E9574" w14:textId="7E150FEC" w:rsidR="00F30A69" w:rsidRPr="00F30A69" w:rsidRDefault="00F30A69" w:rsidP="00F30A69">
      <w:pPr>
        <w:pStyle w:val="Legenda"/>
        <w:rPr>
          <w:sz w:val="22"/>
          <w:szCs w:val="22"/>
          <w:lang w:val="pl-PL"/>
        </w:rPr>
      </w:pPr>
      <w:bookmarkStart w:id="61" w:name="_Toc73516092"/>
      <w:r w:rsidRPr="00F30A69">
        <w:rPr>
          <w:sz w:val="22"/>
          <w:szCs w:val="22"/>
        </w:rPr>
        <w:lastRenderedPageBreak/>
        <w:t xml:space="preserve">Wykres </w:t>
      </w:r>
      <w:r w:rsidRPr="00F30A69">
        <w:rPr>
          <w:sz w:val="22"/>
          <w:szCs w:val="22"/>
        </w:rPr>
        <w:fldChar w:fldCharType="begin"/>
      </w:r>
      <w:r w:rsidRPr="00F30A69">
        <w:rPr>
          <w:sz w:val="22"/>
          <w:szCs w:val="22"/>
        </w:rPr>
        <w:instrText xml:space="preserve"> SEQ Wykres \* ARABIC </w:instrText>
      </w:r>
      <w:r w:rsidRPr="00F30A69">
        <w:rPr>
          <w:sz w:val="22"/>
          <w:szCs w:val="22"/>
        </w:rPr>
        <w:fldChar w:fldCharType="separate"/>
      </w:r>
      <w:r w:rsidR="00AD58C3">
        <w:rPr>
          <w:noProof/>
          <w:sz w:val="22"/>
          <w:szCs w:val="22"/>
        </w:rPr>
        <w:t>30</w:t>
      </w:r>
      <w:r w:rsidRPr="00F30A69">
        <w:rPr>
          <w:sz w:val="22"/>
          <w:szCs w:val="22"/>
        </w:rPr>
        <w:fldChar w:fldCharType="end"/>
      </w:r>
      <w:r w:rsidRPr="00F30A69">
        <w:rPr>
          <w:sz w:val="22"/>
          <w:szCs w:val="22"/>
        </w:rPr>
        <w:t xml:space="preserve">. </w:t>
      </w:r>
      <w:r w:rsidRPr="00F30A69">
        <w:rPr>
          <w:bCs/>
          <w:sz w:val="22"/>
          <w:szCs w:val="22"/>
          <w:lang w:val="en-US"/>
        </w:rPr>
        <w:t xml:space="preserve">Frekwencja wyborcza w wyborach </w:t>
      </w:r>
      <w:r w:rsidRPr="00F30A69">
        <w:rPr>
          <w:bCs/>
          <w:sz w:val="22"/>
          <w:szCs w:val="22"/>
          <w:lang w:val="pl-PL"/>
        </w:rPr>
        <w:t xml:space="preserve">na wójtów, burmistrzów, prezydentów </w:t>
      </w:r>
      <w:r w:rsidR="00D5485D">
        <w:rPr>
          <w:bCs/>
          <w:sz w:val="22"/>
          <w:szCs w:val="22"/>
          <w:lang w:val="pl-PL"/>
        </w:rPr>
        <w:t>(</w:t>
      </w:r>
      <w:r w:rsidRPr="00F30A69">
        <w:rPr>
          <w:bCs/>
          <w:sz w:val="22"/>
          <w:szCs w:val="22"/>
          <w:lang w:val="en-US"/>
        </w:rPr>
        <w:t>2014 i 2018</w:t>
      </w:r>
      <w:r w:rsidR="00D5485D">
        <w:rPr>
          <w:bCs/>
          <w:sz w:val="22"/>
          <w:szCs w:val="22"/>
          <w:lang w:val="en-US"/>
        </w:rPr>
        <w:t>)</w:t>
      </w:r>
      <w:bookmarkEnd w:id="61"/>
    </w:p>
    <w:p w14:paraId="44CE4D71" w14:textId="77777777" w:rsidR="003079A3" w:rsidRDefault="003079A3" w:rsidP="005837D9">
      <w:pPr>
        <w:spacing w:after="0"/>
        <w:jc w:val="center"/>
      </w:pPr>
      <w:r>
        <w:rPr>
          <w:noProof/>
          <w:lang w:eastAsia="pl-PL"/>
        </w:rPr>
        <w:drawing>
          <wp:inline distT="0" distB="0" distL="0" distR="0" wp14:anchorId="3C0BE0A1" wp14:editId="6EAF690E">
            <wp:extent cx="4522206" cy="2480649"/>
            <wp:effectExtent l="0" t="0" r="12065" b="15240"/>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97DC9C2" w14:textId="2CDC0C77" w:rsidR="00274203" w:rsidRPr="005837D9" w:rsidRDefault="00274203" w:rsidP="005837D9">
      <w:pPr>
        <w:spacing w:after="0"/>
        <w:jc w:val="center"/>
        <w:rPr>
          <w:sz w:val="20"/>
          <w:szCs w:val="20"/>
        </w:rPr>
      </w:pPr>
      <w:r w:rsidRPr="005837D9">
        <w:rPr>
          <w:i/>
          <w:sz w:val="20"/>
          <w:szCs w:val="20"/>
        </w:rPr>
        <w:t xml:space="preserve">źródło: </w:t>
      </w:r>
      <w:r w:rsidR="00F30A69">
        <w:rPr>
          <w:i/>
          <w:sz w:val="20"/>
          <w:szCs w:val="20"/>
        </w:rPr>
        <w:t>o</w:t>
      </w:r>
      <w:r w:rsidRPr="005837D9">
        <w:rPr>
          <w:i/>
          <w:sz w:val="20"/>
          <w:szCs w:val="20"/>
        </w:rPr>
        <w:t>pracowanie własne na podstawie statystyk Państwowej Komisji Wyborczej</w:t>
      </w:r>
    </w:p>
    <w:p w14:paraId="29B1EBEC" w14:textId="77777777" w:rsidR="00052613" w:rsidRDefault="00052613" w:rsidP="00A2294D">
      <w:pPr>
        <w:jc w:val="center"/>
      </w:pPr>
    </w:p>
    <w:p w14:paraId="29B48B69" w14:textId="77777777" w:rsidR="00A368E0" w:rsidRDefault="00A368E0" w:rsidP="00A2294D">
      <w:pPr>
        <w:jc w:val="center"/>
      </w:pPr>
    </w:p>
    <w:p w14:paraId="68CCDA38" w14:textId="090B37AD" w:rsidR="00F30A69" w:rsidRPr="00F30A69" w:rsidRDefault="00F30A69" w:rsidP="00F30A69">
      <w:pPr>
        <w:pStyle w:val="Legenda"/>
        <w:rPr>
          <w:sz w:val="22"/>
          <w:szCs w:val="22"/>
          <w:lang w:val="pl-PL"/>
        </w:rPr>
      </w:pPr>
      <w:bookmarkStart w:id="62" w:name="_Toc73516093"/>
      <w:r w:rsidRPr="00F30A69">
        <w:rPr>
          <w:sz w:val="22"/>
          <w:szCs w:val="22"/>
        </w:rPr>
        <w:t xml:space="preserve">Wykres </w:t>
      </w:r>
      <w:r w:rsidRPr="00F30A69">
        <w:rPr>
          <w:sz w:val="22"/>
          <w:szCs w:val="22"/>
        </w:rPr>
        <w:fldChar w:fldCharType="begin"/>
      </w:r>
      <w:r w:rsidRPr="00F30A69">
        <w:rPr>
          <w:sz w:val="22"/>
          <w:szCs w:val="22"/>
        </w:rPr>
        <w:instrText xml:space="preserve"> SEQ Wykres \* ARABIC </w:instrText>
      </w:r>
      <w:r w:rsidRPr="00F30A69">
        <w:rPr>
          <w:sz w:val="22"/>
          <w:szCs w:val="22"/>
        </w:rPr>
        <w:fldChar w:fldCharType="separate"/>
      </w:r>
      <w:r w:rsidR="00AD58C3">
        <w:rPr>
          <w:noProof/>
          <w:sz w:val="22"/>
          <w:szCs w:val="22"/>
        </w:rPr>
        <w:t>31</w:t>
      </w:r>
      <w:r w:rsidRPr="00F30A69">
        <w:rPr>
          <w:sz w:val="22"/>
          <w:szCs w:val="22"/>
        </w:rPr>
        <w:fldChar w:fldCharType="end"/>
      </w:r>
      <w:r w:rsidRPr="00F30A69">
        <w:rPr>
          <w:sz w:val="22"/>
          <w:szCs w:val="22"/>
        </w:rPr>
        <w:t xml:space="preserve">. </w:t>
      </w:r>
      <w:r w:rsidRPr="00F30A69">
        <w:rPr>
          <w:bCs/>
          <w:sz w:val="22"/>
          <w:szCs w:val="22"/>
          <w:lang w:val="en-US"/>
        </w:rPr>
        <w:t xml:space="preserve">Frekwencja w wyborach </w:t>
      </w:r>
      <w:r w:rsidRPr="00F30A69">
        <w:rPr>
          <w:bCs/>
          <w:sz w:val="22"/>
          <w:szCs w:val="22"/>
          <w:lang w:val="pl-PL"/>
        </w:rPr>
        <w:t xml:space="preserve">do Sejmu RP </w:t>
      </w:r>
      <w:r w:rsidR="00D5485D">
        <w:rPr>
          <w:bCs/>
          <w:sz w:val="22"/>
          <w:szCs w:val="22"/>
          <w:lang w:val="pl-PL"/>
        </w:rPr>
        <w:t>(</w:t>
      </w:r>
      <w:r w:rsidRPr="00F30A69">
        <w:rPr>
          <w:bCs/>
          <w:sz w:val="22"/>
          <w:szCs w:val="22"/>
          <w:lang w:val="pl-PL"/>
        </w:rPr>
        <w:t>2015 i 2019</w:t>
      </w:r>
      <w:r w:rsidR="00D5485D">
        <w:rPr>
          <w:bCs/>
          <w:sz w:val="22"/>
          <w:szCs w:val="22"/>
          <w:lang w:val="pl-PL"/>
        </w:rPr>
        <w:t>)</w:t>
      </w:r>
      <w:bookmarkEnd w:id="62"/>
    </w:p>
    <w:p w14:paraId="6F7AAB95" w14:textId="77777777" w:rsidR="00052613" w:rsidRDefault="00D30E89" w:rsidP="00650677">
      <w:pPr>
        <w:spacing w:after="0"/>
        <w:jc w:val="center"/>
      </w:pPr>
      <w:r>
        <w:rPr>
          <w:noProof/>
          <w:lang w:eastAsia="pl-PL"/>
        </w:rPr>
        <w:drawing>
          <wp:inline distT="0" distB="0" distL="0" distR="0" wp14:anchorId="7FD2891D" wp14:editId="046314C1">
            <wp:extent cx="4567473" cy="2521390"/>
            <wp:effectExtent l="0" t="0" r="5080" b="12700"/>
            <wp:docPr id="26" name="Wykres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0155642" w14:textId="1DBCC405" w:rsidR="00D30E89" w:rsidRPr="00650677" w:rsidRDefault="00D30E89" w:rsidP="00650677">
      <w:pPr>
        <w:spacing w:after="0"/>
        <w:jc w:val="center"/>
        <w:rPr>
          <w:i/>
          <w:sz w:val="20"/>
          <w:szCs w:val="20"/>
        </w:rPr>
      </w:pPr>
      <w:r w:rsidRPr="00650677">
        <w:rPr>
          <w:i/>
          <w:sz w:val="20"/>
          <w:szCs w:val="20"/>
        </w:rPr>
        <w:t xml:space="preserve">źródło: </w:t>
      </w:r>
      <w:r w:rsidR="00F30A69">
        <w:rPr>
          <w:i/>
          <w:sz w:val="20"/>
          <w:szCs w:val="20"/>
        </w:rPr>
        <w:t>o</w:t>
      </w:r>
      <w:r w:rsidRPr="00650677">
        <w:rPr>
          <w:i/>
          <w:sz w:val="20"/>
          <w:szCs w:val="20"/>
        </w:rPr>
        <w:t>pracowanie własne na podstawie statystyk Państwowej Komisji Wyborczej</w:t>
      </w:r>
    </w:p>
    <w:p w14:paraId="5D9B07CD" w14:textId="77777777" w:rsidR="00650677" w:rsidRDefault="00650677" w:rsidP="00650677">
      <w:pPr>
        <w:spacing w:after="0"/>
        <w:jc w:val="center"/>
        <w:rPr>
          <w:i/>
        </w:rPr>
      </w:pPr>
    </w:p>
    <w:p w14:paraId="225EBF7B" w14:textId="5CA74512" w:rsidR="002464FE" w:rsidRDefault="00EE3E5D" w:rsidP="00EE3E5D">
      <w:pPr>
        <w:jc w:val="both"/>
      </w:pPr>
      <w:r>
        <w:t xml:space="preserve">Aktywność społeczno-polityczna Polaków rośnie z roku na rok. Najwyższą frekwencję wyborczą spośród </w:t>
      </w:r>
      <w:r w:rsidR="00810414">
        <w:t xml:space="preserve">wszystkich </w:t>
      </w:r>
      <w:r>
        <w:t xml:space="preserve">wyborów organizowanych w latach 2015-2020 zaobserwowano w II turze wyborów na Prezydenta Rzeczypospolitej Polskiej w roku 2020. Olsztyniacy </w:t>
      </w:r>
      <w:r w:rsidR="00810414">
        <w:t xml:space="preserve">okazali się </w:t>
      </w:r>
      <w:r>
        <w:t xml:space="preserve">najbardziej </w:t>
      </w:r>
      <w:r w:rsidR="00810414">
        <w:t>zmobilizowaną  społecznością spośród mieszkańców omawianych miast Polski Wschodniej. Frekwencja wyborcza wśród olsztynian w 2020 roku wyniosła 70,67% i była wyższa od średniej dla Polski.</w:t>
      </w:r>
    </w:p>
    <w:p w14:paraId="76D87DF0" w14:textId="12CEEC4F" w:rsidR="00AA7BF2" w:rsidRDefault="00AA7BF2">
      <w:r>
        <w:br w:type="page"/>
      </w:r>
    </w:p>
    <w:p w14:paraId="274C4248" w14:textId="2D21A775" w:rsidR="000470D8" w:rsidRDefault="000470D8" w:rsidP="00EE3E5D">
      <w:pPr>
        <w:jc w:val="both"/>
      </w:pPr>
    </w:p>
    <w:p w14:paraId="27BDEB42" w14:textId="4897C1AB" w:rsidR="00AA7BF2" w:rsidRPr="00AA7BF2" w:rsidRDefault="00AA7BF2" w:rsidP="00AA7BF2">
      <w:pPr>
        <w:pStyle w:val="Legenda"/>
        <w:rPr>
          <w:sz w:val="22"/>
          <w:szCs w:val="22"/>
          <w:lang w:val="pl-PL"/>
        </w:rPr>
      </w:pPr>
      <w:bookmarkStart w:id="63" w:name="_Toc73516094"/>
      <w:r w:rsidRPr="00AA7BF2">
        <w:rPr>
          <w:sz w:val="22"/>
          <w:szCs w:val="22"/>
        </w:rPr>
        <w:t xml:space="preserve">Wykres </w:t>
      </w:r>
      <w:r w:rsidRPr="00AA7BF2">
        <w:rPr>
          <w:sz w:val="22"/>
          <w:szCs w:val="22"/>
        </w:rPr>
        <w:fldChar w:fldCharType="begin"/>
      </w:r>
      <w:r w:rsidRPr="00AA7BF2">
        <w:rPr>
          <w:sz w:val="22"/>
          <w:szCs w:val="22"/>
        </w:rPr>
        <w:instrText xml:space="preserve"> SEQ Wykres \* ARABIC </w:instrText>
      </w:r>
      <w:r w:rsidRPr="00AA7BF2">
        <w:rPr>
          <w:sz w:val="22"/>
          <w:szCs w:val="22"/>
        </w:rPr>
        <w:fldChar w:fldCharType="separate"/>
      </w:r>
      <w:r w:rsidR="00AD58C3">
        <w:rPr>
          <w:noProof/>
          <w:sz w:val="22"/>
          <w:szCs w:val="22"/>
        </w:rPr>
        <w:t>32</w:t>
      </w:r>
      <w:r w:rsidRPr="00AA7BF2">
        <w:rPr>
          <w:sz w:val="22"/>
          <w:szCs w:val="22"/>
        </w:rPr>
        <w:fldChar w:fldCharType="end"/>
      </w:r>
      <w:r w:rsidRPr="00AA7BF2">
        <w:rPr>
          <w:sz w:val="22"/>
          <w:szCs w:val="22"/>
        </w:rPr>
        <w:t xml:space="preserve">. </w:t>
      </w:r>
      <w:r w:rsidRPr="00AA7BF2">
        <w:rPr>
          <w:bCs/>
          <w:sz w:val="22"/>
          <w:szCs w:val="22"/>
          <w:lang w:val="en-US"/>
        </w:rPr>
        <w:t xml:space="preserve">Frekwencja w wyborach </w:t>
      </w:r>
      <w:r w:rsidRPr="00AA7BF2">
        <w:rPr>
          <w:bCs/>
          <w:sz w:val="22"/>
          <w:szCs w:val="22"/>
          <w:lang w:val="pl-PL"/>
        </w:rPr>
        <w:t>na Prezydenta RP</w:t>
      </w:r>
      <w:r w:rsidR="00D5485D">
        <w:rPr>
          <w:bCs/>
          <w:sz w:val="22"/>
          <w:szCs w:val="22"/>
          <w:lang w:val="pl-PL"/>
        </w:rPr>
        <w:t>,</w:t>
      </w:r>
      <w:r w:rsidRPr="00AA7BF2">
        <w:rPr>
          <w:bCs/>
          <w:sz w:val="22"/>
          <w:szCs w:val="22"/>
          <w:lang w:val="pl-PL"/>
        </w:rPr>
        <w:t xml:space="preserve"> II tura</w:t>
      </w:r>
      <w:r w:rsidR="00D5485D">
        <w:rPr>
          <w:bCs/>
          <w:sz w:val="22"/>
          <w:szCs w:val="22"/>
          <w:lang w:val="pl-PL"/>
        </w:rPr>
        <w:t xml:space="preserve"> (</w:t>
      </w:r>
      <w:r w:rsidRPr="00AA7BF2">
        <w:rPr>
          <w:bCs/>
          <w:sz w:val="22"/>
          <w:szCs w:val="22"/>
          <w:lang w:val="pl-PL"/>
        </w:rPr>
        <w:t>2015 i 2020</w:t>
      </w:r>
      <w:r w:rsidR="00D5485D">
        <w:rPr>
          <w:bCs/>
          <w:sz w:val="22"/>
          <w:szCs w:val="22"/>
          <w:lang w:val="pl-PL"/>
        </w:rPr>
        <w:t>)</w:t>
      </w:r>
      <w:bookmarkEnd w:id="63"/>
    </w:p>
    <w:p w14:paraId="27E48F20" w14:textId="77777777" w:rsidR="00052613" w:rsidRDefault="00EE3E5D" w:rsidP="002464FE">
      <w:pPr>
        <w:spacing w:after="0"/>
        <w:jc w:val="center"/>
      </w:pPr>
      <w:r>
        <w:rPr>
          <w:noProof/>
          <w:lang w:eastAsia="pl-PL"/>
        </w:rPr>
        <w:drawing>
          <wp:inline distT="0" distB="0" distL="0" distR="0" wp14:anchorId="04DEFA16" wp14:editId="0FFED067">
            <wp:extent cx="4572000" cy="2743200"/>
            <wp:effectExtent l="0" t="0" r="0" b="0"/>
            <wp:docPr id="25" name="Wykres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653965F" w14:textId="2DF46CE3" w:rsidR="00EE3E5D" w:rsidRPr="00650677" w:rsidRDefault="00EE3E5D" w:rsidP="002464FE">
      <w:pPr>
        <w:spacing w:after="0"/>
        <w:jc w:val="center"/>
        <w:rPr>
          <w:sz w:val="20"/>
          <w:szCs w:val="20"/>
        </w:rPr>
      </w:pPr>
      <w:r w:rsidRPr="00650677">
        <w:rPr>
          <w:i/>
          <w:sz w:val="20"/>
          <w:szCs w:val="20"/>
        </w:rPr>
        <w:t xml:space="preserve">źródło: </w:t>
      </w:r>
      <w:r w:rsidR="00D62F6F">
        <w:rPr>
          <w:i/>
          <w:sz w:val="20"/>
          <w:szCs w:val="20"/>
        </w:rPr>
        <w:t>o</w:t>
      </w:r>
      <w:r w:rsidRPr="00650677">
        <w:rPr>
          <w:i/>
          <w:sz w:val="20"/>
          <w:szCs w:val="20"/>
        </w:rPr>
        <w:t>pracowanie własne na podstawie statystyk Państwowej Komisji Wyborczej</w:t>
      </w:r>
    </w:p>
    <w:p w14:paraId="22141166" w14:textId="77777777" w:rsidR="000470D8" w:rsidRDefault="000470D8" w:rsidP="000470D8">
      <w:pPr>
        <w:jc w:val="both"/>
      </w:pPr>
    </w:p>
    <w:p w14:paraId="0E13BD66" w14:textId="77777777" w:rsidR="000470D8" w:rsidRPr="000470D8" w:rsidRDefault="000470D8" w:rsidP="000470D8">
      <w:pPr>
        <w:jc w:val="both"/>
      </w:pPr>
      <w:r w:rsidRPr="000470D8">
        <w:t>Olsztyn liczy około 130 tys. wyborców i dzieli się na 101 obwodów wyborczych. W wyborach samorządowych w 2018 roku miasto podzielono na 4 okręgi wyborcze, zawierające w swoich granicach po kilka osiedli (od 3 do 9). Okręgi cechowały się zbliżoną liczbą ludności (ok. 29 tys. – 36 tys. mieszkańców) i miały przypisaną podobną liczbę mandatów (od 5 do 7). W okręgach zanotowano frekwencje między 50 a 60 procent podczas wyborów do rady miasta, co przedstawia tabela poniżej</w:t>
      </w:r>
      <w:r w:rsidRPr="000470D8">
        <w:rPr>
          <w:vertAlign w:val="superscript"/>
        </w:rPr>
        <w:footnoteReference w:id="17"/>
      </w:r>
      <w:r w:rsidRPr="000470D8">
        <w:t>.</w:t>
      </w:r>
    </w:p>
    <w:p w14:paraId="239FC704" w14:textId="77777777" w:rsidR="000470D8" w:rsidRDefault="000470D8" w:rsidP="00A964B9">
      <w:pPr>
        <w:pStyle w:val="Legenda"/>
        <w:keepNext/>
        <w:rPr>
          <w:sz w:val="20"/>
          <w:lang w:val="pl-PL"/>
        </w:rPr>
      </w:pPr>
    </w:p>
    <w:p w14:paraId="0AE6D9A5" w14:textId="235C15EF" w:rsidR="00A964B9" w:rsidRPr="00D5485D" w:rsidRDefault="00A964B9" w:rsidP="00A964B9">
      <w:pPr>
        <w:pStyle w:val="Legenda"/>
        <w:keepNext/>
        <w:rPr>
          <w:sz w:val="22"/>
          <w:szCs w:val="22"/>
          <w:lang w:val="pl-PL"/>
        </w:rPr>
      </w:pPr>
      <w:bookmarkStart w:id="64" w:name="_Toc73534972"/>
      <w:r w:rsidRPr="00D5485D">
        <w:rPr>
          <w:sz w:val="22"/>
          <w:szCs w:val="22"/>
          <w:lang w:val="pl-PL"/>
        </w:rPr>
        <w:t xml:space="preserve">Tabela </w:t>
      </w:r>
      <w:r w:rsidRPr="00D5485D">
        <w:rPr>
          <w:sz w:val="22"/>
          <w:szCs w:val="22"/>
        </w:rPr>
        <w:fldChar w:fldCharType="begin"/>
      </w:r>
      <w:r w:rsidRPr="00D5485D">
        <w:rPr>
          <w:sz w:val="22"/>
          <w:szCs w:val="22"/>
          <w:lang w:val="pl-PL"/>
        </w:rPr>
        <w:instrText xml:space="preserve"> SEQ Tabela \* ARABIC </w:instrText>
      </w:r>
      <w:r w:rsidRPr="00D5485D">
        <w:rPr>
          <w:sz w:val="22"/>
          <w:szCs w:val="22"/>
        </w:rPr>
        <w:fldChar w:fldCharType="separate"/>
      </w:r>
      <w:r w:rsidR="00AD58C3">
        <w:rPr>
          <w:noProof/>
          <w:sz w:val="22"/>
          <w:szCs w:val="22"/>
          <w:lang w:val="pl-PL"/>
        </w:rPr>
        <w:t>9</w:t>
      </w:r>
      <w:r w:rsidRPr="00D5485D">
        <w:rPr>
          <w:sz w:val="22"/>
          <w:szCs w:val="22"/>
        </w:rPr>
        <w:fldChar w:fldCharType="end"/>
      </w:r>
      <w:r w:rsidRPr="00D5485D">
        <w:rPr>
          <w:sz w:val="22"/>
          <w:szCs w:val="22"/>
          <w:lang w:val="pl-PL"/>
        </w:rPr>
        <w:t>. Okręgi wyborcze w Olsztynie w wyborach samorządowych 2018</w:t>
      </w:r>
      <w:bookmarkEnd w:id="64"/>
    </w:p>
    <w:tbl>
      <w:tblPr>
        <w:tblStyle w:val="Tabela-Siatka"/>
        <w:tblW w:w="0" w:type="auto"/>
        <w:tblLook w:val="04A0" w:firstRow="1" w:lastRow="0" w:firstColumn="1" w:lastColumn="0" w:noHBand="0" w:noVBand="1"/>
      </w:tblPr>
      <w:tblGrid>
        <w:gridCol w:w="846"/>
        <w:gridCol w:w="6662"/>
        <w:gridCol w:w="1554"/>
      </w:tblGrid>
      <w:tr w:rsidR="000470D8" w:rsidRPr="000470D8" w14:paraId="07479EB9" w14:textId="77777777" w:rsidTr="00C1515D">
        <w:tc>
          <w:tcPr>
            <w:tcW w:w="846" w:type="dxa"/>
            <w:shd w:val="clear" w:color="auto" w:fill="92D050"/>
          </w:tcPr>
          <w:p w14:paraId="3891FA8B" w14:textId="77777777" w:rsidR="000470D8" w:rsidRPr="00C1515D" w:rsidRDefault="000470D8" w:rsidP="00C1515D">
            <w:pPr>
              <w:spacing w:line="259" w:lineRule="auto"/>
              <w:jc w:val="center"/>
              <w:rPr>
                <w:b/>
              </w:rPr>
            </w:pPr>
            <w:r w:rsidRPr="00C1515D">
              <w:rPr>
                <w:b/>
              </w:rPr>
              <w:t>Okręg</w:t>
            </w:r>
          </w:p>
        </w:tc>
        <w:tc>
          <w:tcPr>
            <w:tcW w:w="6662" w:type="dxa"/>
            <w:shd w:val="clear" w:color="auto" w:fill="92D050"/>
          </w:tcPr>
          <w:p w14:paraId="53457685" w14:textId="77777777" w:rsidR="000470D8" w:rsidRPr="00C1515D" w:rsidRDefault="000470D8" w:rsidP="00C1515D">
            <w:pPr>
              <w:spacing w:line="259" w:lineRule="auto"/>
              <w:jc w:val="center"/>
              <w:rPr>
                <w:b/>
              </w:rPr>
            </w:pPr>
            <w:r w:rsidRPr="00C1515D">
              <w:rPr>
                <w:b/>
              </w:rPr>
              <w:t>Granice</w:t>
            </w:r>
          </w:p>
        </w:tc>
        <w:tc>
          <w:tcPr>
            <w:tcW w:w="1554" w:type="dxa"/>
            <w:shd w:val="clear" w:color="auto" w:fill="92D050"/>
          </w:tcPr>
          <w:p w14:paraId="2AE0A5DB" w14:textId="77777777" w:rsidR="000470D8" w:rsidRPr="00C1515D" w:rsidRDefault="000470D8" w:rsidP="00C1515D">
            <w:pPr>
              <w:spacing w:line="259" w:lineRule="auto"/>
              <w:jc w:val="center"/>
              <w:rPr>
                <w:b/>
              </w:rPr>
            </w:pPr>
            <w:r w:rsidRPr="00C1515D">
              <w:rPr>
                <w:b/>
              </w:rPr>
              <w:t>Frekwencja</w:t>
            </w:r>
          </w:p>
        </w:tc>
      </w:tr>
      <w:tr w:rsidR="000470D8" w:rsidRPr="000470D8" w14:paraId="7EF21C7B" w14:textId="77777777" w:rsidTr="009877D3">
        <w:tc>
          <w:tcPr>
            <w:tcW w:w="846" w:type="dxa"/>
          </w:tcPr>
          <w:p w14:paraId="61A0E2B7" w14:textId="77777777" w:rsidR="000470D8" w:rsidRPr="000470D8" w:rsidRDefault="000470D8" w:rsidP="00C1515D">
            <w:pPr>
              <w:spacing w:line="259" w:lineRule="auto"/>
              <w:jc w:val="center"/>
            </w:pPr>
            <w:r w:rsidRPr="000470D8">
              <w:t>1</w:t>
            </w:r>
          </w:p>
        </w:tc>
        <w:tc>
          <w:tcPr>
            <w:tcW w:w="6662" w:type="dxa"/>
          </w:tcPr>
          <w:p w14:paraId="74267991" w14:textId="34889B84" w:rsidR="000470D8" w:rsidRPr="000470D8" w:rsidRDefault="000470D8" w:rsidP="00C1515D">
            <w:pPr>
              <w:spacing w:line="259" w:lineRule="auto"/>
              <w:jc w:val="center"/>
            </w:pPr>
            <w:r w:rsidRPr="000470D8">
              <w:t>Osiedla: Redykajny, Gutkowo, Nad Jeziorem Długim, Likusy, Dajtki, Grunwaldzkie, Podgrodzie, Brzeziny, Kortowo</w:t>
            </w:r>
          </w:p>
        </w:tc>
        <w:tc>
          <w:tcPr>
            <w:tcW w:w="1554" w:type="dxa"/>
          </w:tcPr>
          <w:p w14:paraId="0312AFE2" w14:textId="77777777" w:rsidR="000470D8" w:rsidRPr="000470D8" w:rsidRDefault="000470D8" w:rsidP="00C1515D">
            <w:pPr>
              <w:spacing w:line="259" w:lineRule="auto"/>
              <w:jc w:val="center"/>
            </w:pPr>
            <w:r w:rsidRPr="000470D8">
              <w:t>59 %</w:t>
            </w:r>
          </w:p>
        </w:tc>
      </w:tr>
      <w:tr w:rsidR="000470D8" w:rsidRPr="000470D8" w14:paraId="4E184200" w14:textId="77777777" w:rsidTr="009877D3">
        <w:tc>
          <w:tcPr>
            <w:tcW w:w="846" w:type="dxa"/>
          </w:tcPr>
          <w:p w14:paraId="293BA169" w14:textId="77777777" w:rsidR="000470D8" w:rsidRPr="000470D8" w:rsidRDefault="000470D8" w:rsidP="00C1515D">
            <w:pPr>
              <w:spacing w:line="259" w:lineRule="auto"/>
              <w:jc w:val="center"/>
            </w:pPr>
            <w:r w:rsidRPr="000470D8">
              <w:t>2</w:t>
            </w:r>
          </w:p>
        </w:tc>
        <w:tc>
          <w:tcPr>
            <w:tcW w:w="6662" w:type="dxa"/>
          </w:tcPr>
          <w:p w14:paraId="6FABF3F6" w14:textId="77C2EC98" w:rsidR="000470D8" w:rsidRPr="000470D8" w:rsidRDefault="000470D8" w:rsidP="00C1515D">
            <w:pPr>
              <w:spacing w:line="259" w:lineRule="auto"/>
              <w:jc w:val="center"/>
            </w:pPr>
            <w:r w:rsidRPr="000470D8">
              <w:t>Osiedla: Wojska Polskiego, Podleśna, Zatorze, Zielona Górka, Kętrzyńskiego, Pojezierze</w:t>
            </w:r>
          </w:p>
        </w:tc>
        <w:tc>
          <w:tcPr>
            <w:tcW w:w="1554" w:type="dxa"/>
          </w:tcPr>
          <w:p w14:paraId="32BB14C3" w14:textId="77777777" w:rsidR="000470D8" w:rsidRPr="000470D8" w:rsidRDefault="000470D8" w:rsidP="00C1515D">
            <w:pPr>
              <w:spacing w:line="259" w:lineRule="auto"/>
              <w:jc w:val="center"/>
            </w:pPr>
            <w:r w:rsidRPr="000470D8">
              <w:t>51,47 %</w:t>
            </w:r>
          </w:p>
        </w:tc>
      </w:tr>
      <w:tr w:rsidR="000470D8" w:rsidRPr="000470D8" w14:paraId="046AE2EA" w14:textId="77777777" w:rsidTr="009877D3">
        <w:tc>
          <w:tcPr>
            <w:tcW w:w="846" w:type="dxa"/>
          </w:tcPr>
          <w:p w14:paraId="13A8C694" w14:textId="77777777" w:rsidR="000470D8" w:rsidRPr="000470D8" w:rsidRDefault="000470D8" w:rsidP="00C1515D">
            <w:pPr>
              <w:spacing w:line="259" w:lineRule="auto"/>
              <w:jc w:val="center"/>
            </w:pPr>
            <w:r w:rsidRPr="000470D8">
              <w:t>3</w:t>
            </w:r>
          </w:p>
        </w:tc>
        <w:tc>
          <w:tcPr>
            <w:tcW w:w="6662" w:type="dxa"/>
          </w:tcPr>
          <w:p w14:paraId="4CD6E7AB" w14:textId="77777777" w:rsidR="000470D8" w:rsidRPr="000470D8" w:rsidRDefault="000470D8" w:rsidP="00C1515D">
            <w:pPr>
              <w:spacing w:line="259" w:lineRule="auto"/>
              <w:jc w:val="center"/>
            </w:pPr>
            <w:r w:rsidRPr="000470D8">
              <w:t>Osiedla: Śródmieście, Kościuszki, Kormoran, Nagórki, Mazurskie</w:t>
            </w:r>
          </w:p>
        </w:tc>
        <w:tc>
          <w:tcPr>
            <w:tcW w:w="1554" w:type="dxa"/>
          </w:tcPr>
          <w:p w14:paraId="6B826508" w14:textId="77777777" w:rsidR="000470D8" w:rsidRPr="000470D8" w:rsidRDefault="000470D8" w:rsidP="00C1515D">
            <w:pPr>
              <w:spacing w:line="259" w:lineRule="auto"/>
              <w:jc w:val="center"/>
            </w:pPr>
            <w:r w:rsidRPr="000470D8">
              <w:t>55,83 %</w:t>
            </w:r>
          </w:p>
        </w:tc>
      </w:tr>
      <w:tr w:rsidR="000470D8" w:rsidRPr="000470D8" w14:paraId="081EA7DC" w14:textId="77777777" w:rsidTr="009877D3">
        <w:tc>
          <w:tcPr>
            <w:tcW w:w="846" w:type="dxa"/>
          </w:tcPr>
          <w:p w14:paraId="138FD9FE" w14:textId="77777777" w:rsidR="000470D8" w:rsidRPr="000470D8" w:rsidRDefault="000470D8" w:rsidP="00C1515D">
            <w:pPr>
              <w:spacing w:line="259" w:lineRule="auto"/>
              <w:jc w:val="center"/>
            </w:pPr>
            <w:r w:rsidRPr="000470D8">
              <w:t>4</w:t>
            </w:r>
          </w:p>
        </w:tc>
        <w:tc>
          <w:tcPr>
            <w:tcW w:w="6662" w:type="dxa"/>
          </w:tcPr>
          <w:p w14:paraId="10AA947B" w14:textId="0BFB74AA" w:rsidR="000470D8" w:rsidRPr="000470D8" w:rsidRDefault="000470D8" w:rsidP="00C1515D">
            <w:pPr>
              <w:spacing w:line="259" w:lineRule="auto"/>
              <w:jc w:val="center"/>
            </w:pPr>
            <w:r w:rsidRPr="000470D8">
              <w:t>Osiedla: Jaroty, Pieczewo, Generałów</w:t>
            </w:r>
          </w:p>
        </w:tc>
        <w:tc>
          <w:tcPr>
            <w:tcW w:w="1554" w:type="dxa"/>
          </w:tcPr>
          <w:p w14:paraId="7B0EF6CA" w14:textId="77777777" w:rsidR="000470D8" w:rsidRPr="000470D8" w:rsidRDefault="000470D8" w:rsidP="00C1515D">
            <w:pPr>
              <w:spacing w:line="259" w:lineRule="auto"/>
              <w:jc w:val="center"/>
            </w:pPr>
            <w:r w:rsidRPr="000470D8">
              <w:t>58,89 %</w:t>
            </w:r>
          </w:p>
        </w:tc>
      </w:tr>
    </w:tbl>
    <w:p w14:paraId="1B1A5BCC" w14:textId="60D03EBB" w:rsidR="000470D8" w:rsidRDefault="00D5485D" w:rsidP="00D5485D">
      <w:pPr>
        <w:jc w:val="center"/>
        <w:rPr>
          <w:sz w:val="20"/>
        </w:rPr>
      </w:pPr>
      <w:r>
        <w:rPr>
          <w:sz w:val="20"/>
        </w:rPr>
        <w:t>ź</w:t>
      </w:r>
      <w:r w:rsidR="00481F26" w:rsidRPr="00A964B9">
        <w:rPr>
          <w:sz w:val="20"/>
        </w:rPr>
        <w:t xml:space="preserve">ródło danych: </w:t>
      </w:r>
      <w:r w:rsidR="00481F26" w:rsidRPr="00481F26">
        <w:rPr>
          <w:sz w:val="20"/>
        </w:rPr>
        <w:t>https://wybory2018.pkw.gov.pl/pl/geografia/286200#results_vote_council</w:t>
      </w:r>
    </w:p>
    <w:p w14:paraId="53854AC6" w14:textId="77777777" w:rsidR="00481F26" w:rsidRDefault="00481F26" w:rsidP="000470D8">
      <w:pPr>
        <w:jc w:val="both"/>
      </w:pPr>
    </w:p>
    <w:p w14:paraId="5D404F6A" w14:textId="4ADF9E72" w:rsidR="000470D8" w:rsidRPr="000470D8" w:rsidRDefault="000470D8" w:rsidP="000470D8">
      <w:pPr>
        <w:jc w:val="both"/>
      </w:pPr>
      <w:r>
        <w:t>W</w:t>
      </w:r>
      <w:r w:rsidRPr="000470D8">
        <w:t xml:space="preserve">ydzielone w 2018 r. okręgi były znacząco zróżnicowane w kwestii ilości osiedli, które łączyły, ich gęstości zaludnienia i charakterystyki. Pierwszy i drugi okręg składały się z dużej liczby jednostek </w:t>
      </w:r>
      <w:r w:rsidR="00B03A1B">
        <w:br/>
      </w:r>
      <w:r w:rsidRPr="000470D8">
        <w:t>o skrajnie różnych gęstościach zaludnienia. Z kolei okręg czwarty to tylko 3 osiedla o podobnym zagęszczeniu ludności. Każdy okręg zawierał chociaż jedną dzielnicę z gęsto zaludnionego pasa od centrum miasta do jego południowej części.</w:t>
      </w:r>
    </w:p>
    <w:p w14:paraId="07337917" w14:textId="2CC8ED51" w:rsidR="000470D8" w:rsidRDefault="000470D8" w:rsidP="000470D8">
      <w:pPr>
        <w:jc w:val="both"/>
      </w:pPr>
    </w:p>
    <w:p w14:paraId="0755A99A" w14:textId="0B915726" w:rsidR="00B03A1B" w:rsidRPr="005755C8" w:rsidRDefault="00B03A1B" w:rsidP="00B03A1B">
      <w:pPr>
        <w:pStyle w:val="Legenda"/>
        <w:rPr>
          <w:sz w:val="22"/>
          <w:szCs w:val="22"/>
          <w:lang w:val="pl-PL"/>
        </w:rPr>
      </w:pPr>
      <w:bookmarkStart w:id="65" w:name="_Toc73516171"/>
      <w:r w:rsidRPr="005755C8">
        <w:rPr>
          <w:sz w:val="22"/>
          <w:szCs w:val="22"/>
          <w:lang w:val="pl-PL"/>
        </w:rPr>
        <w:lastRenderedPageBreak/>
        <w:t xml:space="preserve">Rysunek </w:t>
      </w:r>
      <w:r w:rsidRPr="005755C8">
        <w:rPr>
          <w:sz w:val="22"/>
          <w:szCs w:val="22"/>
        </w:rPr>
        <w:fldChar w:fldCharType="begin"/>
      </w:r>
      <w:r w:rsidRPr="005755C8">
        <w:rPr>
          <w:sz w:val="22"/>
          <w:szCs w:val="22"/>
          <w:lang w:val="pl-PL"/>
        </w:rPr>
        <w:instrText xml:space="preserve"> SEQ Rysunek \* ARABIC </w:instrText>
      </w:r>
      <w:r w:rsidRPr="005755C8">
        <w:rPr>
          <w:sz w:val="22"/>
          <w:szCs w:val="22"/>
        </w:rPr>
        <w:fldChar w:fldCharType="separate"/>
      </w:r>
      <w:r w:rsidR="00AD58C3">
        <w:rPr>
          <w:noProof/>
          <w:sz w:val="22"/>
          <w:szCs w:val="22"/>
          <w:lang w:val="pl-PL"/>
        </w:rPr>
        <w:t>6</w:t>
      </w:r>
      <w:r w:rsidRPr="005755C8">
        <w:rPr>
          <w:sz w:val="22"/>
          <w:szCs w:val="22"/>
        </w:rPr>
        <w:fldChar w:fldCharType="end"/>
      </w:r>
      <w:r w:rsidRPr="005755C8">
        <w:rPr>
          <w:sz w:val="22"/>
          <w:szCs w:val="22"/>
          <w:lang w:val="pl-PL"/>
        </w:rPr>
        <w:t xml:space="preserve">. Frekwencja w okręgach wyborczych w wyborach samorządowych </w:t>
      </w:r>
      <w:r w:rsidR="00191B3D">
        <w:rPr>
          <w:sz w:val="22"/>
          <w:szCs w:val="22"/>
          <w:lang w:val="pl-PL"/>
        </w:rPr>
        <w:t>(</w:t>
      </w:r>
      <w:r w:rsidRPr="005755C8">
        <w:rPr>
          <w:sz w:val="22"/>
          <w:szCs w:val="22"/>
          <w:lang w:val="pl-PL"/>
        </w:rPr>
        <w:t>2018</w:t>
      </w:r>
      <w:r w:rsidR="00191B3D">
        <w:rPr>
          <w:sz w:val="22"/>
          <w:szCs w:val="22"/>
          <w:lang w:val="pl-PL"/>
        </w:rPr>
        <w:t>)</w:t>
      </w:r>
      <w:bookmarkEnd w:id="65"/>
    </w:p>
    <w:p w14:paraId="34311CF9" w14:textId="77777777" w:rsidR="005337C3" w:rsidRDefault="000470D8" w:rsidP="005337C3">
      <w:pPr>
        <w:keepNext/>
        <w:jc w:val="center"/>
      </w:pPr>
      <w:r w:rsidRPr="000470D8">
        <w:rPr>
          <w:noProof/>
          <w:lang w:eastAsia="pl-PL"/>
        </w:rPr>
        <w:drawing>
          <wp:inline distT="0" distB="0" distL="0" distR="0" wp14:anchorId="42055C8A" wp14:editId="62BBE3EF">
            <wp:extent cx="5760720" cy="4642485"/>
            <wp:effectExtent l="0" t="0" r="0" b="5715"/>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4642485"/>
                    </a:xfrm>
                    <a:prstGeom prst="rect">
                      <a:avLst/>
                    </a:prstGeom>
                  </pic:spPr>
                </pic:pic>
              </a:graphicData>
            </a:graphic>
          </wp:inline>
        </w:drawing>
      </w:r>
    </w:p>
    <w:p w14:paraId="2833762C" w14:textId="07BB7571" w:rsidR="00B03A1B" w:rsidRDefault="00B03A1B" w:rsidP="00B03A1B">
      <w:pPr>
        <w:spacing w:after="0" w:line="240" w:lineRule="auto"/>
        <w:jc w:val="center"/>
        <w:rPr>
          <w:i/>
          <w:sz w:val="20"/>
          <w:szCs w:val="20"/>
        </w:rPr>
      </w:pPr>
      <w:r>
        <w:rPr>
          <w:i/>
          <w:sz w:val="20"/>
          <w:szCs w:val="20"/>
        </w:rPr>
        <w:t>ź</w:t>
      </w:r>
      <w:r w:rsidR="005337C3" w:rsidRPr="00B03A1B">
        <w:rPr>
          <w:i/>
          <w:sz w:val="20"/>
          <w:szCs w:val="20"/>
        </w:rPr>
        <w:t>ródło danych:  https://wybory2018.pkw.gov.pl/pl/geografi</w:t>
      </w:r>
      <w:r>
        <w:rPr>
          <w:i/>
          <w:sz w:val="20"/>
          <w:szCs w:val="20"/>
        </w:rPr>
        <w:t>a/286200#general_committee_stat</w:t>
      </w:r>
      <w:r w:rsidR="005337C3" w:rsidRPr="00B03A1B">
        <w:rPr>
          <w:i/>
          <w:sz w:val="20"/>
          <w:szCs w:val="20"/>
        </w:rPr>
        <w:t xml:space="preserve"> </w:t>
      </w:r>
    </w:p>
    <w:p w14:paraId="5CB92A31" w14:textId="353AB4B6" w:rsidR="000470D8" w:rsidRPr="00B03A1B" w:rsidRDefault="005337C3" w:rsidP="00B03A1B">
      <w:pPr>
        <w:spacing w:after="0" w:line="240" w:lineRule="auto"/>
        <w:jc w:val="center"/>
        <w:rPr>
          <w:i/>
          <w:sz w:val="20"/>
          <w:szCs w:val="20"/>
        </w:rPr>
      </w:pPr>
      <w:r w:rsidRPr="00B03A1B">
        <w:rPr>
          <w:i/>
          <w:sz w:val="20"/>
          <w:szCs w:val="20"/>
        </w:rPr>
        <w:t>Podkład: Mapa akustyczna Olsztyna; str. 10</w:t>
      </w:r>
    </w:p>
    <w:p w14:paraId="4847AAB3" w14:textId="77777777" w:rsidR="000470D8" w:rsidRPr="000470D8" w:rsidRDefault="000470D8" w:rsidP="000470D8">
      <w:pPr>
        <w:jc w:val="both"/>
      </w:pPr>
    </w:p>
    <w:p w14:paraId="006C6355" w14:textId="2CEAB2F8" w:rsidR="000470D8" w:rsidRPr="000470D8" w:rsidRDefault="000470D8" w:rsidP="000470D8">
      <w:pPr>
        <w:jc w:val="both"/>
      </w:pPr>
      <w:r w:rsidRPr="000470D8">
        <w:t>Różnica we frekwencji w wyznaczonych okręgach nie różniła się znacząco od siebie. Różnice nie przekraczały 8 punktów procentowych. Wszystkie okręgi miały przy tym frekwencję wyższą niż średnia dla kraju, która wynosiła 48,83 %</w:t>
      </w:r>
      <w:r w:rsidRPr="000470D8">
        <w:rPr>
          <w:vertAlign w:val="superscript"/>
        </w:rPr>
        <w:footnoteReference w:id="18"/>
      </w:r>
      <w:r w:rsidRPr="000470D8">
        <w:t xml:space="preserve">. Najniższą frekwencję zanotował okręg nr.2, który obejmował północny wschód miasta, w tym jedną dzielnicę o wysokiej koncentracji ludności (Zatorze) i jedną </w:t>
      </w:r>
      <w:r w:rsidR="00B03A1B">
        <w:br/>
      </w:r>
      <w:r w:rsidRPr="000470D8">
        <w:t xml:space="preserve">o bardzo niskiej (Zielona Górka). Najwyższe, zbliżone do siebie wartości wskaźnika zanotowały okręgi 1 i 4, które obejmowały zachodnią i południową część miasta. </w:t>
      </w:r>
    </w:p>
    <w:p w14:paraId="592B603C" w14:textId="7A70A582" w:rsidR="000470D8" w:rsidRPr="000470D8" w:rsidRDefault="000470D8" w:rsidP="000470D8">
      <w:pPr>
        <w:jc w:val="both"/>
      </w:pPr>
      <w:r w:rsidRPr="000470D8">
        <w:t xml:space="preserve">W Olsztynie wyznaczono 101 obwodów wyborczych, które w przeciwieństwie do okręgów funkcjonują niezmiennie w każdych wyborach. Występują różne typy obwodów, w zależności gdzie się znajdują </w:t>
      </w:r>
      <w:r w:rsidR="00B03A1B">
        <w:br/>
      </w:r>
      <w:r w:rsidRPr="000470D8">
        <w:t xml:space="preserve">i dla kogo są przeznaczone. Głównym typem są obwody stałe. Poza nimi w Olsztynie znajdują się obwody w areszcie śledczym (1), oddziale wewnętrznym aresztu śledczego (1), domach pomocy społecznej (5) i zakładach leczniczych (7). Wyłączając niestandardowe obwody głosowania, pozostają 87 stałe obwody, dla których wyniki można uznać za świadczące o kapitale społecznym. </w:t>
      </w:r>
    </w:p>
    <w:p w14:paraId="7017CC04" w14:textId="57F01258" w:rsidR="000470D8" w:rsidRPr="000470D8" w:rsidRDefault="000470D8" w:rsidP="000470D8">
      <w:pPr>
        <w:jc w:val="both"/>
      </w:pPr>
      <w:r w:rsidRPr="000470D8">
        <w:t>Ostatnie wybory, z których dostępne są oficjalne statystyki odnośnie frekwencji, to wybory prezydenckie 28.06.2020 r</w:t>
      </w:r>
      <w:r w:rsidRPr="000470D8">
        <w:rPr>
          <w:vertAlign w:val="superscript"/>
        </w:rPr>
        <w:footnoteReference w:id="19"/>
      </w:r>
      <w:r w:rsidRPr="000470D8">
        <w:t xml:space="preserve">. W tych wyborach średnia oraz mediana frekwencji dla obwodów stałych </w:t>
      </w:r>
      <w:r w:rsidRPr="000470D8">
        <w:lastRenderedPageBreak/>
        <w:t xml:space="preserve">w Olsztynie wynosiła około 71%. Odchylenie standardowe od średniej wynosiło ponad 5%. Pięć najniższych wyników frekwencji w olsztyńskich obwodach głosowania wynosiło od 58% do 61%, natomiast pięć najwyższych – od 79,98% do 85%. </w:t>
      </w:r>
    </w:p>
    <w:p w14:paraId="36A1E7CE" w14:textId="77777777" w:rsidR="005755C8" w:rsidRDefault="005755C8" w:rsidP="005755C8">
      <w:pPr>
        <w:pStyle w:val="Legenda"/>
        <w:rPr>
          <w:sz w:val="20"/>
          <w:lang w:val="pl-PL"/>
        </w:rPr>
      </w:pPr>
    </w:p>
    <w:p w14:paraId="2ED62336" w14:textId="261F9484" w:rsidR="005755C8" w:rsidRPr="005755C8" w:rsidRDefault="005755C8" w:rsidP="005755C8">
      <w:pPr>
        <w:pStyle w:val="Legenda"/>
        <w:rPr>
          <w:sz w:val="22"/>
          <w:szCs w:val="22"/>
          <w:lang w:val="pl-PL"/>
        </w:rPr>
      </w:pPr>
      <w:bookmarkStart w:id="66" w:name="_Toc73516172"/>
      <w:r w:rsidRPr="005755C8">
        <w:rPr>
          <w:sz w:val="22"/>
          <w:szCs w:val="22"/>
          <w:lang w:val="pl-PL"/>
        </w:rPr>
        <w:t xml:space="preserve">Rysunek </w:t>
      </w:r>
      <w:r w:rsidRPr="005755C8">
        <w:rPr>
          <w:sz w:val="22"/>
          <w:szCs w:val="22"/>
        </w:rPr>
        <w:fldChar w:fldCharType="begin"/>
      </w:r>
      <w:r w:rsidRPr="005755C8">
        <w:rPr>
          <w:sz w:val="22"/>
          <w:szCs w:val="22"/>
          <w:lang w:val="pl-PL"/>
        </w:rPr>
        <w:instrText xml:space="preserve"> SEQ Rysunek \* ARABIC </w:instrText>
      </w:r>
      <w:r w:rsidRPr="005755C8">
        <w:rPr>
          <w:sz w:val="22"/>
          <w:szCs w:val="22"/>
        </w:rPr>
        <w:fldChar w:fldCharType="separate"/>
      </w:r>
      <w:r w:rsidR="00AD58C3">
        <w:rPr>
          <w:noProof/>
          <w:sz w:val="22"/>
          <w:szCs w:val="22"/>
          <w:lang w:val="pl-PL"/>
        </w:rPr>
        <w:t>7</w:t>
      </w:r>
      <w:r w:rsidRPr="005755C8">
        <w:rPr>
          <w:sz w:val="22"/>
          <w:szCs w:val="22"/>
        </w:rPr>
        <w:fldChar w:fldCharType="end"/>
      </w:r>
      <w:r w:rsidRPr="005755C8">
        <w:rPr>
          <w:sz w:val="22"/>
          <w:szCs w:val="22"/>
          <w:lang w:val="pl-PL"/>
        </w:rPr>
        <w:t xml:space="preserve">. Poglądowe rozmieszczenie obwodów wyborczych z najniższą i najwyższą frekwencją </w:t>
      </w:r>
      <w:r w:rsidR="009453C0">
        <w:rPr>
          <w:sz w:val="22"/>
          <w:szCs w:val="22"/>
          <w:lang w:val="pl-PL"/>
        </w:rPr>
        <w:br/>
      </w:r>
      <w:r w:rsidRPr="005755C8">
        <w:rPr>
          <w:sz w:val="22"/>
          <w:szCs w:val="22"/>
          <w:lang w:val="pl-PL"/>
        </w:rPr>
        <w:t>w 2020 r.</w:t>
      </w:r>
      <w:bookmarkEnd w:id="66"/>
      <w:r w:rsidRPr="005755C8">
        <w:rPr>
          <w:sz w:val="22"/>
          <w:szCs w:val="22"/>
          <w:lang w:val="pl-PL"/>
        </w:rPr>
        <w:t xml:space="preserve"> </w:t>
      </w:r>
    </w:p>
    <w:p w14:paraId="19ECF7EA" w14:textId="77777777" w:rsidR="005337C3" w:rsidRDefault="000470D8" w:rsidP="005337C3">
      <w:pPr>
        <w:keepNext/>
        <w:jc w:val="center"/>
      </w:pPr>
      <w:r w:rsidRPr="000470D8">
        <w:rPr>
          <w:noProof/>
          <w:lang w:eastAsia="pl-PL"/>
        </w:rPr>
        <w:drawing>
          <wp:inline distT="0" distB="0" distL="0" distR="0" wp14:anchorId="5D2444CE" wp14:editId="53706BC6">
            <wp:extent cx="4581525" cy="3896216"/>
            <wp:effectExtent l="0" t="0" r="0" b="9525"/>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589921" cy="3903356"/>
                    </a:xfrm>
                    <a:prstGeom prst="rect">
                      <a:avLst/>
                    </a:prstGeom>
                  </pic:spPr>
                </pic:pic>
              </a:graphicData>
            </a:graphic>
          </wp:inline>
        </w:drawing>
      </w:r>
    </w:p>
    <w:p w14:paraId="567BCC0A" w14:textId="7DB95A24" w:rsidR="009453C0" w:rsidRDefault="009453C0" w:rsidP="009453C0">
      <w:pPr>
        <w:pStyle w:val="Legenda"/>
        <w:spacing w:before="0" w:after="0" w:line="240" w:lineRule="auto"/>
        <w:jc w:val="center"/>
        <w:rPr>
          <w:sz w:val="20"/>
          <w:lang w:val="pl-PL"/>
        </w:rPr>
      </w:pPr>
      <w:r>
        <w:rPr>
          <w:sz w:val="20"/>
          <w:lang w:val="pl-PL"/>
        </w:rPr>
        <w:t>ź</w:t>
      </w:r>
      <w:r w:rsidR="005337C3" w:rsidRPr="005337C3">
        <w:rPr>
          <w:sz w:val="20"/>
          <w:lang w:val="pl-PL"/>
        </w:rPr>
        <w:t xml:space="preserve">ródło danych: </w:t>
      </w:r>
      <w:hyperlink r:id="rId48" w:history="1">
        <w:r w:rsidRPr="008E4A1C">
          <w:rPr>
            <w:rStyle w:val="Hipercze"/>
            <w:sz w:val="20"/>
            <w:lang w:val="pl-PL"/>
          </w:rPr>
          <w:t>https://prezydent20200628.pkw.gov.pl/prezydent20200628/pl/dane_w_arkuszach</w:t>
        </w:r>
      </w:hyperlink>
      <w:r w:rsidR="005337C3" w:rsidRPr="005337C3">
        <w:rPr>
          <w:sz w:val="20"/>
          <w:lang w:val="pl-PL"/>
        </w:rPr>
        <w:t xml:space="preserve"> </w:t>
      </w:r>
    </w:p>
    <w:p w14:paraId="392C6167" w14:textId="722A2935" w:rsidR="000470D8" w:rsidRPr="005337C3" w:rsidRDefault="005337C3" w:rsidP="009453C0">
      <w:pPr>
        <w:pStyle w:val="Legenda"/>
        <w:spacing w:before="0" w:after="0" w:line="240" w:lineRule="auto"/>
        <w:jc w:val="center"/>
        <w:rPr>
          <w:sz w:val="20"/>
          <w:lang w:val="pl-PL"/>
        </w:rPr>
      </w:pPr>
      <w:r w:rsidRPr="005337C3">
        <w:rPr>
          <w:sz w:val="20"/>
          <w:lang w:val="pl-PL"/>
        </w:rPr>
        <w:t>Podkład: Mapa akustyczna Olsztyna; str. 10</w:t>
      </w:r>
    </w:p>
    <w:p w14:paraId="280AC932" w14:textId="26621DB9" w:rsidR="000470D8" w:rsidRPr="000470D8" w:rsidRDefault="000470D8" w:rsidP="000470D8">
      <w:pPr>
        <w:jc w:val="both"/>
      </w:pPr>
    </w:p>
    <w:p w14:paraId="40D5451A" w14:textId="77777777" w:rsidR="000470D8" w:rsidRPr="000470D8" w:rsidRDefault="000470D8" w:rsidP="000470D8">
      <w:pPr>
        <w:jc w:val="both"/>
      </w:pPr>
      <w:r w:rsidRPr="000470D8">
        <w:t>Rozkład przestrzenny obwodów z najwyższą i najniższą frekwencją w wyborach prezydenckich w 2020 r. sugeruje, że bardziej zaangażowanymi wyborcami byli mieszkańcy zachodniej części Olsztyna. Najniższe wyniki odnotowano w punktach znajdujących się w centrum miasta, z ukierunkowaniem na wschód.</w:t>
      </w:r>
    </w:p>
    <w:p w14:paraId="29685C80" w14:textId="50C8CA4A" w:rsidR="000470D8" w:rsidRDefault="000470D8" w:rsidP="000470D8">
      <w:pPr>
        <w:jc w:val="both"/>
      </w:pPr>
      <w:r w:rsidRPr="000470D8">
        <w:t>Z powyższych danych można wnioskować, że skala zaangażowania społecznego w wybory jest podobna w całym mieście. Mieszkańcy wschodniej części Olsztyna są w niewielkim stopniu mniej zaangażowani niż mieszkańcy południowych i wschodnich obszarów.</w:t>
      </w:r>
    </w:p>
    <w:p w14:paraId="4FBC6286" w14:textId="4E302E2D" w:rsidR="00993A0C" w:rsidRDefault="00993A0C" w:rsidP="000470D8">
      <w:pPr>
        <w:jc w:val="both"/>
      </w:pPr>
      <w:r>
        <w:br w:type="page"/>
      </w:r>
    </w:p>
    <w:p w14:paraId="091C885F" w14:textId="2AD528CB" w:rsidR="00051121" w:rsidRDefault="00051121" w:rsidP="00C83F27">
      <w:pPr>
        <w:pStyle w:val="Nagwek1"/>
        <w:numPr>
          <w:ilvl w:val="0"/>
          <w:numId w:val="31"/>
        </w:numPr>
        <w:ind w:left="284"/>
      </w:pPr>
      <w:bookmarkStart w:id="67" w:name="_Toc73534901"/>
      <w:r>
        <w:lastRenderedPageBreak/>
        <w:t>Środowisko</w:t>
      </w:r>
      <w:bookmarkEnd w:id="67"/>
    </w:p>
    <w:p w14:paraId="4E8AC9B0" w14:textId="77777777" w:rsidR="00B811C7" w:rsidRPr="00B811C7" w:rsidRDefault="00B811C7" w:rsidP="00B811C7"/>
    <w:p w14:paraId="25B41A85" w14:textId="77777777" w:rsidR="00051121" w:rsidRDefault="00C83F27" w:rsidP="00051121">
      <w:pPr>
        <w:pStyle w:val="Nagwek2"/>
      </w:pPr>
      <w:bookmarkStart w:id="68" w:name="_Toc73534902"/>
      <w:r>
        <w:t xml:space="preserve">2.1 </w:t>
      </w:r>
      <w:r w:rsidR="00051121">
        <w:t>Środowisko naturalne i zanieczyszczenia</w:t>
      </w:r>
      <w:bookmarkEnd w:id="68"/>
    </w:p>
    <w:p w14:paraId="096A2DCC" w14:textId="77777777" w:rsidR="00051121" w:rsidRDefault="00C83F27" w:rsidP="00051121">
      <w:pPr>
        <w:pStyle w:val="Nagwek3"/>
      </w:pPr>
      <w:bookmarkStart w:id="69" w:name="_Toc73534903"/>
      <w:r>
        <w:t xml:space="preserve">2.1.1 </w:t>
      </w:r>
      <w:r w:rsidR="00302A80">
        <w:t>Środowisko naturalne</w:t>
      </w:r>
      <w:bookmarkEnd w:id="69"/>
    </w:p>
    <w:p w14:paraId="496B978B" w14:textId="6237407E" w:rsidR="00051121" w:rsidRDefault="00051121" w:rsidP="00051121">
      <w:pPr>
        <w:jc w:val="both"/>
        <w:rPr>
          <w:color w:val="000000" w:themeColor="text1"/>
        </w:rPr>
      </w:pPr>
      <w:r w:rsidRPr="00995ECE">
        <w:rPr>
          <w:color w:val="000000" w:themeColor="text1"/>
        </w:rPr>
        <w:t xml:space="preserve">Olsztyn to miasto o bardzo urozmaiconych walorach środowiska przyrodniczego. Elementami systemu przyrodniczego w granicach administracyjnych Olsztyna są tereny leśne, rolnicze oraz wody śródlądowe i ich otoczenie. </w:t>
      </w:r>
      <w:r w:rsidR="00BE4F3D">
        <w:rPr>
          <w:color w:val="000000" w:themeColor="text1"/>
        </w:rPr>
        <w:t>Z analizy dostępnych danych wynika, że w roku 2019 powierzchnia gruntów zajętych lasami plasuje Olsztyn (1897,3 ha) wśród omawianych miast Polski Wschodniej na drugiej pozy</w:t>
      </w:r>
      <w:r w:rsidR="002464FE">
        <w:rPr>
          <w:color w:val="000000" w:themeColor="text1"/>
        </w:rPr>
        <w:t>cji tuż za Kielcami (2352,5 ha).</w:t>
      </w:r>
    </w:p>
    <w:p w14:paraId="72918439" w14:textId="34B9B434" w:rsidR="009453C0" w:rsidRPr="00995ECE" w:rsidRDefault="009453C0" w:rsidP="009453C0">
      <w:pPr>
        <w:pStyle w:val="Legenda"/>
        <w:rPr>
          <w:color w:val="000000" w:themeColor="text1"/>
        </w:rPr>
      </w:pPr>
      <w:bookmarkStart w:id="70" w:name="_Toc73534973"/>
      <w:r w:rsidRPr="009453C0">
        <w:rPr>
          <w:sz w:val="22"/>
          <w:szCs w:val="22"/>
        </w:rPr>
        <w:t xml:space="preserve">Tabela </w:t>
      </w:r>
      <w:r w:rsidRPr="009453C0">
        <w:rPr>
          <w:sz w:val="22"/>
          <w:szCs w:val="22"/>
        </w:rPr>
        <w:fldChar w:fldCharType="begin"/>
      </w:r>
      <w:r w:rsidRPr="009453C0">
        <w:rPr>
          <w:sz w:val="22"/>
          <w:szCs w:val="22"/>
        </w:rPr>
        <w:instrText xml:space="preserve"> SEQ Tabela \* ARABIC </w:instrText>
      </w:r>
      <w:r w:rsidRPr="009453C0">
        <w:rPr>
          <w:sz w:val="22"/>
          <w:szCs w:val="22"/>
        </w:rPr>
        <w:fldChar w:fldCharType="separate"/>
      </w:r>
      <w:r w:rsidR="00AD58C3">
        <w:rPr>
          <w:noProof/>
          <w:sz w:val="22"/>
          <w:szCs w:val="22"/>
        </w:rPr>
        <w:t>10</w:t>
      </w:r>
      <w:r w:rsidRPr="009453C0">
        <w:rPr>
          <w:sz w:val="22"/>
          <w:szCs w:val="22"/>
        </w:rPr>
        <w:fldChar w:fldCharType="end"/>
      </w:r>
      <w:r w:rsidRPr="009453C0">
        <w:rPr>
          <w:sz w:val="22"/>
          <w:szCs w:val="22"/>
        </w:rPr>
        <w:t>. Powierzchnia gruntów leśnych (ha)</w:t>
      </w:r>
      <w:bookmarkEnd w:id="70"/>
    </w:p>
    <w:tbl>
      <w:tblPr>
        <w:tblW w:w="8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6"/>
        <w:gridCol w:w="992"/>
        <w:gridCol w:w="993"/>
        <w:gridCol w:w="992"/>
        <w:gridCol w:w="992"/>
        <w:gridCol w:w="992"/>
        <w:gridCol w:w="993"/>
        <w:gridCol w:w="1012"/>
      </w:tblGrid>
      <w:tr w:rsidR="004508B2" w:rsidRPr="004508B2" w14:paraId="79856B63" w14:textId="77777777" w:rsidTr="00E238CC">
        <w:trPr>
          <w:trHeight w:val="300"/>
          <w:jc w:val="center"/>
        </w:trPr>
        <w:tc>
          <w:tcPr>
            <w:tcW w:w="1276" w:type="dxa"/>
            <w:tcBorders>
              <w:top w:val="nil"/>
              <w:left w:val="nil"/>
              <w:bottom w:val="single" w:sz="4" w:space="0" w:color="auto"/>
              <w:right w:val="single" w:sz="4" w:space="0" w:color="auto"/>
            </w:tcBorders>
            <w:shd w:val="clear" w:color="auto" w:fill="auto"/>
            <w:vAlign w:val="center"/>
            <w:hideMark/>
          </w:tcPr>
          <w:p w14:paraId="1CB00C7A" w14:textId="77777777" w:rsidR="004508B2" w:rsidRPr="004508B2" w:rsidRDefault="004508B2" w:rsidP="004508B2">
            <w:pPr>
              <w:spacing w:after="0" w:line="240" w:lineRule="auto"/>
              <w:rPr>
                <w:rFonts w:ascii="Calibri" w:eastAsia="Times New Roman" w:hAnsi="Calibri" w:cs="Times New Roman"/>
                <w:color w:val="000000"/>
                <w:lang w:eastAsia="pl-PL"/>
              </w:rPr>
            </w:pPr>
            <w:r w:rsidRPr="004508B2">
              <w:rPr>
                <w:rFonts w:ascii="Calibri" w:eastAsia="Times New Roman" w:hAnsi="Calibri" w:cs="Times New Roman"/>
                <w:color w:val="000000"/>
                <w:lang w:eastAsia="pl-PL"/>
              </w:rPr>
              <w:t> </w:t>
            </w:r>
          </w:p>
        </w:tc>
        <w:tc>
          <w:tcPr>
            <w:tcW w:w="992" w:type="dxa"/>
            <w:tcBorders>
              <w:left w:val="single" w:sz="4" w:space="0" w:color="auto"/>
            </w:tcBorders>
            <w:shd w:val="clear" w:color="auto" w:fill="92D050"/>
            <w:vAlign w:val="center"/>
            <w:hideMark/>
          </w:tcPr>
          <w:p w14:paraId="28DB5CAB" w14:textId="77777777" w:rsidR="004508B2" w:rsidRPr="004508B2" w:rsidRDefault="004508B2" w:rsidP="004508B2">
            <w:pPr>
              <w:spacing w:after="0" w:line="240" w:lineRule="auto"/>
              <w:jc w:val="center"/>
              <w:rPr>
                <w:rFonts w:ascii="Calibri" w:eastAsia="Times New Roman" w:hAnsi="Calibri" w:cs="Times New Roman"/>
                <w:b/>
                <w:color w:val="000000"/>
                <w:lang w:eastAsia="pl-PL"/>
              </w:rPr>
            </w:pPr>
            <w:r w:rsidRPr="004508B2">
              <w:rPr>
                <w:rFonts w:ascii="Calibri" w:eastAsia="Times New Roman" w:hAnsi="Calibri" w:cs="Times New Roman"/>
                <w:b/>
                <w:color w:val="000000"/>
                <w:lang w:eastAsia="pl-PL"/>
              </w:rPr>
              <w:t>2013</w:t>
            </w:r>
          </w:p>
        </w:tc>
        <w:tc>
          <w:tcPr>
            <w:tcW w:w="993" w:type="dxa"/>
            <w:shd w:val="clear" w:color="auto" w:fill="92D050"/>
            <w:vAlign w:val="center"/>
            <w:hideMark/>
          </w:tcPr>
          <w:p w14:paraId="027ED661" w14:textId="77777777" w:rsidR="004508B2" w:rsidRPr="004508B2" w:rsidRDefault="004508B2" w:rsidP="004508B2">
            <w:pPr>
              <w:spacing w:after="0" w:line="240" w:lineRule="auto"/>
              <w:jc w:val="center"/>
              <w:rPr>
                <w:rFonts w:ascii="Calibri" w:eastAsia="Times New Roman" w:hAnsi="Calibri" w:cs="Times New Roman"/>
                <w:b/>
                <w:color w:val="000000"/>
                <w:lang w:eastAsia="pl-PL"/>
              </w:rPr>
            </w:pPr>
            <w:r w:rsidRPr="004508B2">
              <w:rPr>
                <w:rFonts w:ascii="Calibri" w:eastAsia="Times New Roman" w:hAnsi="Calibri" w:cs="Times New Roman"/>
                <w:b/>
                <w:color w:val="000000"/>
                <w:lang w:eastAsia="pl-PL"/>
              </w:rPr>
              <w:t>2014</w:t>
            </w:r>
          </w:p>
        </w:tc>
        <w:tc>
          <w:tcPr>
            <w:tcW w:w="992" w:type="dxa"/>
            <w:shd w:val="clear" w:color="auto" w:fill="92D050"/>
            <w:vAlign w:val="center"/>
            <w:hideMark/>
          </w:tcPr>
          <w:p w14:paraId="56F2FAF0" w14:textId="77777777" w:rsidR="004508B2" w:rsidRPr="004508B2" w:rsidRDefault="004508B2" w:rsidP="004508B2">
            <w:pPr>
              <w:spacing w:after="0" w:line="240" w:lineRule="auto"/>
              <w:jc w:val="center"/>
              <w:rPr>
                <w:rFonts w:ascii="Calibri" w:eastAsia="Times New Roman" w:hAnsi="Calibri" w:cs="Times New Roman"/>
                <w:b/>
                <w:color w:val="000000"/>
                <w:lang w:eastAsia="pl-PL"/>
              </w:rPr>
            </w:pPr>
            <w:r w:rsidRPr="004508B2">
              <w:rPr>
                <w:rFonts w:ascii="Calibri" w:eastAsia="Times New Roman" w:hAnsi="Calibri" w:cs="Times New Roman"/>
                <w:b/>
                <w:color w:val="000000"/>
                <w:lang w:eastAsia="pl-PL"/>
              </w:rPr>
              <w:t>2015</w:t>
            </w:r>
          </w:p>
        </w:tc>
        <w:tc>
          <w:tcPr>
            <w:tcW w:w="992" w:type="dxa"/>
            <w:shd w:val="clear" w:color="auto" w:fill="92D050"/>
            <w:vAlign w:val="center"/>
            <w:hideMark/>
          </w:tcPr>
          <w:p w14:paraId="4291AFC4" w14:textId="77777777" w:rsidR="004508B2" w:rsidRPr="004508B2" w:rsidRDefault="004508B2" w:rsidP="004508B2">
            <w:pPr>
              <w:spacing w:after="0" w:line="240" w:lineRule="auto"/>
              <w:jc w:val="center"/>
              <w:rPr>
                <w:rFonts w:ascii="Calibri" w:eastAsia="Times New Roman" w:hAnsi="Calibri" w:cs="Times New Roman"/>
                <w:b/>
                <w:color w:val="000000"/>
                <w:lang w:eastAsia="pl-PL"/>
              </w:rPr>
            </w:pPr>
            <w:r w:rsidRPr="004508B2">
              <w:rPr>
                <w:rFonts w:ascii="Calibri" w:eastAsia="Times New Roman" w:hAnsi="Calibri" w:cs="Times New Roman"/>
                <w:b/>
                <w:color w:val="000000"/>
                <w:lang w:eastAsia="pl-PL"/>
              </w:rPr>
              <w:t>2016</w:t>
            </w:r>
          </w:p>
        </w:tc>
        <w:tc>
          <w:tcPr>
            <w:tcW w:w="992" w:type="dxa"/>
            <w:shd w:val="clear" w:color="auto" w:fill="92D050"/>
            <w:vAlign w:val="center"/>
            <w:hideMark/>
          </w:tcPr>
          <w:p w14:paraId="6A10D63B" w14:textId="77777777" w:rsidR="004508B2" w:rsidRPr="004508B2" w:rsidRDefault="004508B2" w:rsidP="004508B2">
            <w:pPr>
              <w:spacing w:after="0" w:line="240" w:lineRule="auto"/>
              <w:jc w:val="center"/>
              <w:rPr>
                <w:rFonts w:ascii="Calibri" w:eastAsia="Times New Roman" w:hAnsi="Calibri" w:cs="Times New Roman"/>
                <w:b/>
                <w:color w:val="000000"/>
                <w:lang w:eastAsia="pl-PL"/>
              </w:rPr>
            </w:pPr>
            <w:r w:rsidRPr="004508B2">
              <w:rPr>
                <w:rFonts w:ascii="Calibri" w:eastAsia="Times New Roman" w:hAnsi="Calibri" w:cs="Times New Roman"/>
                <w:b/>
                <w:color w:val="000000"/>
                <w:lang w:eastAsia="pl-PL"/>
              </w:rPr>
              <w:t>2017</w:t>
            </w:r>
          </w:p>
        </w:tc>
        <w:tc>
          <w:tcPr>
            <w:tcW w:w="993" w:type="dxa"/>
            <w:shd w:val="clear" w:color="auto" w:fill="92D050"/>
            <w:vAlign w:val="center"/>
            <w:hideMark/>
          </w:tcPr>
          <w:p w14:paraId="22F78215" w14:textId="77777777" w:rsidR="004508B2" w:rsidRPr="004508B2" w:rsidRDefault="004508B2" w:rsidP="004508B2">
            <w:pPr>
              <w:spacing w:after="0" w:line="240" w:lineRule="auto"/>
              <w:jc w:val="center"/>
              <w:rPr>
                <w:rFonts w:ascii="Calibri" w:eastAsia="Times New Roman" w:hAnsi="Calibri" w:cs="Times New Roman"/>
                <w:b/>
                <w:color w:val="000000"/>
                <w:lang w:eastAsia="pl-PL"/>
              </w:rPr>
            </w:pPr>
            <w:r w:rsidRPr="004508B2">
              <w:rPr>
                <w:rFonts w:ascii="Calibri" w:eastAsia="Times New Roman" w:hAnsi="Calibri" w:cs="Times New Roman"/>
                <w:b/>
                <w:color w:val="000000"/>
                <w:lang w:eastAsia="pl-PL"/>
              </w:rPr>
              <w:t>2018</w:t>
            </w:r>
          </w:p>
        </w:tc>
        <w:tc>
          <w:tcPr>
            <w:tcW w:w="1012" w:type="dxa"/>
            <w:shd w:val="clear" w:color="auto" w:fill="92D050"/>
            <w:vAlign w:val="center"/>
            <w:hideMark/>
          </w:tcPr>
          <w:p w14:paraId="0C4621A5" w14:textId="77777777" w:rsidR="004508B2" w:rsidRPr="004508B2" w:rsidRDefault="004508B2" w:rsidP="004508B2">
            <w:pPr>
              <w:spacing w:after="0" w:line="240" w:lineRule="auto"/>
              <w:jc w:val="center"/>
              <w:rPr>
                <w:rFonts w:ascii="Calibri" w:eastAsia="Times New Roman" w:hAnsi="Calibri" w:cs="Times New Roman"/>
                <w:b/>
                <w:color w:val="000000"/>
                <w:lang w:eastAsia="pl-PL"/>
              </w:rPr>
            </w:pPr>
            <w:r w:rsidRPr="004508B2">
              <w:rPr>
                <w:rFonts w:ascii="Calibri" w:eastAsia="Times New Roman" w:hAnsi="Calibri" w:cs="Times New Roman"/>
                <w:b/>
                <w:color w:val="000000"/>
                <w:lang w:eastAsia="pl-PL"/>
              </w:rPr>
              <w:t>2019</w:t>
            </w:r>
          </w:p>
        </w:tc>
      </w:tr>
      <w:tr w:rsidR="00E238CC" w:rsidRPr="004508B2" w14:paraId="0E84E21B" w14:textId="77777777" w:rsidTr="00E238CC">
        <w:trPr>
          <w:trHeight w:val="300"/>
          <w:jc w:val="center"/>
        </w:trPr>
        <w:tc>
          <w:tcPr>
            <w:tcW w:w="1276" w:type="dxa"/>
            <w:tcBorders>
              <w:top w:val="single" w:sz="4" w:space="0" w:color="auto"/>
            </w:tcBorders>
            <w:shd w:val="clear" w:color="auto" w:fill="auto"/>
            <w:noWrap/>
            <w:vAlign w:val="bottom"/>
            <w:hideMark/>
          </w:tcPr>
          <w:p w14:paraId="0E75BADD" w14:textId="77777777" w:rsidR="004508B2" w:rsidRPr="004508B2" w:rsidRDefault="004508B2" w:rsidP="004508B2">
            <w:pPr>
              <w:spacing w:after="0" w:line="240" w:lineRule="auto"/>
              <w:rPr>
                <w:rFonts w:ascii="Calibri" w:eastAsia="Times New Roman" w:hAnsi="Calibri" w:cs="Times New Roman"/>
                <w:lang w:eastAsia="pl-PL"/>
              </w:rPr>
            </w:pPr>
            <w:r w:rsidRPr="004508B2">
              <w:rPr>
                <w:rFonts w:ascii="Calibri" w:eastAsia="Times New Roman" w:hAnsi="Calibri" w:cs="Times New Roman"/>
                <w:lang w:eastAsia="pl-PL"/>
              </w:rPr>
              <w:t>Olsztyn</w:t>
            </w:r>
          </w:p>
        </w:tc>
        <w:tc>
          <w:tcPr>
            <w:tcW w:w="992" w:type="dxa"/>
            <w:shd w:val="clear" w:color="auto" w:fill="auto"/>
            <w:noWrap/>
            <w:vAlign w:val="bottom"/>
            <w:hideMark/>
          </w:tcPr>
          <w:p w14:paraId="558E7A8A" w14:textId="77777777" w:rsidR="004508B2" w:rsidRDefault="004508B2" w:rsidP="004508B2">
            <w:pPr>
              <w:spacing w:after="0"/>
              <w:jc w:val="right"/>
              <w:rPr>
                <w:rFonts w:ascii="Calibri" w:hAnsi="Calibri"/>
              </w:rPr>
            </w:pPr>
            <w:r>
              <w:rPr>
                <w:rFonts w:ascii="Calibri" w:hAnsi="Calibri"/>
              </w:rPr>
              <w:t>1 913,8</w:t>
            </w:r>
          </w:p>
        </w:tc>
        <w:tc>
          <w:tcPr>
            <w:tcW w:w="993" w:type="dxa"/>
            <w:shd w:val="clear" w:color="auto" w:fill="auto"/>
            <w:noWrap/>
            <w:vAlign w:val="bottom"/>
            <w:hideMark/>
          </w:tcPr>
          <w:p w14:paraId="55FFDA32" w14:textId="77777777" w:rsidR="004508B2" w:rsidRDefault="004508B2" w:rsidP="004508B2">
            <w:pPr>
              <w:spacing w:after="0"/>
              <w:jc w:val="right"/>
              <w:rPr>
                <w:rFonts w:ascii="Calibri" w:hAnsi="Calibri"/>
              </w:rPr>
            </w:pPr>
            <w:r>
              <w:rPr>
                <w:rFonts w:ascii="Calibri" w:hAnsi="Calibri"/>
              </w:rPr>
              <w:t>1 902,4</w:t>
            </w:r>
          </w:p>
        </w:tc>
        <w:tc>
          <w:tcPr>
            <w:tcW w:w="992" w:type="dxa"/>
            <w:shd w:val="clear" w:color="auto" w:fill="auto"/>
            <w:noWrap/>
            <w:vAlign w:val="bottom"/>
            <w:hideMark/>
          </w:tcPr>
          <w:p w14:paraId="536296BD" w14:textId="77777777" w:rsidR="004508B2" w:rsidRDefault="004508B2" w:rsidP="004508B2">
            <w:pPr>
              <w:spacing w:after="0"/>
              <w:jc w:val="right"/>
              <w:rPr>
                <w:rFonts w:ascii="Calibri" w:hAnsi="Calibri"/>
              </w:rPr>
            </w:pPr>
            <w:r>
              <w:rPr>
                <w:rFonts w:ascii="Calibri" w:hAnsi="Calibri"/>
              </w:rPr>
              <w:t>1 901,7</w:t>
            </w:r>
          </w:p>
        </w:tc>
        <w:tc>
          <w:tcPr>
            <w:tcW w:w="992" w:type="dxa"/>
            <w:shd w:val="clear" w:color="auto" w:fill="auto"/>
            <w:noWrap/>
            <w:vAlign w:val="bottom"/>
            <w:hideMark/>
          </w:tcPr>
          <w:p w14:paraId="083DC40E" w14:textId="77777777" w:rsidR="004508B2" w:rsidRDefault="004508B2" w:rsidP="004508B2">
            <w:pPr>
              <w:spacing w:after="0"/>
              <w:jc w:val="right"/>
              <w:rPr>
                <w:rFonts w:ascii="Calibri" w:hAnsi="Calibri"/>
              </w:rPr>
            </w:pPr>
            <w:r>
              <w:rPr>
                <w:rFonts w:ascii="Calibri" w:hAnsi="Calibri"/>
              </w:rPr>
              <w:t>1 900,8</w:t>
            </w:r>
          </w:p>
        </w:tc>
        <w:tc>
          <w:tcPr>
            <w:tcW w:w="992" w:type="dxa"/>
            <w:shd w:val="clear" w:color="auto" w:fill="auto"/>
            <w:noWrap/>
            <w:vAlign w:val="bottom"/>
            <w:hideMark/>
          </w:tcPr>
          <w:p w14:paraId="4496F612" w14:textId="77777777" w:rsidR="004508B2" w:rsidRDefault="004508B2" w:rsidP="004508B2">
            <w:pPr>
              <w:spacing w:after="0"/>
              <w:jc w:val="right"/>
              <w:rPr>
                <w:rFonts w:ascii="Calibri" w:hAnsi="Calibri"/>
              </w:rPr>
            </w:pPr>
            <w:r>
              <w:rPr>
                <w:rFonts w:ascii="Calibri" w:hAnsi="Calibri"/>
              </w:rPr>
              <w:t>1 896,5</w:t>
            </w:r>
          </w:p>
        </w:tc>
        <w:tc>
          <w:tcPr>
            <w:tcW w:w="993" w:type="dxa"/>
            <w:shd w:val="clear" w:color="auto" w:fill="auto"/>
            <w:noWrap/>
            <w:vAlign w:val="bottom"/>
            <w:hideMark/>
          </w:tcPr>
          <w:p w14:paraId="6E6AF816" w14:textId="77777777" w:rsidR="004508B2" w:rsidRDefault="004508B2" w:rsidP="004508B2">
            <w:pPr>
              <w:spacing w:after="0"/>
              <w:jc w:val="right"/>
              <w:rPr>
                <w:rFonts w:ascii="Calibri" w:hAnsi="Calibri"/>
              </w:rPr>
            </w:pPr>
            <w:r>
              <w:rPr>
                <w:rFonts w:ascii="Calibri" w:hAnsi="Calibri"/>
              </w:rPr>
              <w:t>1 897,7</w:t>
            </w:r>
          </w:p>
        </w:tc>
        <w:tc>
          <w:tcPr>
            <w:tcW w:w="1012" w:type="dxa"/>
            <w:shd w:val="clear" w:color="auto" w:fill="auto"/>
            <w:noWrap/>
            <w:vAlign w:val="bottom"/>
            <w:hideMark/>
          </w:tcPr>
          <w:p w14:paraId="18BC653F" w14:textId="77777777" w:rsidR="004508B2" w:rsidRDefault="004508B2" w:rsidP="004508B2">
            <w:pPr>
              <w:spacing w:after="0"/>
              <w:jc w:val="right"/>
              <w:rPr>
                <w:rFonts w:ascii="Calibri" w:hAnsi="Calibri"/>
              </w:rPr>
            </w:pPr>
            <w:r>
              <w:rPr>
                <w:rFonts w:ascii="Calibri" w:hAnsi="Calibri"/>
              </w:rPr>
              <w:t>1 897,3</w:t>
            </w:r>
          </w:p>
        </w:tc>
      </w:tr>
      <w:tr w:rsidR="00E238CC" w:rsidRPr="004508B2" w14:paraId="595E83FB" w14:textId="77777777" w:rsidTr="00E238CC">
        <w:trPr>
          <w:trHeight w:val="300"/>
          <w:jc w:val="center"/>
        </w:trPr>
        <w:tc>
          <w:tcPr>
            <w:tcW w:w="1276" w:type="dxa"/>
            <w:shd w:val="clear" w:color="auto" w:fill="auto"/>
            <w:noWrap/>
            <w:vAlign w:val="bottom"/>
            <w:hideMark/>
          </w:tcPr>
          <w:p w14:paraId="1AE2CC79" w14:textId="77777777" w:rsidR="004508B2" w:rsidRPr="004508B2" w:rsidRDefault="004508B2" w:rsidP="004508B2">
            <w:pPr>
              <w:spacing w:after="0" w:line="240" w:lineRule="auto"/>
              <w:rPr>
                <w:rFonts w:ascii="Calibri" w:eastAsia="Times New Roman" w:hAnsi="Calibri" w:cs="Times New Roman"/>
                <w:lang w:eastAsia="pl-PL"/>
              </w:rPr>
            </w:pPr>
            <w:r w:rsidRPr="004508B2">
              <w:rPr>
                <w:rFonts w:ascii="Calibri" w:eastAsia="Times New Roman" w:hAnsi="Calibri" w:cs="Times New Roman"/>
                <w:lang w:eastAsia="pl-PL"/>
              </w:rPr>
              <w:t>Kielce</w:t>
            </w:r>
          </w:p>
        </w:tc>
        <w:tc>
          <w:tcPr>
            <w:tcW w:w="992" w:type="dxa"/>
            <w:shd w:val="clear" w:color="auto" w:fill="auto"/>
            <w:noWrap/>
            <w:vAlign w:val="bottom"/>
            <w:hideMark/>
          </w:tcPr>
          <w:p w14:paraId="09CB0D4F" w14:textId="77777777" w:rsidR="004508B2" w:rsidRDefault="004508B2" w:rsidP="004508B2">
            <w:pPr>
              <w:spacing w:after="0"/>
              <w:jc w:val="right"/>
              <w:rPr>
                <w:rFonts w:ascii="Calibri" w:hAnsi="Calibri"/>
              </w:rPr>
            </w:pPr>
            <w:r>
              <w:rPr>
                <w:rFonts w:ascii="Calibri" w:hAnsi="Calibri"/>
              </w:rPr>
              <w:t>2 357,0</w:t>
            </w:r>
          </w:p>
        </w:tc>
        <w:tc>
          <w:tcPr>
            <w:tcW w:w="993" w:type="dxa"/>
            <w:shd w:val="clear" w:color="auto" w:fill="auto"/>
            <w:noWrap/>
            <w:vAlign w:val="bottom"/>
            <w:hideMark/>
          </w:tcPr>
          <w:p w14:paraId="4DCA50E3" w14:textId="77777777" w:rsidR="004508B2" w:rsidRDefault="004508B2" w:rsidP="004508B2">
            <w:pPr>
              <w:spacing w:after="0"/>
              <w:jc w:val="right"/>
              <w:rPr>
                <w:rFonts w:ascii="Calibri" w:hAnsi="Calibri"/>
              </w:rPr>
            </w:pPr>
            <w:r>
              <w:rPr>
                <w:rFonts w:ascii="Calibri" w:hAnsi="Calibri"/>
              </w:rPr>
              <w:t>2 358,3</w:t>
            </w:r>
          </w:p>
        </w:tc>
        <w:tc>
          <w:tcPr>
            <w:tcW w:w="992" w:type="dxa"/>
            <w:shd w:val="clear" w:color="auto" w:fill="auto"/>
            <w:noWrap/>
            <w:vAlign w:val="bottom"/>
            <w:hideMark/>
          </w:tcPr>
          <w:p w14:paraId="658DEF5A" w14:textId="77777777" w:rsidR="004508B2" w:rsidRDefault="004508B2" w:rsidP="004508B2">
            <w:pPr>
              <w:spacing w:after="0"/>
              <w:jc w:val="right"/>
              <w:rPr>
                <w:rFonts w:ascii="Calibri" w:hAnsi="Calibri"/>
              </w:rPr>
            </w:pPr>
            <w:r>
              <w:rPr>
                <w:rFonts w:ascii="Calibri" w:hAnsi="Calibri"/>
              </w:rPr>
              <w:t>2 358,3</w:t>
            </w:r>
          </w:p>
        </w:tc>
        <w:tc>
          <w:tcPr>
            <w:tcW w:w="992" w:type="dxa"/>
            <w:shd w:val="clear" w:color="auto" w:fill="auto"/>
            <w:noWrap/>
            <w:vAlign w:val="bottom"/>
            <w:hideMark/>
          </w:tcPr>
          <w:p w14:paraId="11243633" w14:textId="77777777" w:rsidR="004508B2" w:rsidRDefault="004508B2" w:rsidP="004508B2">
            <w:pPr>
              <w:spacing w:after="0"/>
              <w:jc w:val="right"/>
              <w:rPr>
                <w:rFonts w:ascii="Calibri" w:hAnsi="Calibri"/>
              </w:rPr>
            </w:pPr>
            <w:r>
              <w:rPr>
                <w:rFonts w:ascii="Calibri" w:hAnsi="Calibri"/>
              </w:rPr>
              <w:t>2 353,8</w:t>
            </w:r>
          </w:p>
        </w:tc>
        <w:tc>
          <w:tcPr>
            <w:tcW w:w="992" w:type="dxa"/>
            <w:shd w:val="clear" w:color="auto" w:fill="auto"/>
            <w:noWrap/>
            <w:vAlign w:val="bottom"/>
            <w:hideMark/>
          </w:tcPr>
          <w:p w14:paraId="35400896" w14:textId="77777777" w:rsidR="004508B2" w:rsidRDefault="004508B2" w:rsidP="004508B2">
            <w:pPr>
              <w:spacing w:after="0"/>
              <w:jc w:val="right"/>
              <w:rPr>
                <w:rFonts w:ascii="Calibri" w:hAnsi="Calibri"/>
              </w:rPr>
            </w:pPr>
            <w:r>
              <w:rPr>
                <w:rFonts w:ascii="Calibri" w:hAnsi="Calibri"/>
              </w:rPr>
              <w:t>2 354,8</w:t>
            </w:r>
          </w:p>
        </w:tc>
        <w:tc>
          <w:tcPr>
            <w:tcW w:w="993" w:type="dxa"/>
            <w:shd w:val="clear" w:color="auto" w:fill="auto"/>
            <w:noWrap/>
            <w:vAlign w:val="bottom"/>
            <w:hideMark/>
          </w:tcPr>
          <w:p w14:paraId="749635F6" w14:textId="77777777" w:rsidR="004508B2" w:rsidRDefault="004508B2" w:rsidP="004508B2">
            <w:pPr>
              <w:spacing w:after="0"/>
              <w:jc w:val="right"/>
              <w:rPr>
                <w:rFonts w:ascii="Calibri" w:hAnsi="Calibri"/>
              </w:rPr>
            </w:pPr>
            <w:r>
              <w:rPr>
                <w:rFonts w:ascii="Calibri" w:hAnsi="Calibri"/>
              </w:rPr>
              <w:t>2 352,3</w:t>
            </w:r>
          </w:p>
        </w:tc>
        <w:tc>
          <w:tcPr>
            <w:tcW w:w="1012" w:type="dxa"/>
            <w:shd w:val="clear" w:color="auto" w:fill="auto"/>
            <w:noWrap/>
            <w:vAlign w:val="bottom"/>
            <w:hideMark/>
          </w:tcPr>
          <w:p w14:paraId="41A1058B" w14:textId="77777777" w:rsidR="004508B2" w:rsidRDefault="004508B2" w:rsidP="004508B2">
            <w:pPr>
              <w:spacing w:after="0"/>
              <w:jc w:val="right"/>
              <w:rPr>
                <w:rFonts w:ascii="Calibri" w:hAnsi="Calibri"/>
              </w:rPr>
            </w:pPr>
            <w:r>
              <w:rPr>
                <w:rFonts w:ascii="Calibri" w:hAnsi="Calibri"/>
              </w:rPr>
              <w:t>2 352,5</w:t>
            </w:r>
          </w:p>
        </w:tc>
      </w:tr>
      <w:tr w:rsidR="00E238CC" w:rsidRPr="004508B2" w14:paraId="3B4B1738" w14:textId="77777777" w:rsidTr="00E238CC">
        <w:trPr>
          <w:trHeight w:val="300"/>
          <w:jc w:val="center"/>
        </w:trPr>
        <w:tc>
          <w:tcPr>
            <w:tcW w:w="1276" w:type="dxa"/>
            <w:shd w:val="clear" w:color="auto" w:fill="auto"/>
            <w:noWrap/>
            <w:vAlign w:val="bottom"/>
            <w:hideMark/>
          </w:tcPr>
          <w:p w14:paraId="19FA0FE6" w14:textId="77777777" w:rsidR="004508B2" w:rsidRPr="004508B2" w:rsidRDefault="004508B2" w:rsidP="004508B2">
            <w:pPr>
              <w:spacing w:after="0" w:line="240" w:lineRule="auto"/>
              <w:rPr>
                <w:rFonts w:ascii="Calibri" w:eastAsia="Times New Roman" w:hAnsi="Calibri" w:cs="Times New Roman"/>
                <w:lang w:eastAsia="pl-PL"/>
              </w:rPr>
            </w:pPr>
            <w:r w:rsidRPr="004508B2">
              <w:rPr>
                <w:rFonts w:ascii="Calibri" w:eastAsia="Times New Roman" w:hAnsi="Calibri" w:cs="Times New Roman"/>
                <w:lang w:eastAsia="pl-PL"/>
              </w:rPr>
              <w:t>Białystok</w:t>
            </w:r>
          </w:p>
        </w:tc>
        <w:tc>
          <w:tcPr>
            <w:tcW w:w="992" w:type="dxa"/>
            <w:shd w:val="clear" w:color="auto" w:fill="auto"/>
            <w:noWrap/>
            <w:vAlign w:val="bottom"/>
            <w:hideMark/>
          </w:tcPr>
          <w:p w14:paraId="2940AA9F" w14:textId="77777777" w:rsidR="004508B2" w:rsidRDefault="004508B2" w:rsidP="004508B2">
            <w:pPr>
              <w:spacing w:after="0"/>
              <w:jc w:val="right"/>
              <w:rPr>
                <w:rFonts w:ascii="Calibri" w:hAnsi="Calibri"/>
              </w:rPr>
            </w:pPr>
            <w:r>
              <w:rPr>
                <w:rFonts w:ascii="Calibri" w:hAnsi="Calibri"/>
              </w:rPr>
              <w:t>1 854,4</w:t>
            </w:r>
          </w:p>
        </w:tc>
        <w:tc>
          <w:tcPr>
            <w:tcW w:w="993" w:type="dxa"/>
            <w:shd w:val="clear" w:color="auto" w:fill="auto"/>
            <w:noWrap/>
            <w:vAlign w:val="bottom"/>
            <w:hideMark/>
          </w:tcPr>
          <w:p w14:paraId="30DE54DA" w14:textId="77777777" w:rsidR="004508B2" w:rsidRDefault="004508B2" w:rsidP="004508B2">
            <w:pPr>
              <w:spacing w:after="0"/>
              <w:jc w:val="right"/>
              <w:rPr>
                <w:rFonts w:ascii="Calibri" w:hAnsi="Calibri"/>
              </w:rPr>
            </w:pPr>
            <w:r>
              <w:rPr>
                <w:rFonts w:ascii="Calibri" w:hAnsi="Calibri"/>
              </w:rPr>
              <w:t>1 880,4</w:t>
            </w:r>
          </w:p>
        </w:tc>
        <w:tc>
          <w:tcPr>
            <w:tcW w:w="992" w:type="dxa"/>
            <w:shd w:val="clear" w:color="auto" w:fill="auto"/>
            <w:noWrap/>
            <w:vAlign w:val="bottom"/>
            <w:hideMark/>
          </w:tcPr>
          <w:p w14:paraId="5C6A06C9" w14:textId="77777777" w:rsidR="004508B2" w:rsidRDefault="004508B2" w:rsidP="004508B2">
            <w:pPr>
              <w:spacing w:after="0"/>
              <w:jc w:val="right"/>
              <w:rPr>
                <w:rFonts w:ascii="Calibri" w:hAnsi="Calibri"/>
              </w:rPr>
            </w:pPr>
            <w:r>
              <w:rPr>
                <w:rFonts w:ascii="Calibri" w:hAnsi="Calibri"/>
              </w:rPr>
              <w:t>1 880,7</w:t>
            </w:r>
          </w:p>
        </w:tc>
        <w:tc>
          <w:tcPr>
            <w:tcW w:w="992" w:type="dxa"/>
            <w:shd w:val="clear" w:color="auto" w:fill="auto"/>
            <w:noWrap/>
            <w:vAlign w:val="bottom"/>
            <w:hideMark/>
          </w:tcPr>
          <w:p w14:paraId="6A9333D2" w14:textId="77777777" w:rsidR="004508B2" w:rsidRDefault="004508B2" w:rsidP="004508B2">
            <w:pPr>
              <w:spacing w:after="0"/>
              <w:jc w:val="right"/>
              <w:rPr>
                <w:rFonts w:ascii="Calibri" w:hAnsi="Calibri"/>
              </w:rPr>
            </w:pPr>
            <w:r>
              <w:rPr>
                <w:rFonts w:ascii="Calibri" w:hAnsi="Calibri"/>
              </w:rPr>
              <w:t>1 893,2</w:t>
            </w:r>
          </w:p>
        </w:tc>
        <w:tc>
          <w:tcPr>
            <w:tcW w:w="992" w:type="dxa"/>
            <w:shd w:val="clear" w:color="auto" w:fill="auto"/>
            <w:noWrap/>
            <w:vAlign w:val="bottom"/>
            <w:hideMark/>
          </w:tcPr>
          <w:p w14:paraId="2C37E139" w14:textId="77777777" w:rsidR="004508B2" w:rsidRDefault="004508B2" w:rsidP="004508B2">
            <w:pPr>
              <w:spacing w:after="0"/>
              <w:jc w:val="right"/>
              <w:rPr>
                <w:rFonts w:ascii="Calibri" w:hAnsi="Calibri"/>
              </w:rPr>
            </w:pPr>
            <w:r>
              <w:rPr>
                <w:rFonts w:ascii="Calibri" w:hAnsi="Calibri"/>
              </w:rPr>
              <w:t>1 890,6</w:t>
            </w:r>
          </w:p>
        </w:tc>
        <w:tc>
          <w:tcPr>
            <w:tcW w:w="993" w:type="dxa"/>
            <w:shd w:val="clear" w:color="auto" w:fill="auto"/>
            <w:noWrap/>
            <w:vAlign w:val="bottom"/>
            <w:hideMark/>
          </w:tcPr>
          <w:p w14:paraId="76C80AB1" w14:textId="77777777" w:rsidR="004508B2" w:rsidRDefault="004508B2" w:rsidP="004508B2">
            <w:pPr>
              <w:spacing w:after="0"/>
              <w:jc w:val="right"/>
              <w:rPr>
                <w:rFonts w:ascii="Calibri" w:hAnsi="Calibri"/>
              </w:rPr>
            </w:pPr>
            <w:r>
              <w:rPr>
                <w:rFonts w:ascii="Calibri" w:hAnsi="Calibri"/>
              </w:rPr>
              <w:t>1 886,0</w:t>
            </w:r>
          </w:p>
        </w:tc>
        <w:tc>
          <w:tcPr>
            <w:tcW w:w="1012" w:type="dxa"/>
            <w:shd w:val="clear" w:color="auto" w:fill="auto"/>
            <w:noWrap/>
            <w:vAlign w:val="bottom"/>
            <w:hideMark/>
          </w:tcPr>
          <w:p w14:paraId="734F10F9" w14:textId="77777777" w:rsidR="004508B2" w:rsidRDefault="004508B2" w:rsidP="004508B2">
            <w:pPr>
              <w:spacing w:after="0"/>
              <w:jc w:val="right"/>
              <w:rPr>
                <w:rFonts w:ascii="Calibri" w:hAnsi="Calibri"/>
              </w:rPr>
            </w:pPr>
            <w:r>
              <w:rPr>
                <w:rFonts w:ascii="Calibri" w:hAnsi="Calibri"/>
              </w:rPr>
              <w:t>1 885,9</w:t>
            </w:r>
          </w:p>
        </w:tc>
      </w:tr>
      <w:tr w:rsidR="00E238CC" w:rsidRPr="004508B2" w14:paraId="3662E118" w14:textId="77777777" w:rsidTr="00E238CC">
        <w:trPr>
          <w:trHeight w:val="300"/>
          <w:jc w:val="center"/>
        </w:trPr>
        <w:tc>
          <w:tcPr>
            <w:tcW w:w="1276" w:type="dxa"/>
            <w:shd w:val="clear" w:color="auto" w:fill="auto"/>
            <w:noWrap/>
            <w:vAlign w:val="bottom"/>
            <w:hideMark/>
          </w:tcPr>
          <w:p w14:paraId="4AC69570" w14:textId="77777777" w:rsidR="004508B2" w:rsidRPr="004508B2" w:rsidRDefault="004508B2" w:rsidP="004508B2">
            <w:pPr>
              <w:spacing w:after="0" w:line="240" w:lineRule="auto"/>
              <w:rPr>
                <w:rFonts w:ascii="Calibri" w:eastAsia="Times New Roman" w:hAnsi="Calibri" w:cs="Times New Roman"/>
                <w:lang w:eastAsia="pl-PL"/>
              </w:rPr>
            </w:pPr>
            <w:r w:rsidRPr="004508B2">
              <w:rPr>
                <w:rFonts w:ascii="Calibri" w:eastAsia="Times New Roman" w:hAnsi="Calibri" w:cs="Times New Roman"/>
                <w:lang w:eastAsia="pl-PL"/>
              </w:rPr>
              <w:t>Rzeszów</w:t>
            </w:r>
          </w:p>
        </w:tc>
        <w:tc>
          <w:tcPr>
            <w:tcW w:w="992" w:type="dxa"/>
            <w:shd w:val="clear" w:color="auto" w:fill="auto"/>
            <w:noWrap/>
            <w:vAlign w:val="bottom"/>
            <w:hideMark/>
          </w:tcPr>
          <w:p w14:paraId="3F5FB836" w14:textId="77777777" w:rsidR="004508B2" w:rsidRDefault="004508B2" w:rsidP="004508B2">
            <w:pPr>
              <w:spacing w:after="0"/>
              <w:jc w:val="right"/>
              <w:rPr>
                <w:rFonts w:ascii="Calibri" w:hAnsi="Calibri"/>
              </w:rPr>
            </w:pPr>
            <w:r>
              <w:rPr>
                <w:rFonts w:ascii="Calibri" w:hAnsi="Calibri"/>
              </w:rPr>
              <w:t>430,3</w:t>
            </w:r>
          </w:p>
        </w:tc>
        <w:tc>
          <w:tcPr>
            <w:tcW w:w="993" w:type="dxa"/>
            <w:shd w:val="clear" w:color="auto" w:fill="auto"/>
            <w:noWrap/>
            <w:vAlign w:val="bottom"/>
            <w:hideMark/>
          </w:tcPr>
          <w:p w14:paraId="562AD73E" w14:textId="77777777" w:rsidR="004508B2" w:rsidRDefault="004508B2" w:rsidP="004508B2">
            <w:pPr>
              <w:spacing w:after="0"/>
              <w:jc w:val="right"/>
              <w:rPr>
                <w:rFonts w:ascii="Calibri" w:hAnsi="Calibri"/>
              </w:rPr>
            </w:pPr>
            <w:r>
              <w:rPr>
                <w:rFonts w:ascii="Calibri" w:hAnsi="Calibri"/>
              </w:rPr>
              <w:t>306,3</w:t>
            </w:r>
          </w:p>
        </w:tc>
        <w:tc>
          <w:tcPr>
            <w:tcW w:w="992" w:type="dxa"/>
            <w:shd w:val="clear" w:color="auto" w:fill="auto"/>
            <w:noWrap/>
            <w:vAlign w:val="bottom"/>
            <w:hideMark/>
          </w:tcPr>
          <w:p w14:paraId="44904761" w14:textId="77777777" w:rsidR="004508B2" w:rsidRDefault="004508B2" w:rsidP="004508B2">
            <w:pPr>
              <w:spacing w:after="0"/>
              <w:jc w:val="right"/>
              <w:rPr>
                <w:rFonts w:ascii="Calibri" w:hAnsi="Calibri"/>
              </w:rPr>
            </w:pPr>
            <w:r>
              <w:rPr>
                <w:rFonts w:ascii="Calibri" w:hAnsi="Calibri"/>
              </w:rPr>
              <w:t>306,1</w:t>
            </w:r>
          </w:p>
        </w:tc>
        <w:tc>
          <w:tcPr>
            <w:tcW w:w="992" w:type="dxa"/>
            <w:shd w:val="clear" w:color="auto" w:fill="auto"/>
            <w:noWrap/>
            <w:vAlign w:val="bottom"/>
            <w:hideMark/>
          </w:tcPr>
          <w:p w14:paraId="6E0F369E" w14:textId="77777777" w:rsidR="004508B2" w:rsidRDefault="004508B2" w:rsidP="004508B2">
            <w:pPr>
              <w:spacing w:after="0"/>
              <w:jc w:val="right"/>
              <w:rPr>
                <w:rFonts w:ascii="Calibri" w:hAnsi="Calibri"/>
              </w:rPr>
            </w:pPr>
            <w:r>
              <w:rPr>
                <w:rFonts w:ascii="Calibri" w:hAnsi="Calibri"/>
              </w:rPr>
              <w:t>306,4</w:t>
            </w:r>
          </w:p>
        </w:tc>
        <w:tc>
          <w:tcPr>
            <w:tcW w:w="992" w:type="dxa"/>
            <w:shd w:val="clear" w:color="auto" w:fill="auto"/>
            <w:noWrap/>
            <w:vAlign w:val="bottom"/>
            <w:hideMark/>
          </w:tcPr>
          <w:p w14:paraId="58AF3831" w14:textId="77777777" w:rsidR="004508B2" w:rsidRDefault="004508B2" w:rsidP="004508B2">
            <w:pPr>
              <w:spacing w:after="0"/>
              <w:jc w:val="right"/>
              <w:rPr>
                <w:rFonts w:ascii="Calibri" w:hAnsi="Calibri"/>
              </w:rPr>
            </w:pPr>
            <w:r>
              <w:rPr>
                <w:rFonts w:ascii="Calibri" w:hAnsi="Calibri"/>
              </w:rPr>
              <w:t>306,4</w:t>
            </w:r>
          </w:p>
        </w:tc>
        <w:tc>
          <w:tcPr>
            <w:tcW w:w="993" w:type="dxa"/>
            <w:shd w:val="clear" w:color="auto" w:fill="auto"/>
            <w:noWrap/>
            <w:vAlign w:val="bottom"/>
            <w:hideMark/>
          </w:tcPr>
          <w:p w14:paraId="550BA61D" w14:textId="77777777" w:rsidR="004508B2" w:rsidRDefault="004508B2" w:rsidP="004508B2">
            <w:pPr>
              <w:spacing w:after="0"/>
              <w:jc w:val="right"/>
              <w:rPr>
                <w:rFonts w:ascii="Calibri" w:hAnsi="Calibri"/>
              </w:rPr>
            </w:pPr>
            <w:r>
              <w:rPr>
                <w:rFonts w:ascii="Calibri" w:hAnsi="Calibri"/>
              </w:rPr>
              <w:t>306,1</w:t>
            </w:r>
          </w:p>
        </w:tc>
        <w:tc>
          <w:tcPr>
            <w:tcW w:w="1012" w:type="dxa"/>
            <w:shd w:val="clear" w:color="auto" w:fill="auto"/>
            <w:noWrap/>
            <w:vAlign w:val="bottom"/>
            <w:hideMark/>
          </w:tcPr>
          <w:p w14:paraId="3AF0791B" w14:textId="77777777" w:rsidR="004508B2" w:rsidRDefault="004508B2" w:rsidP="004508B2">
            <w:pPr>
              <w:spacing w:after="0"/>
              <w:jc w:val="right"/>
              <w:rPr>
                <w:rFonts w:ascii="Calibri" w:hAnsi="Calibri"/>
              </w:rPr>
            </w:pPr>
            <w:r>
              <w:rPr>
                <w:rFonts w:ascii="Calibri" w:hAnsi="Calibri"/>
              </w:rPr>
              <w:t>364,6</w:t>
            </w:r>
          </w:p>
        </w:tc>
      </w:tr>
      <w:tr w:rsidR="00E238CC" w:rsidRPr="004508B2" w14:paraId="627ADE80" w14:textId="77777777" w:rsidTr="00E238CC">
        <w:trPr>
          <w:trHeight w:val="300"/>
          <w:jc w:val="center"/>
        </w:trPr>
        <w:tc>
          <w:tcPr>
            <w:tcW w:w="1276" w:type="dxa"/>
            <w:shd w:val="clear" w:color="auto" w:fill="auto"/>
            <w:noWrap/>
            <w:vAlign w:val="bottom"/>
            <w:hideMark/>
          </w:tcPr>
          <w:p w14:paraId="0A6218DC" w14:textId="77777777" w:rsidR="004508B2" w:rsidRPr="004508B2" w:rsidRDefault="004508B2" w:rsidP="004508B2">
            <w:pPr>
              <w:spacing w:after="0" w:line="240" w:lineRule="auto"/>
              <w:rPr>
                <w:rFonts w:ascii="Calibri" w:eastAsia="Times New Roman" w:hAnsi="Calibri" w:cs="Times New Roman"/>
                <w:lang w:eastAsia="pl-PL"/>
              </w:rPr>
            </w:pPr>
            <w:r w:rsidRPr="004508B2">
              <w:rPr>
                <w:rFonts w:ascii="Calibri" w:eastAsia="Times New Roman" w:hAnsi="Calibri" w:cs="Times New Roman"/>
                <w:lang w:eastAsia="pl-PL"/>
              </w:rPr>
              <w:t>Lublin</w:t>
            </w:r>
          </w:p>
        </w:tc>
        <w:tc>
          <w:tcPr>
            <w:tcW w:w="992" w:type="dxa"/>
            <w:shd w:val="clear" w:color="auto" w:fill="auto"/>
            <w:noWrap/>
            <w:vAlign w:val="bottom"/>
            <w:hideMark/>
          </w:tcPr>
          <w:p w14:paraId="706059CE" w14:textId="77777777" w:rsidR="004508B2" w:rsidRDefault="004508B2" w:rsidP="004508B2">
            <w:pPr>
              <w:spacing w:after="0"/>
              <w:jc w:val="right"/>
              <w:rPr>
                <w:rFonts w:ascii="Calibri" w:hAnsi="Calibri"/>
              </w:rPr>
            </w:pPr>
            <w:r>
              <w:rPr>
                <w:rFonts w:ascii="Calibri" w:hAnsi="Calibri"/>
              </w:rPr>
              <w:t>1 672,8</w:t>
            </w:r>
          </w:p>
        </w:tc>
        <w:tc>
          <w:tcPr>
            <w:tcW w:w="993" w:type="dxa"/>
            <w:shd w:val="clear" w:color="auto" w:fill="auto"/>
            <w:noWrap/>
            <w:vAlign w:val="bottom"/>
            <w:hideMark/>
          </w:tcPr>
          <w:p w14:paraId="3B622248" w14:textId="77777777" w:rsidR="004508B2" w:rsidRDefault="004508B2" w:rsidP="004508B2">
            <w:pPr>
              <w:spacing w:after="0"/>
              <w:jc w:val="right"/>
              <w:rPr>
                <w:rFonts w:ascii="Calibri" w:hAnsi="Calibri"/>
              </w:rPr>
            </w:pPr>
            <w:r>
              <w:rPr>
                <w:rFonts w:ascii="Calibri" w:hAnsi="Calibri"/>
              </w:rPr>
              <w:t>1 672,8</w:t>
            </w:r>
          </w:p>
        </w:tc>
        <w:tc>
          <w:tcPr>
            <w:tcW w:w="992" w:type="dxa"/>
            <w:shd w:val="clear" w:color="auto" w:fill="auto"/>
            <w:noWrap/>
            <w:vAlign w:val="bottom"/>
            <w:hideMark/>
          </w:tcPr>
          <w:p w14:paraId="3EC9F41B" w14:textId="77777777" w:rsidR="004508B2" w:rsidRDefault="004508B2" w:rsidP="004508B2">
            <w:pPr>
              <w:spacing w:after="0"/>
              <w:jc w:val="right"/>
              <w:rPr>
                <w:rFonts w:ascii="Calibri" w:hAnsi="Calibri"/>
              </w:rPr>
            </w:pPr>
            <w:r>
              <w:rPr>
                <w:rFonts w:ascii="Calibri" w:hAnsi="Calibri"/>
              </w:rPr>
              <w:t>1 675,1</w:t>
            </w:r>
          </w:p>
        </w:tc>
        <w:tc>
          <w:tcPr>
            <w:tcW w:w="992" w:type="dxa"/>
            <w:shd w:val="clear" w:color="auto" w:fill="auto"/>
            <w:noWrap/>
            <w:vAlign w:val="bottom"/>
            <w:hideMark/>
          </w:tcPr>
          <w:p w14:paraId="64A68261" w14:textId="77777777" w:rsidR="004508B2" w:rsidRDefault="004508B2" w:rsidP="004508B2">
            <w:pPr>
              <w:spacing w:after="0"/>
              <w:jc w:val="right"/>
              <w:rPr>
                <w:rFonts w:ascii="Calibri" w:hAnsi="Calibri"/>
              </w:rPr>
            </w:pPr>
            <w:r>
              <w:rPr>
                <w:rFonts w:ascii="Calibri" w:hAnsi="Calibri"/>
              </w:rPr>
              <w:t>1 685,3</w:t>
            </w:r>
          </w:p>
        </w:tc>
        <w:tc>
          <w:tcPr>
            <w:tcW w:w="992" w:type="dxa"/>
            <w:shd w:val="clear" w:color="auto" w:fill="auto"/>
            <w:noWrap/>
            <w:vAlign w:val="bottom"/>
            <w:hideMark/>
          </w:tcPr>
          <w:p w14:paraId="62E4A385" w14:textId="77777777" w:rsidR="004508B2" w:rsidRDefault="004508B2" w:rsidP="004508B2">
            <w:pPr>
              <w:spacing w:after="0"/>
              <w:jc w:val="right"/>
              <w:rPr>
                <w:rFonts w:ascii="Calibri" w:hAnsi="Calibri"/>
              </w:rPr>
            </w:pPr>
            <w:r>
              <w:rPr>
                <w:rFonts w:ascii="Calibri" w:hAnsi="Calibri"/>
              </w:rPr>
              <w:t>1 674,9</w:t>
            </w:r>
          </w:p>
        </w:tc>
        <w:tc>
          <w:tcPr>
            <w:tcW w:w="993" w:type="dxa"/>
            <w:shd w:val="clear" w:color="auto" w:fill="auto"/>
            <w:noWrap/>
            <w:vAlign w:val="bottom"/>
            <w:hideMark/>
          </w:tcPr>
          <w:p w14:paraId="78620ED0" w14:textId="77777777" w:rsidR="004508B2" w:rsidRDefault="004508B2" w:rsidP="004508B2">
            <w:pPr>
              <w:spacing w:after="0"/>
              <w:jc w:val="right"/>
              <w:rPr>
                <w:rFonts w:ascii="Calibri" w:hAnsi="Calibri"/>
              </w:rPr>
            </w:pPr>
            <w:r>
              <w:rPr>
                <w:rFonts w:ascii="Calibri" w:hAnsi="Calibri"/>
              </w:rPr>
              <w:t>1 674,1</w:t>
            </w:r>
          </w:p>
        </w:tc>
        <w:tc>
          <w:tcPr>
            <w:tcW w:w="1012" w:type="dxa"/>
            <w:shd w:val="clear" w:color="auto" w:fill="auto"/>
            <w:noWrap/>
            <w:vAlign w:val="bottom"/>
            <w:hideMark/>
          </w:tcPr>
          <w:p w14:paraId="64DF382C" w14:textId="77777777" w:rsidR="004508B2" w:rsidRDefault="004508B2" w:rsidP="004508B2">
            <w:pPr>
              <w:spacing w:after="0"/>
              <w:jc w:val="right"/>
              <w:rPr>
                <w:rFonts w:ascii="Calibri" w:hAnsi="Calibri"/>
              </w:rPr>
            </w:pPr>
            <w:r>
              <w:rPr>
                <w:rFonts w:ascii="Calibri" w:hAnsi="Calibri"/>
              </w:rPr>
              <w:t>1 674,1</w:t>
            </w:r>
          </w:p>
        </w:tc>
      </w:tr>
    </w:tbl>
    <w:p w14:paraId="1EB6D1A2" w14:textId="77777777" w:rsidR="006117D4" w:rsidRDefault="006117D4" w:rsidP="006117D4">
      <w:pPr>
        <w:spacing w:after="0"/>
        <w:jc w:val="center"/>
        <w:rPr>
          <w:i/>
          <w:sz w:val="20"/>
          <w:szCs w:val="20"/>
        </w:rPr>
      </w:pPr>
      <w:r w:rsidRPr="0091031D">
        <w:rPr>
          <w:i/>
          <w:sz w:val="20"/>
          <w:szCs w:val="20"/>
        </w:rPr>
        <w:t>źródło: opracowanie własne na podstawie danych GUS</w:t>
      </w:r>
    </w:p>
    <w:p w14:paraId="6694F45D" w14:textId="77777777" w:rsidR="006117D4" w:rsidRDefault="006117D4" w:rsidP="006117D4">
      <w:pPr>
        <w:spacing w:after="0"/>
        <w:jc w:val="center"/>
      </w:pPr>
    </w:p>
    <w:p w14:paraId="7B6F7CAE" w14:textId="77777777" w:rsidR="00E238CC" w:rsidRDefault="00BE4F3D" w:rsidP="00051121">
      <w:pPr>
        <w:jc w:val="both"/>
        <w:rPr>
          <w:color w:val="000000" w:themeColor="text1"/>
        </w:rPr>
      </w:pPr>
      <w:r>
        <w:rPr>
          <w:color w:val="000000" w:themeColor="text1"/>
        </w:rPr>
        <w:t xml:space="preserve">Ponad 21% terenu Olsztyna stanowią lasy, co </w:t>
      </w:r>
      <w:r w:rsidR="0007790F">
        <w:rPr>
          <w:color w:val="000000" w:themeColor="text1"/>
        </w:rPr>
        <w:t xml:space="preserve">stanowi, że </w:t>
      </w:r>
      <w:r>
        <w:rPr>
          <w:color w:val="000000" w:themeColor="text1"/>
        </w:rPr>
        <w:t xml:space="preserve">Olsztyn </w:t>
      </w:r>
      <w:r w:rsidR="0007790F">
        <w:rPr>
          <w:color w:val="000000" w:themeColor="text1"/>
        </w:rPr>
        <w:t xml:space="preserve">zajmuje piątą lokatę </w:t>
      </w:r>
      <w:r>
        <w:rPr>
          <w:color w:val="000000" w:themeColor="text1"/>
        </w:rPr>
        <w:t>wśród stolic województw Polski i pierws</w:t>
      </w:r>
      <w:r w:rsidR="0007790F">
        <w:rPr>
          <w:color w:val="000000" w:themeColor="text1"/>
        </w:rPr>
        <w:t xml:space="preserve">ze wśród wybranych miast </w:t>
      </w:r>
      <w:r>
        <w:rPr>
          <w:color w:val="000000" w:themeColor="text1"/>
        </w:rPr>
        <w:t>Pols</w:t>
      </w:r>
      <w:r w:rsidR="0007790F">
        <w:rPr>
          <w:color w:val="000000" w:themeColor="text1"/>
        </w:rPr>
        <w:t>ki</w:t>
      </w:r>
      <w:r>
        <w:rPr>
          <w:color w:val="000000" w:themeColor="text1"/>
        </w:rPr>
        <w:t xml:space="preserve"> W</w:t>
      </w:r>
      <w:r w:rsidR="0007790F">
        <w:rPr>
          <w:color w:val="000000" w:themeColor="text1"/>
        </w:rPr>
        <w:t>s</w:t>
      </w:r>
      <w:r>
        <w:rPr>
          <w:color w:val="000000" w:themeColor="text1"/>
        </w:rPr>
        <w:t xml:space="preserve">chodniej. </w:t>
      </w:r>
      <w:r w:rsidR="0007790F">
        <w:rPr>
          <w:color w:val="000000" w:themeColor="text1"/>
        </w:rPr>
        <w:t xml:space="preserve">Poziom pokrycia powierzchni Olsztyna gruntami leśnymi pozostaje od roku 2013 na względnie stałym poziomie (spadek o 0,2 p.p. </w:t>
      </w:r>
      <w:r w:rsidR="005869FE">
        <w:rPr>
          <w:color w:val="000000" w:themeColor="text1"/>
        </w:rPr>
        <w:br/>
      </w:r>
      <w:r w:rsidR="0007790F">
        <w:rPr>
          <w:color w:val="000000" w:themeColor="text1"/>
        </w:rPr>
        <w:t>w roku 2019 w porównaniu do roku 2013).</w:t>
      </w:r>
    </w:p>
    <w:p w14:paraId="7F0F2ACC" w14:textId="77777777" w:rsidR="00935DE1" w:rsidRDefault="00935DE1" w:rsidP="00051121">
      <w:pPr>
        <w:jc w:val="both"/>
      </w:pPr>
      <w:r w:rsidRPr="00000A07">
        <w:t xml:space="preserve">Warto zaznaczyć, że </w:t>
      </w:r>
      <w:r>
        <w:t>znaczna część olsztyńskich terenów leśnych to zwarty kompleks Lasu Miejskiego (ok. 1400 ha), jeden z największych miejskich kompleksów leśnych w Europie. Łącznie obszary prawnie chronione stanowią 5,8% powierzchni miasta (Olsztyn w zestawieniu wyprzedza Rzeszów (0,1%) oraz Białystok (1,0%), jednak pozostaje daleko za Lublinem (17,2%) i Kielcami (62,0%)).</w:t>
      </w:r>
    </w:p>
    <w:p w14:paraId="6DE9E426" w14:textId="606534CB" w:rsidR="009453C0" w:rsidRPr="009453C0" w:rsidRDefault="009453C0" w:rsidP="009453C0">
      <w:pPr>
        <w:pStyle w:val="Legenda"/>
        <w:rPr>
          <w:sz w:val="22"/>
          <w:szCs w:val="22"/>
          <w:lang w:val="pl-PL"/>
        </w:rPr>
      </w:pPr>
      <w:bookmarkStart w:id="71" w:name="_Toc73516095"/>
      <w:r w:rsidRPr="009453C0">
        <w:rPr>
          <w:sz w:val="22"/>
          <w:szCs w:val="22"/>
        </w:rPr>
        <w:t xml:space="preserve">Wykres </w:t>
      </w:r>
      <w:r w:rsidRPr="009453C0">
        <w:rPr>
          <w:sz w:val="22"/>
          <w:szCs w:val="22"/>
        </w:rPr>
        <w:fldChar w:fldCharType="begin"/>
      </w:r>
      <w:r w:rsidRPr="009453C0">
        <w:rPr>
          <w:sz w:val="22"/>
          <w:szCs w:val="22"/>
        </w:rPr>
        <w:instrText xml:space="preserve"> SEQ Wykres \* ARABIC </w:instrText>
      </w:r>
      <w:r w:rsidRPr="009453C0">
        <w:rPr>
          <w:sz w:val="22"/>
          <w:szCs w:val="22"/>
        </w:rPr>
        <w:fldChar w:fldCharType="separate"/>
      </w:r>
      <w:r w:rsidR="00AD58C3">
        <w:rPr>
          <w:noProof/>
          <w:sz w:val="22"/>
          <w:szCs w:val="22"/>
        </w:rPr>
        <w:t>33</w:t>
      </w:r>
      <w:r w:rsidRPr="009453C0">
        <w:rPr>
          <w:sz w:val="22"/>
          <w:szCs w:val="22"/>
        </w:rPr>
        <w:fldChar w:fldCharType="end"/>
      </w:r>
      <w:r w:rsidRPr="009453C0">
        <w:rPr>
          <w:sz w:val="22"/>
          <w:szCs w:val="22"/>
        </w:rPr>
        <w:t xml:space="preserve">.  </w:t>
      </w:r>
      <w:r w:rsidRPr="009453C0">
        <w:rPr>
          <w:bCs/>
          <w:sz w:val="22"/>
          <w:szCs w:val="22"/>
          <w:lang w:val="en-US"/>
        </w:rPr>
        <w:t>Lesistość w latach 2013-2019 (%)</w:t>
      </w:r>
      <w:bookmarkEnd w:id="71"/>
    </w:p>
    <w:p w14:paraId="3ECD386D" w14:textId="77777777" w:rsidR="00E238CC" w:rsidRDefault="00E238CC" w:rsidP="002464FE">
      <w:pPr>
        <w:spacing w:after="0"/>
        <w:jc w:val="center"/>
      </w:pPr>
      <w:r>
        <w:rPr>
          <w:noProof/>
          <w:lang w:eastAsia="pl-PL"/>
        </w:rPr>
        <w:drawing>
          <wp:inline distT="0" distB="0" distL="0" distR="0" wp14:anchorId="45AF2E50" wp14:editId="7BBF5587">
            <wp:extent cx="4743450" cy="2705100"/>
            <wp:effectExtent l="0" t="0" r="0" b="0"/>
            <wp:docPr id="27" name="Wykres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1FA9140" w14:textId="77777777" w:rsidR="00995ECE" w:rsidRDefault="00995ECE" w:rsidP="002464FE">
      <w:pPr>
        <w:spacing w:after="0"/>
        <w:jc w:val="center"/>
      </w:pPr>
      <w:r w:rsidRPr="0091031D">
        <w:rPr>
          <w:i/>
          <w:sz w:val="20"/>
          <w:szCs w:val="20"/>
        </w:rPr>
        <w:t>źródło: opracowanie własne na podstawie danych GUS</w:t>
      </w:r>
    </w:p>
    <w:p w14:paraId="64A3346A" w14:textId="0A1D5193" w:rsidR="00935DE1" w:rsidRDefault="00935DE1" w:rsidP="00935DE1">
      <w:pPr>
        <w:jc w:val="both"/>
      </w:pPr>
    </w:p>
    <w:p w14:paraId="55896144" w14:textId="11881E70" w:rsidR="00AF7B21" w:rsidRPr="00E22080" w:rsidRDefault="00AF7B21" w:rsidP="00AF7B21">
      <w:pPr>
        <w:pStyle w:val="Legenda"/>
        <w:rPr>
          <w:rFonts w:eastAsia="Times New Roman" w:cs="Times New Roman"/>
          <w:color w:val="000000"/>
          <w:sz w:val="22"/>
          <w:szCs w:val="22"/>
          <w:lang w:eastAsia="pl-PL"/>
        </w:rPr>
      </w:pPr>
      <w:bookmarkStart w:id="72" w:name="_Toc73534974"/>
      <w:r w:rsidRPr="00AF7B21">
        <w:rPr>
          <w:sz w:val="22"/>
          <w:szCs w:val="22"/>
        </w:rPr>
        <w:lastRenderedPageBreak/>
        <w:t xml:space="preserve">Tabela </w:t>
      </w:r>
      <w:r w:rsidRPr="00AF7B21">
        <w:rPr>
          <w:sz w:val="22"/>
          <w:szCs w:val="22"/>
        </w:rPr>
        <w:fldChar w:fldCharType="begin"/>
      </w:r>
      <w:r w:rsidRPr="00AF7B21">
        <w:rPr>
          <w:sz w:val="22"/>
          <w:szCs w:val="22"/>
        </w:rPr>
        <w:instrText xml:space="preserve"> SEQ Tabela \* ARABIC </w:instrText>
      </w:r>
      <w:r w:rsidRPr="00AF7B21">
        <w:rPr>
          <w:sz w:val="22"/>
          <w:szCs w:val="22"/>
        </w:rPr>
        <w:fldChar w:fldCharType="separate"/>
      </w:r>
      <w:r w:rsidR="00AD58C3">
        <w:rPr>
          <w:noProof/>
          <w:sz w:val="22"/>
          <w:szCs w:val="22"/>
        </w:rPr>
        <w:t>11</w:t>
      </w:r>
      <w:r w:rsidRPr="00AF7B21">
        <w:rPr>
          <w:sz w:val="22"/>
          <w:szCs w:val="22"/>
        </w:rPr>
        <w:fldChar w:fldCharType="end"/>
      </w:r>
      <w:r w:rsidRPr="00AF7B21">
        <w:rPr>
          <w:sz w:val="22"/>
          <w:szCs w:val="22"/>
        </w:rPr>
        <w:t xml:space="preserve">. </w:t>
      </w:r>
      <w:r w:rsidRPr="00AF7B21">
        <w:rPr>
          <w:rFonts w:eastAsia="Times New Roman" w:cs="Times New Roman"/>
          <w:color w:val="000000"/>
          <w:sz w:val="22"/>
          <w:szCs w:val="22"/>
          <w:lang w:eastAsia="pl-PL"/>
        </w:rPr>
        <w:t>Udział % obszarów prawnie chronionych w powierzchni ogółem w latach 2013-2019</w:t>
      </w:r>
      <w:bookmarkEnd w:id="72"/>
    </w:p>
    <w:tbl>
      <w:tblPr>
        <w:tblW w:w="6649" w:type="dxa"/>
        <w:jc w:val="center"/>
        <w:tblCellMar>
          <w:left w:w="70" w:type="dxa"/>
          <w:right w:w="70" w:type="dxa"/>
        </w:tblCellMar>
        <w:tblLook w:val="04A0" w:firstRow="1" w:lastRow="0" w:firstColumn="1" w:lastColumn="0" w:noHBand="0" w:noVBand="1"/>
      </w:tblPr>
      <w:tblGrid>
        <w:gridCol w:w="1021"/>
        <w:gridCol w:w="804"/>
        <w:gridCol w:w="804"/>
        <w:gridCol w:w="804"/>
        <w:gridCol w:w="804"/>
        <w:gridCol w:w="804"/>
        <w:gridCol w:w="804"/>
        <w:gridCol w:w="804"/>
      </w:tblGrid>
      <w:tr w:rsidR="002C24DC" w:rsidRPr="002C24DC" w14:paraId="2987DC1B" w14:textId="77777777" w:rsidTr="00BB0170">
        <w:trPr>
          <w:trHeight w:val="258"/>
          <w:jc w:val="center"/>
        </w:trPr>
        <w:tc>
          <w:tcPr>
            <w:tcW w:w="1021" w:type="dxa"/>
            <w:tcBorders>
              <w:bottom w:val="single" w:sz="4" w:space="0" w:color="auto"/>
              <w:right w:val="single" w:sz="4" w:space="0" w:color="auto"/>
            </w:tcBorders>
            <w:shd w:val="clear" w:color="auto" w:fill="FFFFFF" w:themeFill="background1"/>
            <w:vAlign w:val="center"/>
            <w:hideMark/>
          </w:tcPr>
          <w:p w14:paraId="1835D470" w14:textId="77777777" w:rsidR="002C24DC" w:rsidRPr="002C24DC" w:rsidRDefault="002C24DC" w:rsidP="002C24DC">
            <w:pPr>
              <w:spacing w:after="0" w:line="240" w:lineRule="auto"/>
              <w:rPr>
                <w:rFonts w:ascii="Calibri" w:eastAsia="Times New Roman" w:hAnsi="Calibri" w:cs="Times New Roman"/>
                <w:color w:val="000000"/>
                <w:lang w:eastAsia="pl-PL"/>
              </w:rPr>
            </w:pPr>
            <w:r w:rsidRPr="002C24DC">
              <w:rPr>
                <w:rFonts w:ascii="Calibri" w:eastAsia="Times New Roman" w:hAnsi="Calibri" w:cs="Times New Roman"/>
                <w:color w:val="000000"/>
                <w:lang w:eastAsia="pl-PL"/>
              </w:rPr>
              <w:t> </w:t>
            </w:r>
          </w:p>
        </w:tc>
        <w:tc>
          <w:tcPr>
            <w:tcW w:w="804"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6423967D" w14:textId="77777777" w:rsidR="002C24DC" w:rsidRPr="002C24DC" w:rsidRDefault="002C24DC" w:rsidP="002C24DC">
            <w:pPr>
              <w:spacing w:after="0" w:line="240" w:lineRule="auto"/>
              <w:jc w:val="center"/>
              <w:rPr>
                <w:rFonts w:ascii="Calibri" w:eastAsia="Times New Roman" w:hAnsi="Calibri" w:cs="Times New Roman"/>
                <w:b/>
                <w:color w:val="000000"/>
                <w:lang w:eastAsia="pl-PL"/>
              </w:rPr>
            </w:pPr>
            <w:r w:rsidRPr="002C24DC">
              <w:rPr>
                <w:rFonts w:ascii="Calibri" w:eastAsia="Times New Roman" w:hAnsi="Calibri" w:cs="Times New Roman"/>
                <w:b/>
                <w:color w:val="000000"/>
                <w:lang w:eastAsia="pl-PL"/>
              </w:rPr>
              <w:t>2013</w:t>
            </w:r>
          </w:p>
        </w:tc>
        <w:tc>
          <w:tcPr>
            <w:tcW w:w="804" w:type="dxa"/>
            <w:tcBorders>
              <w:top w:val="single" w:sz="4" w:space="0" w:color="000000"/>
              <w:left w:val="single" w:sz="4" w:space="0" w:color="auto"/>
              <w:bottom w:val="single" w:sz="4" w:space="0" w:color="auto"/>
              <w:right w:val="single" w:sz="4" w:space="0" w:color="000000"/>
            </w:tcBorders>
            <w:shd w:val="clear" w:color="auto" w:fill="92D050"/>
            <w:vAlign w:val="center"/>
            <w:hideMark/>
          </w:tcPr>
          <w:p w14:paraId="44513664" w14:textId="77777777" w:rsidR="002C24DC" w:rsidRPr="002C24DC" w:rsidRDefault="002C24DC" w:rsidP="002C24DC">
            <w:pPr>
              <w:spacing w:after="0" w:line="240" w:lineRule="auto"/>
              <w:jc w:val="center"/>
              <w:rPr>
                <w:rFonts w:ascii="Calibri" w:eastAsia="Times New Roman" w:hAnsi="Calibri" w:cs="Times New Roman"/>
                <w:b/>
                <w:color w:val="000000"/>
                <w:lang w:eastAsia="pl-PL"/>
              </w:rPr>
            </w:pPr>
            <w:r w:rsidRPr="002C24DC">
              <w:rPr>
                <w:rFonts w:ascii="Calibri" w:eastAsia="Times New Roman" w:hAnsi="Calibri" w:cs="Times New Roman"/>
                <w:b/>
                <w:color w:val="000000"/>
                <w:lang w:eastAsia="pl-PL"/>
              </w:rPr>
              <w:t>2014</w:t>
            </w:r>
          </w:p>
        </w:tc>
        <w:tc>
          <w:tcPr>
            <w:tcW w:w="804" w:type="dxa"/>
            <w:tcBorders>
              <w:top w:val="single" w:sz="4" w:space="0" w:color="000000"/>
              <w:left w:val="nil"/>
              <w:bottom w:val="single" w:sz="4" w:space="0" w:color="auto"/>
              <w:right w:val="single" w:sz="4" w:space="0" w:color="000000"/>
            </w:tcBorders>
            <w:shd w:val="clear" w:color="auto" w:fill="92D050"/>
            <w:vAlign w:val="center"/>
            <w:hideMark/>
          </w:tcPr>
          <w:p w14:paraId="7AA07344" w14:textId="77777777" w:rsidR="002C24DC" w:rsidRPr="002C24DC" w:rsidRDefault="002C24DC" w:rsidP="002C24DC">
            <w:pPr>
              <w:spacing w:after="0" w:line="240" w:lineRule="auto"/>
              <w:jc w:val="center"/>
              <w:rPr>
                <w:rFonts w:ascii="Calibri" w:eastAsia="Times New Roman" w:hAnsi="Calibri" w:cs="Times New Roman"/>
                <w:b/>
                <w:color w:val="000000"/>
                <w:lang w:eastAsia="pl-PL"/>
              </w:rPr>
            </w:pPr>
            <w:r w:rsidRPr="002C24DC">
              <w:rPr>
                <w:rFonts w:ascii="Calibri" w:eastAsia="Times New Roman" w:hAnsi="Calibri" w:cs="Times New Roman"/>
                <w:b/>
                <w:color w:val="000000"/>
                <w:lang w:eastAsia="pl-PL"/>
              </w:rPr>
              <w:t>2015</w:t>
            </w:r>
          </w:p>
        </w:tc>
        <w:tc>
          <w:tcPr>
            <w:tcW w:w="804" w:type="dxa"/>
            <w:tcBorders>
              <w:top w:val="single" w:sz="4" w:space="0" w:color="000000"/>
              <w:left w:val="nil"/>
              <w:bottom w:val="single" w:sz="4" w:space="0" w:color="auto"/>
              <w:right w:val="single" w:sz="4" w:space="0" w:color="000000"/>
            </w:tcBorders>
            <w:shd w:val="clear" w:color="auto" w:fill="92D050"/>
            <w:vAlign w:val="center"/>
            <w:hideMark/>
          </w:tcPr>
          <w:p w14:paraId="7872E8D7" w14:textId="77777777" w:rsidR="002C24DC" w:rsidRPr="002C24DC" w:rsidRDefault="002C24DC" w:rsidP="002C24DC">
            <w:pPr>
              <w:spacing w:after="0" w:line="240" w:lineRule="auto"/>
              <w:jc w:val="center"/>
              <w:rPr>
                <w:rFonts w:ascii="Calibri" w:eastAsia="Times New Roman" w:hAnsi="Calibri" w:cs="Times New Roman"/>
                <w:b/>
                <w:color w:val="000000"/>
                <w:lang w:eastAsia="pl-PL"/>
              </w:rPr>
            </w:pPr>
            <w:r w:rsidRPr="002C24DC">
              <w:rPr>
                <w:rFonts w:ascii="Calibri" w:eastAsia="Times New Roman" w:hAnsi="Calibri" w:cs="Times New Roman"/>
                <w:b/>
                <w:color w:val="000000"/>
                <w:lang w:eastAsia="pl-PL"/>
              </w:rPr>
              <w:t>2016</w:t>
            </w:r>
          </w:p>
        </w:tc>
        <w:tc>
          <w:tcPr>
            <w:tcW w:w="804" w:type="dxa"/>
            <w:tcBorders>
              <w:top w:val="single" w:sz="4" w:space="0" w:color="000000"/>
              <w:left w:val="nil"/>
              <w:bottom w:val="single" w:sz="4" w:space="0" w:color="auto"/>
              <w:right w:val="single" w:sz="4" w:space="0" w:color="000000"/>
            </w:tcBorders>
            <w:shd w:val="clear" w:color="auto" w:fill="92D050"/>
            <w:vAlign w:val="center"/>
            <w:hideMark/>
          </w:tcPr>
          <w:p w14:paraId="6B5B8B18" w14:textId="77777777" w:rsidR="002C24DC" w:rsidRPr="002C24DC" w:rsidRDefault="002C24DC" w:rsidP="002C24DC">
            <w:pPr>
              <w:spacing w:after="0" w:line="240" w:lineRule="auto"/>
              <w:jc w:val="center"/>
              <w:rPr>
                <w:rFonts w:ascii="Calibri" w:eastAsia="Times New Roman" w:hAnsi="Calibri" w:cs="Times New Roman"/>
                <w:b/>
                <w:color w:val="000000"/>
                <w:lang w:eastAsia="pl-PL"/>
              </w:rPr>
            </w:pPr>
            <w:r w:rsidRPr="002C24DC">
              <w:rPr>
                <w:rFonts w:ascii="Calibri" w:eastAsia="Times New Roman" w:hAnsi="Calibri" w:cs="Times New Roman"/>
                <w:b/>
                <w:color w:val="000000"/>
                <w:lang w:eastAsia="pl-PL"/>
              </w:rPr>
              <w:t>2017</w:t>
            </w:r>
          </w:p>
        </w:tc>
        <w:tc>
          <w:tcPr>
            <w:tcW w:w="804" w:type="dxa"/>
            <w:tcBorders>
              <w:top w:val="single" w:sz="4" w:space="0" w:color="000000"/>
              <w:left w:val="nil"/>
              <w:bottom w:val="single" w:sz="4" w:space="0" w:color="auto"/>
              <w:right w:val="single" w:sz="4" w:space="0" w:color="000000"/>
            </w:tcBorders>
            <w:shd w:val="clear" w:color="auto" w:fill="92D050"/>
            <w:vAlign w:val="center"/>
            <w:hideMark/>
          </w:tcPr>
          <w:p w14:paraId="31F415D3" w14:textId="77777777" w:rsidR="002C24DC" w:rsidRPr="002C24DC" w:rsidRDefault="002C24DC" w:rsidP="002C24DC">
            <w:pPr>
              <w:spacing w:after="0" w:line="240" w:lineRule="auto"/>
              <w:jc w:val="center"/>
              <w:rPr>
                <w:rFonts w:ascii="Calibri" w:eastAsia="Times New Roman" w:hAnsi="Calibri" w:cs="Times New Roman"/>
                <w:b/>
                <w:color w:val="000000"/>
                <w:lang w:eastAsia="pl-PL"/>
              </w:rPr>
            </w:pPr>
            <w:r w:rsidRPr="002C24DC">
              <w:rPr>
                <w:rFonts w:ascii="Calibri" w:eastAsia="Times New Roman" w:hAnsi="Calibri" w:cs="Times New Roman"/>
                <w:b/>
                <w:color w:val="000000"/>
                <w:lang w:eastAsia="pl-PL"/>
              </w:rPr>
              <w:t>2018</w:t>
            </w:r>
          </w:p>
        </w:tc>
        <w:tc>
          <w:tcPr>
            <w:tcW w:w="804" w:type="dxa"/>
            <w:tcBorders>
              <w:top w:val="single" w:sz="4" w:space="0" w:color="000000"/>
              <w:left w:val="nil"/>
              <w:bottom w:val="single" w:sz="4" w:space="0" w:color="auto"/>
              <w:right w:val="single" w:sz="4" w:space="0" w:color="000000"/>
            </w:tcBorders>
            <w:shd w:val="clear" w:color="auto" w:fill="92D050"/>
            <w:vAlign w:val="center"/>
            <w:hideMark/>
          </w:tcPr>
          <w:p w14:paraId="7BF60E19" w14:textId="77777777" w:rsidR="002C24DC" w:rsidRPr="002C24DC" w:rsidRDefault="002C24DC" w:rsidP="002C24DC">
            <w:pPr>
              <w:spacing w:after="0" w:line="240" w:lineRule="auto"/>
              <w:jc w:val="center"/>
              <w:rPr>
                <w:rFonts w:ascii="Calibri" w:eastAsia="Times New Roman" w:hAnsi="Calibri" w:cs="Times New Roman"/>
                <w:b/>
                <w:color w:val="000000"/>
                <w:lang w:eastAsia="pl-PL"/>
              </w:rPr>
            </w:pPr>
            <w:r w:rsidRPr="002C24DC">
              <w:rPr>
                <w:rFonts w:ascii="Calibri" w:eastAsia="Times New Roman" w:hAnsi="Calibri" w:cs="Times New Roman"/>
                <w:b/>
                <w:color w:val="000000"/>
                <w:lang w:eastAsia="pl-PL"/>
              </w:rPr>
              <w:t>2019</w:t>
            </w:r>
          </w:p>
        </w:tc>
      </w:tr>
      <w:tr w:rsidR="002C24DC" w:rsidRPr="002C24DC" w14:paraId="36398F16" w14:textId="77777777" w:rsidTr="00BB0170">
        <w:trPr>
          <w:trHeight w:val="258"/>
          <w:jc w:val="center"/>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13B792" w14:textId="77777777" w:rsidR="002C24DC" w:rsidRPr="002C24DC" w:rsidRDefault="002C24DC" w:rsidP="002C24DC">
            <w:pPr>
              <w:spacing w:after="0" w:line="240" w:lineRule="auto"/>
              <w:rPr>
                <w:rFonts w:ascii="Calibri" w:eastAsia="Times New Roman" w:hAnsi="Calibri" w:cs="Times New Roman"/>
                <w:lang w:eastAsia="pl-PL"/>
              </w:rPr>
            </w:pPr>
            <w:r w:rsidRPr="002C24DC">
              <w:rPr>
                <w:rFonts w:ascii="Calibri" w:eastAsia="Times New Roman" w:hAnsi="Calibri" w:cs="Times New Roman"/>
                <w:lang w:eastAsia="pl-PL"/>
              </w:rPr>
              <w:t>Olsztyn</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764BFB"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5,7</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4DC443"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5,7</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6EFD5B"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5,7</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FA5CAE"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5,7</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C26A22"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5,7</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6E7BE9"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5,8</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946026"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5,8</w:t>
            </w:r>
          </w:p>
        </w:tc>
      </w:tr>
      <w:tr w:rsidR="002C24DC" w:rsidRPr="002C24DC" w14:paraId="1D57B922" w14:textId="77777777" w:rsidTr="00BB0170">
        <w:trPr>
          <w:trHeight w:val="258"/>
          <w:jc w:val="center"/>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330D71" w14:textId="77777777" w:rsidR="002C24DC" w:rsidRPr="002C24DC" w:rsidRDefault="002C24DC" w:rsidP="002C24DC">
            <w:pPr>
              <w:spacing w:after="0" w:line="240" w:lineRule="auto"/>
              <w:rPr>
                <w:rFonts w:ascii="Calibri" w:eastAsia="Times New Roman" w:hAnsi="Calibri" w:cs="Times New Roman"/>
                <w:lang w:eastAsia="pl-PL"/>
              </w:rPr>
            </w:pPr>
            <w:r w:rsidRPr="002C24DC">
              <w:rPr>
                <w:rFonts w:ascii="Calibri" w:eastAsia="Times New Roman" w:hAnsi="Calibri" w:cs="Times New Roman"/>
                <w:lang w:eastAsia="pl-PL"/>
              </w:rPr>
              <w:t>Kielce</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9788B6"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63,9</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646DBB"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63,9</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D280F0"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62,0</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A96782"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62,0</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F4A47D"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62,0</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574D70"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62,0</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42AF9B"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62,0</w:t>
            </w:r>
          </w:p>
        </w:tc>
      </w:tr>
      <w:tr w:rsidR="002C24DC" w:rsidRPr="002C24DC" w14:paraId="2C5B3455" w14:textId="77777777" w:rsidTr="00BB0170">
        <w:trPr>
          <w:trHeight w:val="258"/>
          <w:jc w:val="center"/>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660F70" w14:textId="77777777" w:rsidR="002C24DC" w:rsidRPr="002C24DC" w:rsidRDefault="002C24DC" w:rsidP="002C24DC">
            <w:pPr>
              <w:spacing w:after="0" w:line="240" w:lineRule="auto"/>
              <w:rPr>
                <w:rFonts w:ascii="Calibri" w:eastAsia="Times New Roman" w:hAnsi="Calibri" w:cs="Times New Roman"/>
                <w:lang w:eastAsia="pl-PL"/>
              </w:rPr>
            </w:pPr>
            <w:r w:rsidRPr="002C24DC">
              <w:rPr>
                <w:rFonts w:ascii="Calibri" w:eastAsia="Times New Roman" w:hAnsi="Calibri" w:cs="Times New Roman"/>
                <w:lang w:eastAsia="pl-PL"/>
              </w:rPr>
              <w:t>Białystok</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6B1D77"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1,0</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566003"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1,0</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ADF748"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1,0</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F454BC"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1,0</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636007"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1,0</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67BB11"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1,0</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8062CD"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1,0</w:t>
            </w:r>
          </w:p>
        </w:tc>
      </w:tr>
      <w:tr w:rsidR="002C24DC" w:rsidRPr="002C24DC" w14:paraId="6C8D3EE2" w14:textId="77777777" w:rsidTr="00BB0170">
        <w:trPr>
          <w:trHeight w:val="258"/>
          <w:jc w:val="center"/>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35CE6" w14:textId="77777777" w:rsidR="002C24DC" w:rsidRPr="002C24DC" w:rsidRDefault="002C24DC" w:rsidP="002C24DC">
            <w:pPr>
              <w:spacing w:after="0" w:line="240" w:lineRule="auto"/>
              <w:rPr>
                <w:rFonts w:ascii="Calibri" w:eastAsia="Times New Roman" w:hAnsi="Calibri" w:cs="Times New Roman"/>
                <w:lang w:eastAsia="pl-PL"/>
              </w:rPr>
            </w:pPr>
            <w:r w:rsidRPr="002C24DC">
              <w:rPr>
                <w:rFonts w:ascii="Calibri" w:eastAsia="Times New Roman" w:hAnsi="Calibri" w:cs="Times New Roman"/>
                <w:lang w:eastAsia="pl-PL"/>
              </w:rPr>
              <w:t>Rzeszów</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3FA9FD"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0,1</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691EDD"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0,1</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D1B07D"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0,1</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6CB20F"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0,1</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F7ACA9"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0,1</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A7A69C"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0,1</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AF98FE"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0,1</w:t>
            </w:r>
          </w:p>
        </w:tc>
      </w:tr>
      <w:tr w:rsidR="002C24DC" w:rsidRPr="002C24DC" w14:paraId="005BCA57" w14:textId="77777777" w:rsidTr="00BB0170">
        <w:trPr>
          <w:trHeight w:val="258"/>
          <w:jc w:val="center"/>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B252A0" w14:textId="77777777" w:rsidR="002C24DC" w:rsidRPr="002C24DC" w:rsidRDefault="002C24DC" w:rsidP="002C24DC">
            <w:pPr>
              <w:spacing w:after="0" w:line="240" w:lineRule="auto"/>
              <w:rPr>
                <w:rFonts w:ascii="Calibri" w:eastAsia="Times New Roman" w:hAnsi="Calibri" w:cs="Times New Roman"/>
                <w:lang w:eastAsia="pl-PL"/>
              </w:rPr>
            </w:pPr>
            <w:r w:rsidRPr="002C24DC">
              <w:rPr>
                <w:rFonts w:ascii="Calibri" w:eastAsia="Times New Roman" w:hAnsi="Calibri" w:cs="Times New Roman"/>
                <w:lang w:eastAsia="pl-PL"/>
              </w:rPr>
              <w:t>Lublin</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18749B"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17,2</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3E25CC"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17,2</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3CB229"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17,2</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8BD1CC"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17,2</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FC3F2C"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17,2</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106070"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17,2</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50806D" w14:textId="77777777" w:rsidR="002C24DC" w:rsidRPr="002C24DC" w:rsidRDefault="002C24DC" w:rsidP="002C24DC">
            <w:pPr>
              <w:spacing w:after="0" w:line="240" w:lineRule="auto"/>
              <w:jc w:val="right"/>
              <w:rPr>
                <w:rFonts w:ascii="Calibri" w:eastAsia="Times New Roman" w:hAnsi="Calibri" w:cs="Times New Roman"/>
                <w:sz w:val="20"/>
                <w:szCs w:val="20"/>
                <w:lang w:eastAsia="pl-PL"/>
              </w:rPr>
            </w:pPr>
            <w:r w:rsidRPr="002C24DC">
              <w:rPr>
                <w:rFonts w:ascii="Calibri" w:eastAsia="Times New Roman" w:hAnsi="Calibri" w:cs="Times New Roman"/>
                <w:sz w:val="20"/>
                <w:szCs w:val="20"/>
                <w:lang w:eastAsia="pl-PL"/>
              </w:rPr>
              <w:t>17,2</w:t>
            </w:r>
          </w:p>
        </w:tc>
      </w:tr>
    </w:tbl>
    <w:p w14:paraId="5C6E1EEE" w14:textId="77777777" w:rsidR="002C24DC" w:rsidRDefault="002C24DC" w:rsidP="002C24DC">
      <w:pPr>
        <w:spacing w:after="0"/>
        <w:jc w:val="center"/>
        <w:rPr>
          <w:i/>
          <w:sz w:val="20"/>
          <w:szCs w:val="20"/>
        </w:rPr>
      </w:pPr>
      <w:r w:rsidRPr="0091031D">
        <w:rPr>
          <w:i/>
          <w:sz w:val="20"/>
          <w:szCs w:val="20"/>
        </w:rPr>
        <w:t>źródło: opracowanie własne na podstawie danych GUS</w:t>
      </w:r>
    </w:p>
    <w:p w14:paraId="07A57A91" w14:textId="77777777" w:rsidR="002C24DC" w:rsidRDefault="002C24DC" w:rsidP="002C24DC">
      <w:pPr>
        <w:jc w:val="both"/>
      </w:pPr>
    </w:p>
    <w:p w14:paraId="725BAFF7" w14:textId="77777777" w:rsidR="002C24DC" w:rsidRPr="0051542D" w:rsidRDefault="002C24DC" w:rsidP="002C24DC">
      <w:pPr>
        <w:jc w:val="both"/>
      </w:pPr>
      <w:r w:rsidRPr="0051542D">
        <w:t xml:space="preserve">Do największych form ochrony przyrody zlokalizowanych na obszarze MOF </w:t>
      </w:r>
      <w:r>
        <w:t>należą obszary Natura 2000</w:t>
      </w:r>
      <w:r w:rsidRPr="0051542D">
        <w:t>:</w:t>
      </w:r>
    </w:p>
    <w:p w14:paraId="427A85C6" w14:textId="77777777" w:rsidR="002C24DC" w:rsidRPr="0051542D" w:rsidRDefault="002C24DC" w:rsidP="002C24DC">
      <w:pPr>
        <w:numPr>
          <w:ilvl w:val="0"/>
          <w:numId w:val="10"/>
        </w:numPr>
        <w:spacing w:after="120" w:line="276" w:lineRule="auto"/>
        <w:ind w:left="714" w:hanging="357"/>
        <w:contextualSpacing/>
        <w:jc w:val="both"/>
      </w:pPr>
      <w:r w:rsidRPr="0051542D">
        <w:t>Puszcza Napiwodzko-Ramucka,</w:t>
      </w:r>
    </w:p>
    <w:p w14:paraId="716ADE42" w14:textId="77777777" w:rsidR="002C24DC" w:rsidRPr="0051542D" w:rsidRDefault="002C24DC" w:rsidP="002C24DC">
      <w:pPr>
        <w:numPr>
          <w:ilvl w:val="0"/>
          <w:numId w:val="10"/>
        </w:numPr>
        <w:spacing w:after="120" w:line="276" w:lineRule="auto"/>
        <w:ind w:left="714" w:hanging="357"/>
        <w:contextualSpacing/>
        <w:jc w:val="both"/>
      </w:pPr>
      <w:r w:rsidRPr="0051542D">
        <w:t>Dolina Pasłęki,</w:t>
      </w:r>
    </w:p>
    <w:p w14:paraId="2BDD884F" w14:textId="77777777" w:rsidR="002C24DC" w:rsidRPr="0051542D" w:rsidRDefault="002C24DC" w:rsidP="002C24DC">
      <w:pPr>
        <w:numPr>
          <w:ilvl w:val="0"/>
          <w:numId w:val="10"/>
        </w:numPr>
        <w:spacing w:after="120" w:line="276" w:lineRule="auto"/>
        <w:ind w:left="714" w:hanging="357"/>
        <w:contextualSpacing/>
        <w:jc w:val="both"/>
      </w:pPr>
      <w:r w:rsidRPr="0051542D">
        <w:t>Dolina Środkowej Łyny,</w:t>
      </w:r>
    </w:p>
    <w:p w14:paraId="6CC2FBC3" w14:textId="77777777" w:rsidR="002C24DC" w:rsidRPr="0051542D" w:rsidRDefault="002C24DC" w:rsidP="002C24DC">
      <w:pPr>
        <w:numPr>
          <w:ilvl w:val="0"/>
          <w:numId w:val="10"/>
        </w:numPr>
        <w:spacing w:after="120" w:line="276" w:lineRule="auto"/>
        <w:ind w:left="714" w:hanging="357"/>
        <w:contextualSpacing/>
        <w:jc w:val="both"/>
      </w:pPr>
      <w:r w:rsidRPr="0051542D">
        <w:t>Las Warmiński,</w:t>
      </w:r>
    </w:p>
    <w:p w14:paraId="0F416978" w14:textId="77777777" w:rsidR="002C24DC" w:rsidRPr="0051542D" w:rsidRDefault="002C24DC" w:rsidP="002C24DC">
      <w:pPr>
        <w:numPr>
          <w:ilvl w:val="0"/>
          <w:numId w:val="10"/>
        </w:numPr>
        <w:spacing w:after="120" w:line="276" w:lineRule="auto"/>
        <w:ind w:left="714" w:hanging="357"/>
        <w:contextualSpacing/>
        <w:jc w:val="both"/>
      </w:pPr>
      <w:r w:rsidRPr="0051542D">
        <w:t>Obszar Chronionego Krajobrazu Pojezierza Olsztyńskiego.</w:t>
      </w:r>
    </w:p>
    <w:p w14:paraId="5B77DD5C" w14:textId="77777777" w:rsidR="002C24DC" w:rsidRDefault="002C24DC" w:rsidP="00935DE1">
      <w:pPr>
        <w:jc w:val="both"/>
      </w:pPr>
    </w:p>
    <w:p w14:paraId="2073F82D" w14:textId="5104EA14" w:rsidR="00935DE1" w:rsidRDefault="00935DE1" w:rsidP="00935DE1">
      <w:pPr>
        <w:jc w:val="both"/>
      </w:pPr>
      <w:r>
        <w:t xml:space="preserve">Tereny zielone uzupełniają parki spacerowo-wypoczynkowe, których w Olsztynie w roku 2019 istniało 18 </w:t>
      </w:r>
      <w:r w:rsidR="00994C7A">
        <w:t xml:space="preserve">i </w:t>
      </w:r>
      <w:r>
        <w:t>zajm</w:t>
      </w:r>
      <w:r w:rsidR="00994C7A">
        <w:t>owały</w:t>
      </w:r>
      <w:r>
        <w:t xml:space="preserve"> ponad 103 ha powierzchni miasta. Na przestrzeni lat 2013-2019 w Olsztynie</w:t>
      </w:r>
      <w:r w:rsidRPr="00DC52FC">
        <w:t xml:space="preserve"> </w:t>
      </w:r>
      <w:r>
        <w:t xml:space="preserve">wyraźnie zwiększyła się liczba a także powierzchnia parków (więcej o 6 obiektów i 30,7 ha w roku 2019 </w:t>
      </w:r>
      <w:r w:rsidR="00206773">
        <w:br/>
      </w:r>
      <w:r>
        <w:t>w porównaniu do roku 2013).</w:t>
      </w:r>
    </w:p>
    <w:p w14:paraId="2C430A56" w14:textId="6C0939B7" w:rsidR="009941F0" w:rsidRPr="00E22080" w:rsidRDefault="00AF7B21" w:rsidP="00AF7B21">
      <w:pPr>
        <w:pStyle w:val="Legenda"/>
        <w:rPr>
          <w:sz w:val="22"/>
          <w:szCs w:val="22"/>
        </w:rPr>
      </w:pPr>
      <w:bookmarkStart w:id="73" w:name="_Toc73534975"/>
      <w:r w:rsidRPr="00E22080">
        <w:rPr>
          <w:sz w:val="22"/>
          <w:szCs w:val="22"/>
        </w:rPr>
        <w:t xml:space="preserve">Tabela </w:t>
      </w:r>
      <w:r w:rsidRPr="00E22080">
        <w:rPr>
          <w:sz w:val="22"/>
          <w:szCs w:val="22"/>
        </w:rPr>
        <w:fldChar w:fldCharType="begin"/>
      </w:r>
      <w:r w:rsidRPr="00E22080">
        <w:rPr>
          <w:sz w:val="22"/>
          <w:szCs w:val="22"/>
        </w:rPr>
        <w:instrText xml:space="preserve"> SEQ Tabela \* ARABIC </w:instrText>
      </w:r>
      <w:r w:rsidRPr="00E22080">
        <w:rPr>
          <w:sz w:val="22"/>
          <w:szCs w:val="22"/>
        </w:rPr>
        <w:fldChar w:fldCharType="separate"/>
      </w:r>
      <w:r w:rsidR="00AD58C3">
        <w:rPr>
          <w:noProof/>
          <w:sz w:val="22"/>
          <w:szCs w:val="22"/>
        </w:rPr>
        <w:t>12</w:t>
      </w:r>
      <w:r w:rsidRPr="00E22080">
        <w:rPr>
          <w:sz w:val="22"/>
          <w:szCs w:val="22"/>
        </w:rPr>
        <w:fldChar w:fldCharType="end"/>
      </w:r>
      <w:r w:rsidRPr="00E22080">
        <w:rPr>
          <w:sz w:val="22"/>
          <w:szCs w:val="22"/>
        </w:rPr>
        <w:t>. Liczba p</w:t>
      </w:r>
      <w:r w:rsidRPr="00E22080">
        <w:rPr>
          <w:color w:val="000000" w:themeColor="text1"/>
          <w:sz w:val="22"/>
          <w:szCs w:val="22"/>
        </w:rPr>
        <w:t>arków spacerowo wypoczynkowych</w:t>
      </w:r>
      <w:r w:rsidR="00E22080">
        <w:rPr>
          <w:color w:val="000000" w:themeColor="text1"/>
          <w:sz w:val="22"/>
          <w:szCs w:val="22"/>
        </w:rPr>
        <w:t xml:space="preserve"> </w:t>
      </w:r>
      <w:r w:rsidRPr="00E22080">
        <w:rPr>
          <w:color w:val="000000" w:themeColor="text1"/>
          <w:sz w:val="22"/>
          <w:szCs w:val="22"/>
        </w:rPr>
        <w:t>(szt.)</w:t>
      </w:r>
      <w:bookmarkEnd w:id="73"/>
    </w:p>
    <w:tbl>
      <w:tblPr>
        <w:tblW w:w="7132" w:type="dxa"/>
        <w:jc w:val="center"/>
        <w:tblCellMar>
          <w:left w:w="0" w:type="dxa"/>
          <w:right w:w="0" w:type="dxa"/>
        </w:tblCellMar>
        <w:tblLook w:val="04A0" w:firstRow="1" w:lastRow="0" w:firstColumn="1" w:lastColumn="0" w:noHBand="0" w:noVBand="1"/>
      </w:tblPr>
      <w:tblGrid>
        <w:gridCol w:w="1134"/>
        <w:gridCol w:w="847"/>
        <w:gridCol w:w="859"/>
        <w:gridCol w:w="858"/>
        <w:gridCol w:w="859"/>
        <w:gridCol w:w="858"/>
        <w:gridCol w:w="859"/>
        <w:gridCol w:w="858"/>
      </w:tblGrid>
      <w:tr w:rsidR="00456D14" w14:paraId="63B0A47E" w14:textId="77777777" w:rsidTr="00B73B42">
        <w:trPr>
          <w:trHeight w:val="300"/>
          <w:jc w:val="center"/>
        </w:trPr>
        <w:tc>
          <w:tcPr>
            <w:tcW w:w="1134" w:type="dxa"/>
            <w:tcBorders>
              <w:bottom w:val="single" w:sz="4" w:space="0" w:color="auto"/>
              <w:right w:val="single" w:sz="4" w:space="0" w:color="auto"/>
            </w:tcBorders>
            <w:shd w:val="clear" w:color="auto" w:fill="FFFFFF" w:themeFill="background1"/>
            <w:vAlign w:val="center"/>
            <w:hideMark/>
          </w:tcPr>
          <w:p w14:paraId="1A3F511B" w14:textId="77777777" w:rsidR="00456D14" w:rsidRDefault="00456D14" w:rsidP="005D3766">
            <w:pPr>
              <w:spacing w:after="0"/>
              <w:rPr>
                <w:rFonts w:ascii="Calibri" w:hAnsi="Calibri"/>
                <w:color w:val="000000"/>
              </w:rPr>
            </w:pPr>
            <w:r>
              <w:rPr>
                <w:rFonts w:ascii="Calibri" w:hAnsi="Calibri"/>
                <w:color w:val="000000"/>
              </w:rPr>
              <w:t> </w:t>
            </w:r>
          </w:p>
        </w:tc>
        <w:tc>
          <w:tcPr>
            <w:tcW w:w="847" w:type="dxa"/>
            <w:tcBorders>
              <w:top w:val="single" w:sz="4" w:space="0" w:color="000000"/>
              <w:left w:val="single" w:sz="4" w:space="0" w:color="auto"/>
              <w:bottom w:val="single" w:sz="4" w:space="0" w:color="auto"/>
              <w:right w:val="single" w:sz="4" w:space="0" w:color="000000"/>
            </w:tcBorders>
            <w:shd w:val="clear" w:color="auto" w:fill="92D050"/>
            <w:vAlign w:val="center"/>
            <w:hideMark/>
          </w:tcPr>
          <w:p w14:paraId="0A172D1D" w14:textId="77777777" w:rsidR="00456D14" w:rsidRPr="00456D14" w:rsidRDefault="00456D14" w:rsidP="005D3766">
            <w:pPr>
              <w:spacing w:after="0"/>
              <w:jc w:val="center"/>
              <w:rPr>
                <w:rFonts w:ascii="Calibri" w:hAnsi="Calibri"/>
                <w:b/>
                <w:color w:val="000000" w:themeColor="text1"/>
              </w:rPr>
            </w:pPr>
            <w:r w:rsidRPr="00456D14">
              <w:rPr>
                <w:rFonts w:ascii="Calibri" w:hAnsi="Calibri"/>
                <w:b/>
                <w:color w:val="000000" w:themeColor="text1"/>
              </w:rPr>
              <w:t>2013</w:t>
            </w:r>
          </w:p>
        </w:tc>
        <w:tc>
          <w:tcPr>
            <w:tcW w:w="859" w:type="dxa"/>
            <w:tcBorders>
              <w:top w:val="single" w:sz="4" w:space="0" w:color="000000"/>
              <w:left w:val="nil"/>
              <w:bottom w:val="single" w:sz="4" w:space="0" w:color="auto"/>
              <w:right w:val="single" w:sz="4" w:space="0" w:color="000000"/>
            </w:tcBorders>
            <w:shd w:val="clear" w:color="auto" w:fill="92D050"/>
            <w:vAlign w:val="center"/>
            <w:hideMark/>
          </w:tcPr>
          <w:p w14:paraId="362A5CC5" w14:textId="77777777" w:rsidR="00456D14" w:rsidRPr="00456D14" w:rsidRDefault="00456D14" w:rsidP="005D3766">
            <w:pPr>
              <w:spacing w:after="0"/>
              <w:jc w:val="center"/>
              <w:rPr>
                <w:rFonts w:ascii="Calibri" w:hAnsi="Calibri"/>
                <w:b/>
                <w:color w:val="000000" w:themeColor="text1"/>
              </w:rPr>
            </w:pPr>
            <w:r w:rsidRPr="00456D14">
              <w:rPr>
                <w:rFonts w:ascii="Calibri" w:hAnsi="Calibri"/>
                <w:b/>
                <w:color w:val="000000" w:themeColor="text1"/>
              </w:rPr>
              <w:t>2014</w:t>
            </w:r>
          </w:p>
        </w:tc>
        <w:tc>
          <w:tcPr>
            <w:tcW w:w="858" w:type="dxa"/>
            <w:tcBorders>
              <w:top w:val="single" w:sz="4" w:space="0" w:color="000000"/>
              <w:left w:val="nil"/>
              <w:bottom w:val="single" w:sz="4" w:space="0" w:color="auto"/>
              <w:right w:val="single" w:sz="4" w:space="0" w:color="000000"/>
            </w:tcBorders>
            <w:shd w:val="clear" w:color="auto" w:fill="92D050"/>
            <w:vAlign w:val="center"/>
            <w:hideMark/>
          </w:tcPr>
          <w:p w14:paraId="1235C3FE" w14:textId="77777777" w:rsidR="00456D14" w:rsidRPr="00456D14" w:rsidRDefault="00456D14" w:rsidP="005D3766">
            <w:pPr>
              <w:spacing w:after="0"/>
              <w:jc w:val="center"/>
              <w:rPr>
                <w:rFonts w:ascii="Calibri" w:hAnsi="Calibri"/>
                <w:b/>
                <w:color w:val="000000" w:themeColor="text1"/>
              </w:rPr>
            </w:pPr>
            <w:r w:rsidRPr="00456D14">
              <w:rPr>
                <w:rFonts w:ascii="Calibri" w:hAnsi="Calibri"/>
                <w:b/>
                <w:color w:val="000000" w:themeColor="text1"/>
              </w:rPr>
              <w:t>2015</w:t>
            </w:r>
          </w:p>
        </w:tc>
        <w:tc>
          <w:tcPr>
            <w:tcW w:w="859" w:type="dxa"/>
            <w:tcBorders>
              <w:top w:val="single" w:sz="4" w:space="0" w:color="000000"/>
              <w:left w:val="nil"/>
              <w:bottom w:val="single" w:sz="4" w:space="0" w:color="auto"/>
              <w:right w:val="single" w:sz="4" w:space="0" w:color="000000"/>
            </w:tcBorders>
            <w:shd w:val="clear" w:color="auto" w:fill="92D050"/>
            <w:vAlign w:val="center"/>
            <w:hideMark/>
          </w:tcPr>
          <w:p w14:paraId="33AC9342" w14:textId="77777777" w:rsidR="00456D14" w:rsidRPr="00456D14" w:rsidRDefault="00456D14" w:rsidP="005D3766">
            <w:pPr>
              <w:spacing w:after="0"/>
              <w:jc w:val="center"/>
              <w:rPr>
                <w:rFonts w:ascii="Calibri" w:hAnsi="Calibri"/>
                <w:b/>
                <w:color w:val="000000" w:themeColor="text1"/>
              </w:rPr>
            </w:pPr>
            <w:r w:rsidRPr="00456D14">
              <w:rPr>
                <w:rFonts w:ascii="Calibri" w:hAnsi="Calibri"/>
                <w:b/>
                <w:color w:val="000000" w:themeColor="text1"/>
              </w:rPr>
              <w:t>2016</w:t>
            </w:r>
          </w:p>
        </w:tc>
        <w:tc>
          <w:tcPr>
            <w:tcW w:w="858" w:type="dxa"/>
            <w:tcBorders>
              <w:top w:val="single" w:sz="4" w:space="0" w:color="000000"/>
              <w:left w:val="nil"/>
              <w:bottom w:val="single" w:sz="4" w:space="0" w:color="auto"/>
              <w:right w:val="single" w:sz="4" w:space="0" w:color="000000"/>
            </w:tcBorders>
            <w:shd w:val="clear" w:color="auto" w:fill="92D050"/>
            <w:vAlign w:val="center"/>
            <w:hideMark/>
          </w:tcPr>
          <w:p w14:paraId="7E9A165A" w14:textId="77777777" w:rsidR="00456D14" w:rsidRPr="00456D14" w:rsidRDefault="00456D14" w:rsidP="005D3766">
            <w:pPr>
              <w:spacing w:after="0"/>
              <w:jc w:val="center"/>
              <w:rPr>
                <w:rFonts w:ascii="Calibri" w:hAnsi="Calibri"/>
                <w:b/>
                <w:color w:val="000000" w:themeColor="text1"/>
              </w:rPr>
            </w:pPr>
            <w:r w:rsidRPr="00456D14">
              <w:rPr>
                <w:rFonts w:ascii="Calibri" w:hAnsi="Calibri"/>
                <w:b/>
                <w:color w:val="000000" w:themeColor="text1"/>
              </w:rPr>
              <w:t>2017</w:t>
            </w:r>
          </w:p>
        </w:tc>
        <w:tc>
          <w:tcPr>
            <w:tcW w:w="859" w:type="dxa"/>
            <w:tcBorders>
              <w:top w:val="single" w:sz="4" w:space="0" w:color="000000"/>
              <w:left w:val="nil"/>
              <w:bottom w:val="single" w:sz="4" w:space="0" w:color="auto"/>
              <w:right w:val="single" w:sz="4" w:space="0" w:color="000000"/>
            </w:tcBorders>
            <w:shd w:val="clear" w:color="auto" w:fill="92D050"/>
            <w:vAlign w:val="center"/>
            <w:hideMark/>
          </w:tcPr>
          <w:p w14:paraId="7858708E" w14:textId="77777777" w:rsidR="00456D14" w:rsidRPr="00456D14" w:rsidRDefault="00456D14" w:rsidP="005D3766">
            <w:pPr>
              <w:spacing w:after="0"/>
              <w:jc w:val="center"/>
              <w:rPr>
                <w:rFonts w:ascii="Calibri" w:hAnsi="Calibri"/>
                <w:b/>
                <w:color w:val="000000" w:themeColor="text1"/>
              </w:rPr>
            </w:pPr>
            <w:r w:rsidRPr="00456D14">
              <w:rPr>
                <w:rFonts w:ascii="Calibri" w:hAnsi="Calibri"/>
                <w:b/>
                <w:color w:val="000000" w:themeColor="text1"/>
              </w:rPr>
              <w:t>2018</w:t>
            </w:r>
          </w:p>
        </w:tc>
        <w:tc>
          <w:tcPr>
            <w:tcW w:w="858" w:type="dxa"/>
            <w:tcBorders>
              <w:top w:val="single" w:sz="4" w:space="0" w:color="000000"/>
              <w:left w:val="nil"/>
              <w:bottom w:val="single" w:sz="4" w:space="0" w:color="auto"/>
              <w:right w:val="single" w:sz="4" w:space="0" w:color="000000"/>
            </w:tcBorders>
            <w:shd w:val="clear" w:color="auto" w:fill="92D050"/>
            <w:vAlign w:val="center"/>
            <w:hideMark/>
          </w:tcPr>
          <w:p w14:paraId="73E2ED25" w14:textId="77777777" w:rsidR="00456D14" w:rsidRPr="00456D14" w:rsidRDefault="00456D14" w:rsidP="005D3766">
            <w:pPr>
              <w:spacing w:after="0"/>
              <w:jc w:val="center"/>
              <w:rPr>
                <w:rFonts w:ascii="Calibri" w:hAnsi="Calibri"/>
                <w:b/>
                <w:color w:val="000000" w:themeColor="text1"/>
              </w:rPr>
            </w:pPr>
            <w:r w:rsidRPr="00456D14">
              <w:rPr>
                <w:rFonts w:ascii="Calibri" w:hAnsi="Calibri"/>
                <w:b/>
                <w:color w:val="000000" w:themeColor="text1"/>
              </w:rPr>
              <w:t>2019</w:t>
            </w:r>
          </w:p>
        </w:tc>
      </w:tr>
      <w:tr w:rsidR="00456D14" w14:paraId="5CE94E4A" w14:textId="77777777" w:rsidTr="00B73B42">
        <w:trPr>
          <w:trHeight w:val="30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A35FF3" w14:textId="77777777" w:rsidR="00456D14" w:rsidRPr="00456D14" w:rsidRDefault="00456D14" w:rsidP="00BB0170">
            <w:pPr>
              <w:spacing w:after="0" w:line="240" w:lineRule="auto"/>
              <w:rPr>
                <w:rFonts w:ascii="Calibri" w:hAnsi="Calibri"/>
                <w:b/>
              </w:rPr>
            </w:pPr>
            <w:r w:rsidRPr="00456D14">
              <w:rPr>
                <w:rFonts w:ascii="Calibri" w:hAnsi="Calibri"/>
                <w:b/>
              </w:rPr>
              <w:t>Olsztyn</w:t>
            </w:r>
          </w:p>
        </w:tc>
        <w:tc>
          <w:tcPr>
            <w:tcW w:w="8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A4AF84" w14:textId="77777777" w:rsidR="00456D14" w:rsidRDefault="00456D14" w:rsidP="00BB0170">
            <w:pPr>
              <w:spacing w:after="0" w:line="240" w:lineRule="auto"/>
              <w:jc w:val="center"/>
              <w:rPr>
                <w:rFonts w:ascii="Calibri" w:hAnsi="Calibri"/>
              </w:rPr>
            </w:pPr>
            <w:r>
              <w:rPr>
                <w:rFonts w:ascii="Calibri" w:hAnsi="Calibri"/>
              </w:rPr>
              <w:t>12</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EE244F" w14:textId="77777777" w:rsidR="00456D14" w:rsidRDefault="00456D14" w:rsidP="00BB0170">
            <w:pPr>
              <w:spacing w:after="0" w:line="240" w:lineRule="auto"/>
              <w:jc w:val="center"/>
              <w:rPr>
                <w:rFonts w:ascii="Calibri" w:hAnsi="Calibri"/>
              </w:rPr>
            </w:pPr>
            <w:r>
              <w:rPr>
                <w:rFonts w:ascii="Calibri" w:hAnsi="Calibri"/>
              </w:rPr>
              <w:t>13</w:t>
            </w:r>
          </w:p>
        </w:tc>
        <w:tc>
          <w:tcPr>
            <w:tcW w:w="8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F3BDDE" w14:textId="77777777" w:rsidR="00456D14" w:rsidRDefault="00456D14" w:rsidP="00BB0170">
            <w:pPr>
              <w:spacing w:after="0" w:line="240" w:lineRule="auto"/>
              <w:jc w:val="center"/>
              <w:rPr>
                <w:rFonts w:ascii="Calibri" w:hAnsi="Calibri"/>
              </w:rPr>
            </w:pPr>
            <w:r>
              <w:rPr>
                <w:rFonts w:ascii="Calibri" w:hAnsi="Calibri"/>
              </w:rPr>
              <w:t>13</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C7DF51" w14:textId="77777777" w:rsidR="00456D14" w:rsidRDefault="00456D14" w:rsidP="00BB0170">
            <w:pPr>
              <w:spacing w:after="0" w:line="240" w:lineRule="auto"/>
              <w:jc w:val="center"/>
              <w:rPr>
                <w:rFonts w:ascii="Calibri" w:hAnsi="Calibri"/>
              </w:rPr>
            </w:pPr>
            <w:r>
              <w:rPr>
                <w:rFonts w:ascii="Calibri" w:hAnsi="Calibri"/>
              </w:rPr>
              <w:t>13</w:t>
            </w:r>
          </w:p>
        </w:tc>
        <w:tc>
          <w:tcPr>
            <w:tcW w:w="8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CEEF08" w14:textId="77777777" w:rsidR="00456D14" w:rsidRDefault="00456D14" w:rsidP="00BB0170">
            <w:pPr>
              <w:spacing w:after="0" w:line="240" w:lineRule="auto"/>
              <w:jc w:val="center"/>
              <w:rPr>
                <w:rFonts w:ascii="Calibri" w:hAnsi="Calibri"/>
              </w:rPr>
            </w:pPr>
            <w:r>
              <w:rPr>
                <w:rFonts w:ascii="Calibri" w:hAnsi="Calibri"/>
              </w:rPr>
              <w:t>13</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B4E01F" w14:textId="77777777" w:rsidR="00456D14" w:rsidRDefault="00456D14" w:rsidP="00BB0170">
            <w:pPr>
              <w:spacing w:after="0" w:line="240" w:lineRule="auto"/>
              <w:jc w:val="center"/>
              <w:rPr>
                <w:rFonts w:ascii="Calibri" w:hAnsi="Calibri"/>
              </w:rPr>
            </w:pPr>
            <w:r>
              <w:rPr>
                <w:rFonts w:ascii="Calibri" w:hAnsi="Calibri"/>
              </w:rPr>
              <w:t>18</w:t>
            </w:r>
          </w:p>
        </w:tc>
        <w:tc>
          <w:tcPr>
            <w:tcW w:w="8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06D369" w14:textId="77777777" w:rsidR="00456D14" w:rsidRDefault="00456D14" w:rsidP="00BB0170">
            <w:pPr>
              <w:spacing w:after="0" w:line="240" w:lineRule="auto"/>
              <w:jc w:val="center"/>
              <w:rPr>
                <w:rFonts w:ascii="Calibri" w:hAnsi="Calibri"/>
              </w:rPr>
            </w:pPr>
            <w:r>
              <w:rPr>
                <w:rFonts w:ascii="Calibri" w:hAnsi="Calibri"/>
              </w:rPr>
              <w:t>18</w:t>
            </w:r>
          </w:p>
        </w:tc>
      </w:tr>
      <w:tr w:rsidR="00456D14" w14:paraId="02438973" w14:textId="77777777" w:rsidTr="00B73B42">
        <w:trPr>
          <w:trHeight w:val="30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6D637E" w14:textId="77777777" w:rsidR="00456D14" w:rsidRPr="00456D14" w:rsidRDefault="00456D14" w:rsidP="00BB0170">
            <w:pPr>
              <w:spacing w:after="0" w:line="240" w:lineRule="auto"/>
              <w:rPr>
                <w:rFonts w:ascii="Calibri" w:hAnsi="Calibri"/>
                <w:b/>
              </w:rPr>
            </w:pPr>
            <w:r w:rsidRPr="00456D14">
              <w:rPr>
                <w:rFonts w:ascii="Calibri" w:hAnsi="Calibri"/>
                <w:b/>
              </w:rPr>
              <w:t>Kielce</w:t>
            </w:r>
          </w:p>
        </w:tc>
        <w:tc>
          <w:tcPr>
            <w:tcW w:w="8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8EC737" w14:textId="77777777" w:rsidR="00456D14" w:rsidRDefault="00456D14" w:rsidP="00BB0170">
            <w:pPr>
              <w:spacing w:after="0" w:line="240" w:lineRule="auto"/>
              <w:jc w:val="center"/>
              <w:rPr>
                <w:rFonts w:ascii="Calibri" w:hAnsi="Calibri"/>
              </w:rPr>
            </w:pPr>
            <w:r>
              <w:rPr>
                <w:rFonts w:ascii="Calibri" w:hAnsi="Calibri"/>
              </w:rPr>
              <w:t>9</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7D7F4B" w14:textId="77777777" w:rsidR="00456D14" w:rsidRDefault="00456D14" w:rsidP="00BB0170">
            <w:pPr>
              <w:spacing w:after="0" w:line="240" w:lineRule="auto"/>
              <w:jc w:val="center"/>
              <w:rPr>
                <w:rFonts w:ascii="Calibri" w:hAnsi="Calibri"/>
              </w:rPr>
            </w:pPr>
            <w:r>
              <w:rPr>
                <w:rFonts w:ascii="Calibri" w:hAnsi="Calibri"/>
              </w:rPr>
              <w:t>9</w:t>
            </w:r>
          </w:p>
        </w:tc>
        <w:tc>
          <w:tcPr>
            <w:tcW w:w="8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8932D2" w14:textId="77777777" w:rsidR="00456D14" w:rsidRDefault="00456D14" w:rsidP="00BB0170">
            <w:pPr>
              <w:spacing w:after="0" w:line="240" w:lineRule="auto"/>
              <w:jc w:val="center"/>
              <w:rPr>
                <w:rFonts w:ascii="Calibri" w:hAnsi="Calibri"/>
              </w:rPr>
            </w:pPr>
            <w:r>
              <w:rPr>
                <w:rFonts w:ascii="Calibri" w:hAnsi="Calibri"/>
              </w:rPr>
              <w:t>9</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6F5C35" w14:textId="77777777" w:rsidR="00456D14" w:rsidRDefault="00456D14" w:rsidP="00BB0170">
            <w:pPr>
              <w:spacing w:after="0" w:line="240" w:lineRule="auto"/>
              <w:jc w:val="center"/>
              <w:rPr>
                <w:rFonts w:ascii="Calibri" w:hAnsi="Calibri"/>
              </w:rPr>
            </w:pPr>
            <w:r>
              <w:rPr>
                <w:rFonts w:ascii="Calibri" w:hAnsi="Calibri"/>
              </w:rPr>
              <w:t>9</w:t>
            </w:r>
          </w:p>
        </w:tc>
        <w:tc>
          <w:tcPr>
            <w:tcW w:w="8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3146C0" w14:textId="77777777" w:rsidR="00456D14" w:rsidRDefault="00456D14" w:rsidP="00BB0170">
            <w:pPr>
              <w:spacing w:after="0" w:line="240" w:lineRule="auto"/>
              <w:jc w:val="center"/>
              <w:rPr>
                <w:rFonts w:ascii="Calibri" w:hAnsi="Calibri"/>
              </w:rPr>
            </w:pPr>
            <w:r>
              <w:rPr>
                <w:rFonts w:ascii="Calibri" w:hAnsi="Calibri"/>
              </w:rPr>
              <w:t>9</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742A5D" w14:textId="77777777" w:rsidR="00456D14" w:rsidRDefault="00456D14" w:rsidP="00BB0170">
            <w:pPr>
              <w:spacing w:after="0" w:line="240" w:lineRule="auto"/>
              <w:jc w:val="center"/>
              <w:rPr>
                <w:rFonts w:ascii="Calibri" w:hAnsi="Calibri"/>
              </w:rPr>
            </w:pPr>
            <w:r>
              <w:rPr>
                <w:rFonts w:ascii="Calibri" w:hAnsi="Calibri"/>
              </w:rPr>
              <w:t>8</w:t>
            </w:r>
          </w:p>
        </w:tc>
        <w:tc>
          <w:tcPr>
            <w:tcW w:w="8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89F9DF" w14:textId="77777777" w:rsidR="00456D14" w:rsidRDefault="00456D14" w:rsidP="00BB0170">
            <w:pPr>
              <w:spacing w:after="0" w:line="240" w:lineRule="auto"/>
              <w:jc w:val="center"/>
              <w:rPr>
                <w:rFonts w:ascii="Calibri" w:hAnsi="Calibri"/>
              </w:rPr>
            </w:pPr>
            <w:r>
              <w:rPr>
                <w:rFonts w:ascii="Calibri" w:hAnsi="Calibri"/>
              </w:rPr>
              <w:t>8</w:t>
            </w:r>
          </w:p>
        </w:tc>
      </w:tr>
      <w:tr w:rsidR="00456D14" w14:paraId="34ABC5FC" w14:textId="77777777" w:rsidTr="00B73B42">
        <w:trPr>
          <w:trHeight w:val="30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FCC569" w14:textId="77777777" w:rsidR="00456D14" w:rsidRPr="00456D14" w:rsidRDefault="00456D14" w:rsidP="00BB0170">
            <w:pPr>
              <w:spacing w:after="0" w:line="240" w:lineRule="auto"/>
              <w:rPr>
                <w:rFonts w:ascii="Calibri" w:hAnsi="Calibri"/>
                <w:b/>
              </w:rPr>
            </w:pPr>
            <w:r w:rsidRPr="00456D14">
              <w:rPr>
                <w:rFonts w:ascii="Calibri" w:hAnsi="Calibri"/>
                <w:b/>
              </w:rPr>
              <w:t>Białystok</w:t>
            </w:r>
          </w:p>
        </w:tc>
        <w:tc>
          <w:tcPr>
            <w:tcW w:w="8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2E4CAB" w14:textId="77777777" w:rsidR="00456D14" w:rsidRDefault="00456D14" w:rsidP="00BB0170">
            <w:pPr>
              <w:spacing w:after="0" w:line="240" w:lineRule="auto"/>
              <w:jc w:val="center"/>
              <w:rPr>
                <w:rFonts w:ascii="Calibri" w:hAnsi="Calibri"/>
              </w:rPr>
            </w:pPr>
            <w:r>
              <w:rPr>
                <w:rFonts w:ascii="Calibri" w:hAnsi="Calibri"/>
              </w:rPr>
              <w:t>10</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40144F" w14:textId="77777777" w:rsidR="00456D14" w:rsidRDefault="00456D14" w:rsidP="00BB0170">
            <w:pPr>
              <w:spacing w:after="0" w:line="240" w:lineRule="auto"/>
              <w:jc w:val="center"/>
              <w:rPr>
                <w:rFonts w:ascii="Calibri" w:hAnsi="Calibri"/>
              </w:rPr>
            </w:pPr>
            <w:r>
              <w:rPr>
                <w:rFonts w:ascii="Calibri" w:hAnsi="Calibri"/>
              </w:rPr>
              <w:t>11</w:t>
            </w:r>
          </w:p>
        </w:tc>
        <w:tc>
          <w:tcPr>
            <w:tcW w:w="8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5812E2" w14:textId="77777777" w:rsidR="00456D14" w:rsidRDefault="00456D14" w:rsidP="00BB0170">
            <w:pPr>
              <w:spacing w:after="0" w:line="240" w:lineRule="auto"/>
              <w:jc w:val="center"/>
              <w:rPr>
                <w:rFonts w:ascii="Calibri" w:hAnsi="Calibri"/>
              </w:rPr>
            </w:pPr>
            <w:r>
              <w:rPr>
                <w:rFonts w:ascii="Calibri" w:hAnsi="Calibri"/>
              </w:rPr>
              <w:t>11</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D94F6F" w14:textId="77777777" w:rsidR="00456D14" w:rsidRDefault="00456D14" w:rsidP="00BB0170">
            <w:pPr>
              <w:spacing w:after="0" w:line="240" w:lineRule="auto"/>
              <w:jc w:val="center"/>
              <w:rPr>
                <w:rFonts w:ascii="Calibri" w:hAnsi="Calibri"/>
              </w:rPr>
            </w:pPr>
            <w:r>
              <w:rPr>
                <w:rFonts w:ascii="Calibri" w:hAnsi="Calibri"/>
              </w:rPr>
              <w:t>11</w:t>
            </w:r>
          </w:p>
        </w:tc>
        <w:tc>
          <w:tcPr>
            <w:tcW w:w="8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C8F4F2" w14:textId="77777777" w:rsidR="00456D14" w:rsidRDefault="00456D14" w:rsidP="00BB0170">
            <w:pPr>
              <w:spacing w:after="0" w:line="240" w:lineRule="auto"/>
              <w:jc w:val="center"/>
              <w:rPr>
                <w:rFonts w:ascii="Calibri" w:hAnsi="Calibri"/>
              </w:rPr>
            </w:pPr>
            <w:r>
              <w:rPr>
                <w:rFonts w:ascii="Calibri" w:hAnsi="Calibri"/>
              </w:rPr>
              <w:t>12</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69B46A" w14:textId="77777777" w:rsidR="00456D14" w:rsidRDefault="00456D14" w:rsidP="00BB0170">
            <w:pPr>
              <w:spacing w:after="0" w:line="240" w:lineRule="auto"/>
              <w:jc w:val="center"/>
              <w:rPr>
                <w:rFonts w:ascii="Calibri" w:hAnsi="Calibri"/>
              </w:rPr>
            </w:pPr>
            <w:r>
              <w:rPr>
                <w:rFonts w:ascii="Calibri" w:hAnsi="Calibri"/>
              </w:rPr>
              <w:t>12</w:t>
            </w:r>
          </w:p>
        </w:tc>
        <w:tc>
          <w:tcPr>
            <w:tcW w:w="8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3B3D4F" w14:textId="77777777" w:rsidR="00456D14" w:rsidRDefault="00456D14" w:rsidP="00BB0170">
            <w:pPr>
              <w:spacing w:after="0" w:line="240" w:lineRule="auto"/>
              <w:jc w:val="center"/>
              <w:rPr>
                <w:rFonts w:ascii="Calibri" w:hAnsi="Calibri"/>
              </w:rPr>
            </w:pPr>
            <w:r>
              <w:rPr>
                <w:rFonts w:ascii="Calibri" w:hAnsi="Calibri"/>
              </w:rPr>
              <w:t>13</w:t>
            </w:r>
          </w:p>
        </w:tc>
      </w:tr>
      <w:tr w:rsidR="00456D14" w14:paraId="1A8AE4DA" w14:textId="77777777" w:rsidTr="00B73B42">
        <w:trPr>
          <w:trHeight w:val="30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D7168F" w14:textId="77777777" w:rsidR="00456D14" w:rsidRPr="00456D14" w:rsidRDefault="00456D14" w:rsidP="00BB0170">
            <w:pPr>
              <w:spacing w:after="0" w:line="240" w:lineRule="auto"/>
              <w:rPr>
                <w:rFonts w:ascii="Calibri" w:hAnsi="Calibri"/>
                <w:b/>
              </w:rPr>
            </w:pPr>
            <w:r w:rsidRPr="00456D14">
              <w:rPr>
                <w:rFonts w:ascii="Calibri" w:hAnsi="Calibri"/>
                <w:b/>
              </w:rPr>
              <w:t>Rzeszów</w:t>
            </w:r>
          </w:p>
        </w:tc>
        <w:tc>
          <w:tcPr>
            <w:tcW w:w="8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8946C4" w14:textId="77777777" w:rsidR="00456D14" w:rsidRDefault="00456D14" w:rsidP="00BB0170">
            <w:pPr>
              <w:spacing w:after="0" w:line="240" w:lineRule="auto"/>
              <w:jc w:val="center"/>
              <w:rPr>
                <w:rFonts w:ascii="Calibri" w:hAnsi="Calibri"/>
              </w:rPr>
            </w:pPr>
            <w:r>
              <w:rPr>
                <w:rFonts w:ascii="Calibri" w:hAnsi="Calibri"/>
              </w:rPr>
              <w:t>12</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6C8661" w14:textId="77777777" w:rsidR="00456D14" w:rsidRDefault="00456D14" w:rsidP="00BB0170">
            <w:pPr>
              <w:spacing w:after="0" w:line="240" w:lineRule="auto"/>
              <w:jc w:val="center"/>
              <w:rPr>
                <w:rFonts w:ascii="Calibri" w:hAnsi="Calibri"/>
              </w:rPr>
            </w:pPr>
            <w:r>
              <w:rPr>
                <w:rFonts w:ascii="Calibri" w:hAnsi="Calibri"/>
              </w:rPr>
              <w:t>14</w:t>
            </w:r>
          </w:p>
        </w:tc>
        <w:tc>
          <w:tcPr>
            <w:tcW w:w="8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6BDB0D" w14:textId="77777777" w:rsidR="00456D14" w:rsidRDefault="00456D14" w:rsidP="00BB0170">
            <w:pPr>
              <w:spacing w:after="0" w:line="240" w:lineRule="auto"/>
              <w:jc w:val="center"/>
              <w:rPr>
                <w:rFonts w:ascii="Calibri" w:hAnsi="Calibri"/>
              </w:rPr>
            </w:pPr>
            <w:r>
              <w:rPr>
                <w:rFonts w:ascii="Calibri" w:hAnsi="Calibri"/>
              </w:rPr>
              <w:t>14</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BF7B2E" w14:textId="77777777" w:rsidR="00456D14" w:rsidRDefault="00456D14" w:rsidP="00BB0170">
            <w:pPr>
              <w:spacing w:after="0" w:line="240" w:lineRule="auto"/>
              <w:jc w:val="center"/>
              <w:rPr>
                <w:rFonts w:ascii="Calibri" w:hAnsi="Calibri"/>
              </w:rPr>
            </w:pPr>
            <w:r>
              <w:rPr>
                <w:rFonts w:ascii="Calibri" w:hAnsi="Calibri"/>
              </w:rPr>
              <w:t>14</w:t>
            </w:r>
          </w:p>
        </w:tc>
        <w:tc>
          <w:tcPr>
            <w:tcW w:w="8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E57E68" w14:textId="77777777" w:rsidR="00456D14" w:rsidRDefault="00456D14" w:rsidP="00BB0170">
            <w:pPr>
              <w:spacing w:after="0" w:line="240" w:lineRule="auto"/>
              <w:jc w:val="center"/>
              <w:rPr>
                <w:rFonts w:ascii="Calibri" w:hAnsi="Calibri"/>
              </w:rPr>
            </w:pPr>
            <w:r>
              <w:rPr>
                <w:rFonts w:ascii="Calibri" w:hAnsi="Calibri"/>
              </w:rPr>
              <w:t>14</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2F4ECD" w14:textId="77777777" w:rsidR="00456D14" w:rsidRDefault="00456D14" w:rsidP="00BB0170">
            <w:pPr>
              <w:spacing w:after="0" w:line="240" w:lineRule="auto"/>
              <w:jc w:val="center"/>
              <w:rPr>
                <w:rFonts w:ascii="Calibri" w:hAnsi="Calibri"/>
              </w:rPr>
            </w:pPr>
            <w:r>
              <w:rPr>
                <w:rFonts w:ascii="Calibri" w:hAnsi="Calibri"/>
              </w:rPr>
              <w:t>15</w:t>
            </w:r>
          </w:p>
        </w:tc>
        <w:tc>
          <w:tcPr>
            <w:tcW w:w="8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EEBB0F" w14:textId="77777777" w:rsidR="00456D14" w:rsidRDefault="00456D14" w:rsidP="00BB0170">
            <w:pPr>
              <w:spacing w:after="0" w:line="240" w:lineRule="auto"/>
              <w:jc w:val="center"/>
              <w:rPr>
                <w:rFonts w:ascii="Calibri" w:hAnsi="Calibri"/>
              </w:rPr>
            </w:pPr>
            <w:r>
              <w:rPr>
                <w:rFonts w:ascii="Calibri" w:hAnsi="Calibri"/>
              </w:rPr>
              <w:t>15</w:t>
            </w:r>
          </w:p>
        </w:tc>
      </w:tr>
      <w:tr w:rsidR="00456D14" w14:paraId="7C7E83F0" w14:textId="77777777" w:rsidTr="00B73B42">
        <w:trPr>
          <w:trHeight w:val="30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7A2DB9" w14:textId="77777777" w:rsidR="00456D14" w:rsidRPr="00456D14" w:rsidRDefault="00456D14" w:rsidP="00BB0170">
            <w:pPr>
              <w:spacing w:after="0" w:line="240" w:lineRule="auto"/>
              <w:rPr>
                <w:rFonts w:ascii="Calibri" w:hAnsi="Calibri"/>
                <w:b/>
              </w:rPr>
            </w:pPr>
            <w:r w:rsidRPr="00456D14">
              <w:rPr>
                <w:rFonts w:ascii="Calibri" w:hAnsi="Calibri"/>
                <w:b/>
              </w:rPr>
              <w:t>Lublin</w:t>
            </w:r>
          </w:p>
        </w:tc>
        <w:tc>
          <w:tcPr>
            <w:tcW w:w="8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390AB1" w14:textId="77777777" w:rsidR="00456D14" w:rsidRDefault="00456D14" w:rsidP="00BB0170">
            <w:pPr>
              <w:spacing w:after="0" w:line="240" w:lineRule="auto"/>
              <w:jc w:val="center"/>
              <w:rPr>
                <w:rFonts w:ascii="Calibri" w:hAnsi="Calibri"/>
              </w:rPr>
            </w:pPr>
            <w:r>
              <w:rPr>
                <w:rFonts w:ascii="Calibri" w:hAnsi="Calibri"/>
              </w:rPr>
              <w:t>10</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5C0523" w14:textId="77777777" w:rsidR="00456D14" w:rsidRDefault="00456D14" w:rsidP="00BB0170">
            <w:pPr>
              <w:spacing w:after="0" w:line="240" w:lineRule="auto"/>
              <w:jc w:val="center"/>
              <w:rPr>
                <w:rFonts w:ascii="Calibri" w:hAnsi="Calibri"/>
              </w:rPr>
            </w:pPr>
            <w:r>
              <w:rPr>
                <w:rFonts w:ascii="Calibri" w:hAnsi="Calibri"/>
              </w:rPr>
              <w:t>10</w:t>
            </w:r>
          </w:p>
        </w:tc>
        <w:tc>
          <w:tcPr>
            <w:tcW w:w="8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3DEB94" w14:textId="77777777" w:rsidR="00456D14" w:rsidRDefault="00456D14" w:rsidP="00BB0170">
            <w:pPr>
              <w:spacing w:after="0" w:line="240" w:lineRule="auto"/>
              <w:jc w:val="center"/>
              <w:rPr>
                <w:rFonts w:ascii="Calibri" w:hAnsi="Calibri"/>
              </w:rPr>
            </w:pPr>
            <w:r>
              <w:rPr>
                <w:rFonts w:ascii="Calibri" w:hAnsi="Calibri"/>
              </w:rPr>
              <w:t>10</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835AC4" w14:textId="77777777" w:rsidR="00456D14" w:rsidRDefault="00456D14" w:rsidP="00BB0170">
            <w:pPr>
              <w:spacing w:after="0" w:line="240" w:lineRule="auto"/>
              <w:jc w:val="center"/>
              <w:rPr>
                <w:rFonts w:ascii="Calibri" w:hAnsi="Calibri"/>
              </w:rPr>
            </w:pPr>
            <w:r>
              <w:rPr>
                <w:rFonts w:ascii="Calibri" w:hAnsi="Calibri"/>
              </w:rPr>
              <w:t>10</w:t>
            </w:r>
          </w:p>
        </w:tc>
        <w:tc>
          <w:tcPr>
            <w:tcW w:w="8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3DEE6B" w14:textId="77777777" w:rsidR="00456D14" w:rsidRDefault="00456D14" w:rsidP="00BB0170">
            <w:pPr>
              <w:spacing w:after="0" w:line="240" w:lineRule="auto"/>
              <w:jc w:val="center"/>
              <w:rPr>
                <w:rFonts w:ascii="Calibri" w:hAnsi="Calibri"/>
              </w:rPr>
            </w:pPr>
            <w:r>
              <w:rPr>
                <w:rFonts w:ascii="Calibri" w:hAnsi="Calibri"/>
              </w:rPr>
              <w:t>10</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F030D9" w14:textId="77777777" w:rsidR="00456D14" w:rsidRDefault="00456D14" w:rsidP="00BB0170">
            <w:pPr>
              <w:spacing w:after="0" w:line="240" w:lineRule="auto"/>
              <w:jc w:val="center"/>
              <w:rPr>
                <w:rFonts w:ascii="Calibri" w:hAnsi="Calibri"/>
              </w:rPr>
            </w:pPr>
            <w:r>
              <w:rPr>
                <w:rFonts w:ascii="Calibri" w:hAnsi="Calibri"/>
              </w:rPr>
              <w:t>11</w:t>
            </w:r>
          </w:p>
        </w:tc>
        <w:tc>
          <w:tcPr>
            <w:tcW w:w="8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8ED497" w14:textId="77777777" w:rsidR="00456D14" w:rsidRDefault="00456D14" w:rsidP="00BB0170">
            <w:pPr>
              <w:spacing w:after="0" w:line="240" w:lineRule="auto"/>
              <w:jc w:val="center"/>
              <w:rPr>
                <w:rFonts w:ascii="Calibri" w:hAnsi="Calibri"/>
              </w:rPr>
            </w:pPr>
            <w:r>
              <w:rPr>
                <w:rFonts w:ascii="Calibri" w:hAnsi="Calibri"/>
              </w:rPr>
              <w:t>10</w:t>
            </w:r>
          </w:p>
        </w:tc>
      </w:tr>
    </w:tbl>
    <w:p w14:paraId="1C987B49" w14:textId="77777777" w:rsidR="00AD05CD" w:rsidRDefault="00456D14" w:rsidP="00AD05CD">
      <w:pPr>
        <w:jc w:val="center"/>
      </w:pPr>
      <w:r>
        <w:t xml:space="preserve"> </w:t>
      </w:r>
      <w:r w:rsidR="00AD05CD" w:rsidRPr="0091031D">
        <w:rPr>
          <w:i/>
          <w:sz w:val="20"/>
          <w:szCs w:val="20"/>
        </w:rPr>
        <w:t>źródło: opracowanie własne na podstawie danych GUS</w:t>
      </w:r>
    </w:p>
    <w:p w14:paraId="20BE64FB" w14:textId="6628BB1F" w:rsidR="00AD05CD" w:rsidRDefault="00AD05CD"/>
    <w:p w14:paraId="439F9091" w14:textId="21D4218F" w:rsidR="00D61F99" w:rsidRPr="00D61F99" w:rsidRDefault="00D61F99" w:rsidP="00D61F99">
      <w:pPr>
        <w:pStyle w:val="Legenda"/>
        <w:rPr>
          <w:sz w:val="22"/>
          <w:szCs w:val="22"/>
        </w:rPr>
      </w:pPr>
      <w:bookmarkStart w:id="74" w:name="_Toc73534976"/>
      <w:r w:rsidRPr="00D61F99">
        <w:rPr>
          <w:sz w:val="22"/>
          <w:szCs w:val="22"/>
        </w:rPr>
        <w:t xml:space="preserve">Tabela </w:t>
      </w:r>
      <w:r w:rsidRPr="00D61F99">
        <w:rPr>
          <w:sz w:val="22"/>
          <w:szCs w:val="22"/>
        </w:rPr>
        <w:fldChar w:fldCharType="begin"/>
      </w:r>
      <w:r w:rsidRPr="00D61F99">
        <w:rPr>
          <w:sz w:val="22"/>
          <w:szCs w:val="22"/>
        </w:rPr>
        <w:instrText xml:space="preserve"> SEQ Tabela \* ARABIC </w:instrText>
      </w:r>
      <w:r w:rsidRPr="00D61F99">
        <w:rPr>
          <w:sz w:val="22"/>
          <w:szCs w:val="22"/>
        </w:rPr>
        <w:fldChar w:fldCharType="separate"/>
      </w:r>
      <w:r w:rsidR="00AD58C3">
        <w:rPr>
          <w:noProof/>
          <w:sz w:val="22"/>
          <w:szCs w:val="22"/>
        </w:rPr>
        <w:t>13</w:t>
      </w:r>
      <w:r w:rsidRPr="00D61F99">
        <w:rPr>
          <w:sz w:val="22"/>
          <w:szCs w:val="22"/>
        </w:rPr>
        <w:fldChar w:fldCharType="end"/>
      </w:r>
      <w:r w:rsidRPr="00D61F99">
        <w:rPr>
          <w:sz w:val="22"/>
          <w:szCs w:val="22"/>
        </w:rPr>
        <w:t>. Powierzchnia parków spacerowo-wypoczynkowych (ha)</w:t>
      </w:r>
      <w:bookmarkEnd w:id="74"/>
    </w:p>
    <w:tbl>
      <w:tblPr>
        <w:tblW w:w="7502" w:type="dxa"/>
        <w:jc w:val="center"/>
        <w:tblLayout w:type="fixed"/>
        <w:tblCellMar>
          <w:left w:w="0" w:type="dxa"/>
          <w:right w:w="0" w:type="dxa"/>
        </w:tblCellMar>
        <w:tblLook w:val="04A0" w:firstRow="1" w:lastRow="0" w:firstColumn="1" w:lastColumn="0" w:noHBand="0" w:noVBand="1"/>
      </w:tblPr>
      <w:tblGrid>
        <w:gridCol w:w="1134"/>
        <w:gridCol w:w="1123"/>
        <w:gridCol w:w="992"/>
        <w:gridCol w:w="851"/>
        <w:gridCol w:w="850"/>
        <w:gridCol w:w="851"/>
        <w:gridCol w:w="850"/>
        <w:gridCol w:w="851"/>
      </w:tblGrid>
      <w:tr w:rsidR="00456D14" w:rsidRPr="00456D14" w14:paraId="2974AF44" w14:textId="77777777" w:rsidTr="00B73B42">
        <w:trPr>
          <w:trHeight w:val="300"/>
          <w:jc w:val="center"/>
        </w:trPr>
        <w:tc>
          <w:tcPr>
            <w:tcW w:w="1134" w:type="dxa"/>
            <w:tcBorders>
              <w:bottom w:val="single" w:sz="4" w:space="0" w:color="auto"/>
              <w:right w:val="single" w:sz="4" w:space="0" w:color="auto"/>
            </w:tcBorders>
            <w:shd w:val="clear" w:color="auto" w:fill="FFFFFF" w:themeFill="background1"/>
            <w:vAlign w:val="center"/>
            <w:hideMark/>
          </w:tcPr>
          <w:p w14:paraId="6D449270" w14:textId="77777777" w:rsidR="00456D14" w:rsidRDefault="00456D14" w:rsidP="005D3766">
            <w:pPr>
              <w:spacing w:after="0"/>
              <w:rPr>
                <w:rFonts w:ascii="Calibri" w:hAnsi="Calibri"/>
                <w:color w:val="000000"/>
              </w:rPr>
            </w:pPr>
            <w:r>
              <w:rPr>
                <w:rFonts w:ascii="Calibri" w:hAnsi="Calibri"/>
                <w:color w:val="000000"/>
              </w:rPr>
              <w:t> </w:t>
            </w:r>
          </w:p>
        </w:tc>
        <w:tc>
          <w:tcPr>
            <w:tcW w:w="1123" w:type="dxa"/>
            <w:tcBorders>
              <w:top w:val="single" w:sz="4" w:space="0" w:color="000000"/>
              <w:left w:val="nil"/>
              <w:bottom w:val="single" w:sz="4" w:space="0" w:color="auto"/>
              <w:right w:val="single" w:sz="4" w:space="0" w:color="000000"/>
            </w:tcBorders>
            <w:shd w:val="clear" w:color="auto" w:fill="92D050"/>
            <w:vAlign w:val="center"/>
            <w:hideMark/>
          </w:tcPr>
          <w:p w14:paraId="7AB2C89F" w14:textId="77777777" w:rsidR="00456D14" w:rsidRPr="00456D14" w:rsidRDefault="00456D14" w:rsidP="005D3766">
            <w:pPr>
              <w:spacing w:after="0"/>
              <w:jc w:val="center"/>
              <w:rPr>
                <w:rFonts w:ascii="Calibri" w:hAnsi="Calibri"/>
                <w:b/>
                <w:color w:val="000000" w:themeColor="text1"/>
              </w:rPr>
            </w:pPr>
            <w:r w:rsidRPr="00456D14">
              <w:rPr>
                <w:rFonts w:ascii="Calibri" w:hAnsi="Calibri"/>
                <w:b/>
                <w:color w:val="000000" w:themeColor="text1"/>
              </w:rPr>
              <w:t>2013</w:t>
            </w:r>
          </w:p>
        </w:tc>
        <w:tc>
          <w:tcPr>
            <w:tcW w:w="992" w:type="dxa"/>
            <w:tcBorders>
              <w:top w:val="single" w:sz="4" w:space="0" w:color="000000"/>
              <w:left w:val="nil"/>
              <w:bottom w:val="single" w:sz="4" w:space="0" w:color="auto"/>
              <w:right w:val="single" w:sz="4" w:space="0" w:color="000000"/>
            </w:tcBorders>
            <w:shd w:val="clear" w:color="auto" w:fill="92D050"/>
            <w:vAlign w:val="center"/>
            <w:hideMark/>
          </w:tcPr>
          <w:p w14:paraId="37C7785E" w14:textId="77777777" w:rsidR="00456D14" w:rsidRPr="00456D14" w:rsidRDefault="00456D14" w:rsidP="005D3766">
            <w:pPr>
              <w:spacing w:after="0"/>
              <w:jc w:val="center"/>
              <w:rPr>
                <w:rFonts w:ascii="Calibri" w:hAnsi="Calibri"/>
                <w:b/>
                <w:color w:val="000000" w:themeColor="text1"/>
              </w:rPr>
            </w:pPr>
            <w:r w:rsidRPr="00456D14">
              <w:rPr>
                <w:rFonts w:ascii="Calibri" w:hAnsi="Calibri"/>
                <w:b/>
                <w:color w:val="000000" w:themeColor="text1"/>
              </w:rPr>
              <w:t>2014</w:t>
            </w:r>
          </w:p>
        </w:tc>
        <w:tc>
          <w:tcPr>
            <w:tcW w:w="851" w:type="dxa"/>
            <w:tcBorders>
              <w:top w:val="single" w:sz="4" w:space="0" w:color="000000"/>
              <w:left w:val="nil"/>
              <w:bottom w:val="single" w:sz="4" w:space="0" w:color="auto"/>
              <w:right w:val="single" w:sz="4" w:space="0" w:color="000000"/>
            </w:tcBorders>
            <w:shd w:val="clear" w:color="auto" w:fill="92D050"/>
            <w:vAlign w:val="center"/>
            <w:hideMark/>
          </w:tcPr>
          <w:p w14:paraId="7A618AAE" w14:textId="77777777" w:rsidR="00456D14" w:rsidRPr="00456D14" w:rsidRDefault="00456D14" w:rsidP="005D3766">
            <w:pPr>
              <w:spacing w:after="0"/>
              <w:jc w:val="center"/>
              <w:rPr>
                <w:rFonts w:ascii="Calibri" w:hAnsi="Calibri"/>
                <w:b/>
                <w:color w:val="000000" w:themeColor="text1"/>
              </w:rPr>
            </w:pPr>
            <w:r w:rsidRPr="00456D14">
              <w:rPr>
                <w:rFonts w:ascii="Calibri" w:hAnsi="Calibri"/>
                <w:b/>
                <w:color w:val="000000" w:themeColor="text1"/>
              </w:rPr>
              <w:t>2015</w:t>
            </w:r>
          </w:p>
        </w:tc>
        <w:tc>
          <w:tcPr>
            <w:tcW w:w="850" w:type="dxa"/>
            <w:tcBorders>
              <w:top w:val="single" w:sz="4" w:space="0" w:color="000000"/>
              <w:left w:val="nil"/>
              <w:bottom w:val="single" w:sz="4" w:space="0" w:color="auto"/>
              <w:right w:val="single" w:sz="4" w:space="0" w:color="000000"/>
            </w:tcBorders>
            <w:shd w:val="clear" w:color="auto" w:fill="92D050"/>
            <w:vAlign w:val="center"/>
            <w:hideMark/>
          </w:tcPr>
          <w:p w14:paraId="0B1241EE" w14:textId="77777777" w:rsidR="00456D14" w:rsidRPr="00456D14" w:rsidRDefault="00456D14" w:rsidP="005D3766">
            <w:pPr>
              <w:spacing w:after="0"/>
              <w:jc w:val="center"/>
              <w:rPr>
                <w:rFonts w:ascii="Calibri" w:hAnsi="Calibri"/>
                <w:b/>
                <w:color w:val="000000" w:themeColor="text1"/>
              </w:rPr>
            </w:pPr>
            <w:r w:rsidRPr="00456D14">
              <w:rPr>
                <w:rFonts w:ascii="Calibri" w:hAnsi="Calibri"/>
                <w:b/>
                <w:color w:val="000000" w:themeColor="text1"/>
              </w:rPr>
              <w:t>2016</w:t>
            </w:r>
          </w:p>
        </w:tc>
        <w:tc>
          <w:tcPr>
            <w:tcW w:w="851" w:type="dxa"/>
            <w:tcBorders>
              <w:top w:val="single" w:sz="4" w:space="0" w:color="000000"/>
              <w:left w:val="nil"/>
              <w:bottom w:val="single" w:sz="4" w:space="0" w:color="auto"/>
              <w:right w:val="single" w:sz="4" w:space="0" w:color="000000"/>
            </w:tcBorders>
            <w:shd w:val="clear" w:color="auto" w:fill="92D050"/>
            <w:vAlign w:val="center"/>
            <w:hideMark/>
          </w:tcPr>
          <w:p w14:paraId="5677FFBB" w14:textId="77777777" w:rsidR="00456D14" w:rsidRPr="00456D14" w:rsidRDefault="00456D14" w:rsidP="005D3766">
            <w:pPr>
              <w:spacing w:after="0"/>
              <w:jc w:val="center"/>
              <w:rPr>
                <w:rFonts w:ascii="Calibri" w:hAnsi="Calibri"/>
                <w:b/>
                <w:color w:val="000000" w:themeColor="text1"/>
              </w:rPr>
            </w:pPr>
            <w:r w:rsidRPr="00456D14">
              <w:rPr>
                <w:rFonts w:ascii="Calibri" w:hAnsi="Calibri"/>
                <w:b/>
                <w:color w:val="000000" w:themeColor="text1"/>
              </w:rPr>
              <w:t>2017</w:t>
            </w:r>
          </w:p>
        </w:tc>
        <w:tc>
          <w:tcPr>
            <w:tcW w:w="850" w:type="dxa"/>
            <w:tcBorders>
              <w:top w:val="single" w:sz="4" w:space="0" w:color="000000"/>
              <w:left w:val="nil"/>
              <w:bottom w:val="single" w:sz="4" w:space="0" w:color="auto"/>
              <w:right w:val="single" w:sz="4" w:space="0" w:color="000000"/>
            </w:tcBorders>
            <w:shd w:val="clear" w:color="auto" w:fill="92D050"/>
            <w:vAlign w:val="center"/>
            <w:hideMark/>
          </w:tcPr>
          <w:p w14:paraId="549A9295" w14:textId="77777777" w:rsidR="00456D14" w:rsidRPr="00456D14" w:rsidRDefault="00456D14" w:rsidP="005D3766">
            <w:pPr>
              <w:spacing w:after="0"/>
              <w:jc w:val="center"/>
              <w:rPr>
                <w:rFonts w:ascii="Calibri" w:hAnsi="Calibri"/>
                <w:b/>
                <w:color w:val="000000" w:themeColor="text1"/>
              </w:rPr>
            </w:pPr>
            <w:r w:rsidRPr="00456D14">
              <w:rPr>
                <w:rFonts w:ascii="Calibri" w:hAnsi="Calibri"/>
                <w:b/>
                <w:color w:val="000000" w:themeColor="text1"/>
              </w:rPr>
              <w:t>2018</w:t>
            </w:r>
          </w:p>
        </w:tc>
        <w:tc>
          <w:tcPr>
            <w:tcW w:w="851" w:type="dxa"/>
            <w:tcBorders>
              <w:top w:val="single" w:sz="4" w:space="0" w:color="000000"/>
              <w:left w:val="nil"/>
              <w:bottom w:val="single" w:sz="4" w:space="0" w:color="auto"/>
              <w:right w:val="single" w:sz="4" w:space="0" w:color="000000"/>
            </w:tcBorders>
            <w:shd w:val="clear" w:color="auto" w:fill="92D050"/>
            <w:vAlign w:val="center"/>
            <w:hideMark/>
          </w:tcPr>
          <w:p w14:paraId="48F63C50" w14:textId="77777777" w:rsidR="00456D14" w:rsidRPr="00456D14" w:rsidRDefault="00456D14" w:rsidP="005D3766">
            <w:pPr>
              <w:spacing w:after="0"/>
              <w:jc w:val="center"/>
              <w:rPr>
                <w:rFonts w:ascii="Calibri" w:hAnsi="Calibri"/>
                <w:b/>
                <w:color w:val="000000" w:themeColor="text1"/>
              </w:rPr>
            </w:pPr>
            <w:r w:rsidRPr="00456D14">
              <w:rPr>
                <w:rFonts w:ascii="Calibri" w:hAnsi="Calibri"/>
                <w:b/>
                <w:color w:val="000000" w:themeColor="text1"/>
              </w:rPr>
              <w:t>2019</w:t>
            </w:r>
          </w:p>
        </w:tc>
      </w:tr>
      <w:tr w:rsidR="00456D14" w14:paraId="690E00F5" w14:textId="77777777" w:rsidTr="00B73B42">
        <w:trPr>
          <w:trHeight w:val="30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74943F" w14:textId="77777777" w:rsidR="00456D14" w:rsidRPr="00B73B42" w:rsidRDefault="00456D14" w:rsidP="00BB0170">
            <w:pPr>
              <w:spacing w:after="0" w:line="240" w:lineRule="auto"/>
              <w:rPr>
                <w:rFonts w:ascii="Calibri" w:hAnsi="Calibri"/>
                <w:b/>
              </w:rPr>
            </w:pPr>
            <w:r w:rsidRPr="00B73B42">
              <w:rPr>
                <w:rFonts w:ascii="Calibri" w:hAnsi="Calibri"/>
                <w:b/>
              </w:rPr>
              <w:t>Olsztyn</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683F35" w14:textId="77777777" w:rsidR="00456D14" w:rsidRDefault="00456D14" w:rsidP="00BB0170">
            <w:pPr>
              <w:spacing w:after="0" w:line="240" w:lineRule="auto"/>
              <w:jc w:val="center"/>
              <w:rPr>
                <w:rFonts w:ascii="Calibri" w:hAnsi="Calibri"/>
              </w:rPr>
            </w:pPr>
            <w:r>
              <w:rPr>
                <w:rFonts w:ascii="Calibri" w:hAnsi="Calibri"/>
              </w:rPr>
              <w:t>72,40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4D93B7" w14:textId="77777777" w:rsidR="00456D14" w:rsidRDefault="00456D14" w:rsidP="00BB0170">
            <w:pPr>
              <w:spacing w:after="0" w:line="240" w:lineRule="auto"/>
              <w:jc w:val="center"/>
              <w:rPr>
                <w:rFonts w:ascii="Calibri" w:hAnsi="Calibri"/>
              </w:rPr>
            </w:pPr>
            <w:r>
              <w:rPr>
                <w:rFonts w:ascii="Calibri" w:hAnsi="Calibri"/>
              </w:rPr>
              <w:t>84,43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28CDEA" w14:textId="77777777" w:rsidR="00456D14" w:rsidRDefault="00456D14" w:rsidP="00BB0170">
            <w:pPr>
              <w:spacing w:after="0" w:line="240" w:lineRule="auto"/>
              <w:jc w:val="center"/>
              <w:rPr>
                <w:rFonts w:ascii="Calibri" w:hAnsi="Calibri"/>
              </w:rPr>
            </w:pPr>
            <w:r>
              <w:rPr>
                <w:rFonts w:ascii="Calibri" w:hAnsi="Calibri"/>
              </w:rPr>
              <w:t>84,43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705C5B" w14:textId="77777777" w:rsidR="00456D14" w:rsidRDefault="00456D14" w:rsidP="00BB0170">
            <w:pPr>
              <w:spacing w:after="0" w:line="240" w:lineRule="auto"/>
              <w:jc w:val="center"/>
              <w:rPr>
                <w:rFonts w:ascii="Calibri" w:hAnsi="Calibri"/>
              </w:rPr>
            </w:pPr>
            <w:r>
              <w:rPr>
                <w:rFonts w:ascii="Calibri" w:hAnsi="Calibri"/>
              </w:rPr>
              <w:t>84,43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93DA71" w14:textId="77777777" w:rsidR="00456D14" w:rsidRDefault="00456D14" w:rsidP="00BB0170">
            <w:pPr>
              <w:spacing w:after="0" w:line="240" w:lineRule="auto"/>
              <w:jc w:val="center"/>
              <w:rPr>
                <w:rFonts w:ascii="Calibri" w:hAnsi="Calibri"/>
              </w:rPr>
            </w:pPr>
            <w:r>
              <w:rPr>
                <w:rFonts w:ascii="Calibri" w:hAnsi="Calibri"/>
              </w:rPr>
              <w:t>84,43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2FCA2F" w14:textId="77777777" w:rsidR="00456D14" w:rsidRDefault="00456D14" w:rsidP="00BB0170">
            <w:pPr>
              <w:spacing w:after="0" w:line="240" w:lineRule="auto"/>
              <w:jc w:val="center"/>
              <w:rPr>
                <w:rFonts w:ascii="Calibri" w:hAnsi="Calibri"/>
              </w:rPr>
            </w:pPr>
            <w:r>
              <w:rPr>
                <w:rFonts w:ascii="Calibri" w:hAnsi="Calibri"/>
              </w:rPr>
              <w:t>103,05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6C6290" w14:textId="77777777" w:rsidR="00456D14" w:rsidRDefault="00456D14" w:rsidP="00BB0170">
            <w:pPr>
              <w:spacing w:after="0" w:line="240" w:lineRule="auto"/>
              <w:jc w:val="center"/>
              <w:rPr>
                <w:rFonts w:ascii="Calibri" w:hAnsi="Calibri"/>
              </w:rPr>
            </w:pPr>
            <w:r>
              <w:rPr>
                <w:rFonts w:ascii="Calibri" w:hAnsi="Calibri"/>
              </w:rPr>
              <w:t>103,05</w:t>
            </w:r>
          </w:p>
        </w:tc>
      </w:tr>
      <w:tr w:rsidR="00456D14" w14:paraId="024FCA29" w14:textId="77777777" w:rsidTr="00B73B42">
        <w:trPr>
          <w:trHeight w:val="30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479E41" w14:textId="77777777" w:rsidR="00456D14" w:rsidRPr="00B73B42" w:rsidRDefault="00456D14" w:rsidP="00BB0170">
            <w:pPr>
              <w:spacing w:after="0" w:line="240" w:lineRule="auto"/>
              <w:rPr>
                <w:rFonts w:ascii="Calibri" w:hAnsi="Calibri"/>
                <w:b/>
              </w:rPr>
            </w:pPr>
            <w:r w:rsidRPr="00B73B42">
              <w:rPr>
                <w:rFonts w:ascii="Calibri" w:hAnsi="Calibri"/>
                <w:b/>
              </w:rPr>
              <w:t>Kielce</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8F08FE" w14:textId="77777777" w:rsidR="00456D14" w:rsidRDefault="00456D14" w:rsidP="00BB0170">
            <w:pPr>
              <w:spacing w:after="0" w:line="240" w:lineRule="auto"/>
              <w:jc w:val="center"/>
              <w:rPr>
                <w:rFonts w:ascii="Calibri" w:hAnsi="Calibri"/>
              </w:rPr>
            </w:pPr>
            <w:r>
              <w:rPr>
                <w:rFonts w:ascii="Calibri" w:hAnsi="Calibri"/>
              </w:rPr>
              <w:t>72,95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58C8E6" w14:textId="77777777" w:rsidR="00456D14" w:rsidRDefault="00456D14" w:rsidP="00BB0170">
            <w:pPr>
              <w:spacing w:after="0" w:line="240" w:lineRule="auto"/>
              <w:jc w:val="center"/>
              <w:rPr>
                <w:rFonts w:ascii="Calibri" w:hAnsi="Calibri"/>
              </w:rPr>
            </w:pPr>
            <w:r>
              <w:rPr>
                <w:rFonts w:ascii="Calibri" w:hAnsi="Calibri"/>
              </w:rPr>
              <w:t>72,95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1FE41D" w14:textId="77777777" w:rsidR="00456D14" w:rsidRDefault="00456D14" w:rsidP="00BB0170">
            <w:pPr>
              <w:spacing w:after="0" w:line="240" w:lineRule="auto"/>
              <w:jc w:val="center"/>
              <w:rPr>
                <w:rFonts w:ascii="Calibri" w:hAnsi="Calibri"/>
              </w:rPr>
            </w:pPr>
            <w:r>
              <w:rPr>
                <w:rFonts w:ascii="Calibri" w:hAnsi="Calibri"/>
              </w:rPr>
              <w:t>72,95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7F0E18" w14:textId="77777777" w:rsidR="00456D14" w:rsidRDefault="00456D14" w:rsidP="00BB0170">
            <w:pPr>
              <w:spacing w:after="0" w:line="240" w:lineRule="auto"/>
              <w:jc w:val="center"/>
              <w:rPr>
                <w:rFonts w:ascii="Calibri" w:hAnsi="Calibri"/>
              </w:rPr>
            </w:pPr>
            <w:r>
              <w:rPr>
                <w:rFonts w:ascii="Calibri" w:hAnsi="Calibri"/>
              </w:rPr>
              <w:t>72,85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4C7539" w14:textId="77777777" w:rsidR="00456D14" w:rsidRDefault="00456D14" w:rsidP="00BB0170">
            <w:pPr>
              <w:spacing w:after="0" w:line="240" w:lineRule="auto"/>
              <w:jc w:val="center"/>
              <w:rPr>
                <w:rFonts w:ascii="Calibri" w:hAnsi="Calibri"/>
              </w:rPr>
            </w:pPr>
            <w:r>
              <w:rPr>
                <w:rFonts w:ascii="Calibri" w:hAnsi="Calibri"/>
              </w:rPr>
              <w:t>71,00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3A08FC" w14:textId="77777777" w:rsidR="00456D14" w:rsidRDefault="00456D14" w:rsidP="00BB0170">
            <w:pPr>
              <w:spacing w:after="0" w:line="240" w:lineRule="auto"/>
              <w:jc w:val="center"/>
              <w:rPr>
                <w:rFonts w:ascii="Calibri" w:hAnsi="Calibri"/>
              </w:rPr>
            </w:pPr>
            <w:r>
              <w:rPr>
                <w:rFonts w:ascii="Calibri" w:hAnsi="Calibri"/>
              </w:rPr>
              <w:t>69,14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77A05C" w14:textId="77777777" w:rsidR="00456D14" w:rsidRDefault="00456D14" w:rsidP="00BB0170">
            <w:pPr>
              <w:spacing w:after="0" w:line="240" w:lineRule="auto"/>
              <w:jc w:val="center"/>
              <w:rPr>
                <w:rFonts w:ascii="Calibri" w:hAnsi="Calibri"/>
              </w:rPr>
            </w:pPr>
            <w:r>
              <w:rPr>
                <w:rFonts w:ascii="Calibri" w:hAnsi="Calibri"/>
              </w:rPr>
              <w:t>69,14</w:t>
            </w:r>
          </w:p>
        </w:tc>
      </w:tr>
      <w:tr w:rsidR="00456D14" w14:paraId="76430E48" w14:textId="77777777" w:rsidTr="00B73B42">
        <w:trPr>
          <w:trHeight w:val="30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0B271D" w14:textId="77777777" w:rsidR="00456D14" w:rsidRPr="00B73B42" w:rsidRDefault="00456D14" w:rsidP="00BB0170">
            <w:pPr>
              <w:spacing w:after="0" w:line="240" w:lineRule="auto"/>
              <w:rPr>
                <w:rFonts w:ascii="Calibri" w:hAnsi="Calibri"/>
                <w:b/>
              </w:rPr>
            </w:pPr>
            <w:r w:rsidRPr="00B73B42">
              <w:rPr>
                <w:rFonts w:ascii="Calibri" w:hAnsi="Calibri"/>
                <w:b/>
              </w:rPr>
              <w:t>Białystok</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E8616D" w14:textId="77777777" w:rsidR="00456D14" w:rsidRDefault="00456D14" w:rsidP="00BB0170">
            <w:pPr>
              <w:spacing w:after="0" w:line="240" w:lineRule="auto"/>
              <w:jc w:val="center"/>
              <w:rPr>
                <w:rFonts w:ascii="Calibri" w:hAnsi="Calibri"/>
              </w:rPr>
            </w:pPr>
            <w:r>
              <w:rPr>
                <w:rFonts w:ascii="Calibri" w:hAnsi="Calibri"/>
              </w:rPr>
              <w:t>81,70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EE4D90" w14:textId="77777777" w:rsidR="00456D14" w:rsidRDefault="00456D14" w:rsidP="00BB0170">
            <w:pPr>
              <w:spacing w:after="0" w:line="240" w:lineRule="auto"/>
              <w:jc w:val="center"/>
              <w:rPr>
                <w:rFonts w:ascii="Calibri" w:hAnsi="Calibri"/>
              </w:rPr>
            </w:pPr>
            <w:r>
              <w:rPr>
                <w:rFonts w:ascii="Calibri" w:hAnsi="Calibri"/>
              </w:rPr>
              <w:t>112,34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228BA4" w14:textId="77777777" w:rsidR="00456D14" w:rsidRDefault="00456D14" w:rsidP="00BB0170">
            <w:pPr>
              <w:spacing w:after="0" w:line="240" w:lineRule="auto"/>
              <w:jc w:val="center"/>
              <w:rPr>
                <w:rFonts w:ascii="Calibri" w:hAnsi="Calibri"/>
              </w:rPr>
            </w:pPr>
            <w:r>
              <w:rPr>
                <w:rFonts w:ascii="Calibri" w:hAnsi="Calibri"/>
              </w:rPr>
              <w:t>112,34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53F603" w14:textId="77777777" w:rsidR="00456D14" w:rsidRDefault="00456D14" w:rsidP="00BB0170">
            <w:pPr>
              <w:spacing w:after="0" w:line="240" w:lineRule="auto"/>
              <w:jc w:val="center"/>
              <w:rPr>
                <w:rFonts w:ascii="Calibri" w:hAnsi="Calibri"/>
              </w:rPr>
            </w:pPr>
            <w:r>
              <w:rPr>
                <w:rFonts w:ascii="Calibri" w:hAnsi="Calibri"/>
              </w:rPr>
              <w:t>117,95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1185FD" w14:textId="77777777" w:rsidR="00456D14" w:rsidRDefault="00456D14" w:rsidP="00BB0170">
            <w:pPr>
              <w:spacing w:after="0" w:line="240" w:lineRule="auto"/>
              <w:jc w:val="center"/>
              <w:rPr>
                <w:rFonts w:ascii="Calibri" w:hAnsi="Calibri"/>
              </w:rPr>
            </w:pPr>
            <w:r>
              <w:rPr>
                <w:rFonts w:ascii="Calibri" w:hAnsi="Calibri"/>
              </w:rPr>
              <w:t>123,21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4E1DE4" w14:textId="77777777" w:rsidR="00456D14" w:rsidRDefault="00456D14" w:rsidP="00BB0170">
            <w:pPr>
              <w:spacing w:after="0" w:line="240" w:lineRule="auto"/>
              <w:jc w:val="center"/>
              <w:rPr>
                <w:rFonts w:ascii="Calibri" w:hAnsi="Calibri"/>
              </w:rPr>
            </w:pPr>
            <w:r>
              <w:rPr>
                <w:rFonts w:ascii="Calibri" w:hAnsi="Calibri"/>
              </w:rPr>
              <w:t>123,21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DD8BA5" w14:textId="77777777" w:rsidR="00456D14" w:rsidRDefault="00456D14" w:rsidP="00BB0170">
            <w:pPr>
              <w:spacing w:after="0" w:line="240" w:lineRule="auto"/>
              <w:jc w:val="center"/>
              <w:rPr>
                <w:rFonts w:ascii="Calibri" w:hAnsi="Calibri"/>
              </w:rPr>
            </w:pPr>
            <w:r>
              <w:rPr>
                <w:rFonts w:ascii="Calibri" w:hAnsi="Calibri"/>
              </w:rPr>
              <w:t>125,57</w:t>
            </w:r>
          </w:p>
        </w:tc>
      </w:tr>
      <w:tr w:rsidR="00456D14" w14:paraId="5B38ADA7" w14:textId="77777777" w:rsidTr="00B73B42">
        <w:trPr>
          <w:trHeight w:val="30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87DC17" w14:textId="77777777" w:rsidR="00456D14" w:rsidRPr="00B73B42" w:rsidRDefault="00456D14" w:rsidP="00BB0170">
            <w:pPr>
              <w:spacing w:after="0" w:line="240" w:lineRule="auto"/>
              <w:rPr>
                <w:rFonts w:ascii="Calibri" w:hAnsi="Calibri"/>
                <w:b/>
              </w:rPr>
            </w:pPr>
            <w:r w:rsidRPr="00B73B42">
              <w:rPr>
                <w:rFonts w:ascii="Calibri" w:hAnsi="Calibri"/>
                <w:b/>
              </w:rPr>
              <w:t>Rzeszów</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13229D" w14:textId="77777777" w:rsidR="00456D14" w:rsidRDefault="00456D14" w:rsidP="00BB0170">
            <w:pPr>
              <w:spacing w:after="0" w:line="240" w:lineRule="auto"/>
              <w:jc w:val="center"/>
              <w:rPr>
                <w:rFonts w:ascii="Calibri" w:hAnsi="Calibri"/>
              </w:rPr>
            </w:pPr>
            <w:r>
              <w:rPr>
                <w:rFonts w:ascii="Calibri" w:hAnsi="Calibri"/>
              </w:rPr>
              <w:t>76,21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23CD15" w14:textId="77777777" w:rsidR="00456D14" w:rsidRDefault="00456D14" w:rsidP="00BB0170">
            <w:pPr>
              <w:spacing w:after="0" w:line="240" w:lineRule="auto"/>
              <w:jc w:val="center"/>
              <w:rPr>
                <w:rFonts w:ascii="Calibri" w:hAnsi="Calibri"/>
              </w:rPr>
            </w:pPr>
            <w:r>
              <w:rPr>
                <w:rFonts w:ascii="Calibri" w:hAnsi="Calibri"/>
              </w:rPr>
              <w:t>81,62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7F759E" w14:textId="77777777" w:rsidR="00456D14" w:rsidRDefault="00456D14" w:rsidP="00BB0170">
            <w:pPr>
              <w:spacing w:after="0" w:line="240" w:lineRule="auto"/>
              <w:jc w:val="center"/>
              <w:rPr>
                <w:rFonts w:ascii="Calibri" w:hAnsi="Calibri"/>
              </w:rPr>
            </w:pPr>
            <w:r>
              <w:rPr>
                <w:rFonts w:ascii="Calibri" w:hAnsi="Calibri"/>
              </w:rPr>
              <w:t>81,62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D02A2E" w14:textId="77777777" w:rsidR="00456D14" w:rsidRDefault="00456D14" w:rsidP="00BB0170">
            <w:pPr>
              <w:spacing w:after="0" w:line="240" w:lineRule="auto"/>
              <w:jc w:val="center"/>
              <w:rPr>
                <w:rFonts w:ascii="Calibri" w:hAnsi="Calibri"/>
              </w:rPr>
            </w:pPr>
            <w:r>
              <w:rPr>
                <w:rFonts w:ascii="Calibri" w:hAnsi="Calibri"/>
              </w:rPr>
              <w:t>81,62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EF0340" w14:textId="77777777" w:rsidR="00456D14" w:rsidRDefault="00456D14" w:rsidP="00BB0170">
            <w:pPr>
              <w:spacing w:after="0" w:line="240" w:lineRule="auto"/>
              <w:jc w:val="center"/>
              <w:rPr>
                <w:rFonts w:ascii="Calibri" w:hAnsi="Calibri"/>
              </w:rPr>
            </w:pPr>
            <w:r>
              <w:rPr>
                <w:rFonts w:ascii="Calibri" w:hAnsi="Calibri"/>
              </w:rPr>
              <w:t>81,62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5C6E3E" w14:textId="77777777" w:rsidR="00456D14" w:rsidRDefault="00456D14" w:rsidP="00BB0170">
            <w:pPr>
              <w:spacing w:after="0" w:line="240" w:lineRule="auto"/>
              <w:jc w:val="center"/>
              <w:rPr>
                <w:rFonts w:ascii="Calibri" w:hAnsi="Calibri"/>
              </w:rPr>
            </w:pPr>
            <w:r>
              <w:rPr>
                <w:rFonts w:ascii="Calibri" w:hAnsi="Calibri"/>
              </w:rPr>
              <w:t>83,27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FDF8A5" w14:textId="77777777" w:rsidR="00456D14" w:rsidRDefault="00456D14" w:rsidP="00BB0170">
            <w:pPr>
              <w:spacing w:after="0" w:line="240" w:lineRule="auto"/>
              <w:jc w:val="center"/>
              <w:rPr>
                <w:rFonts w:ascii="Calibri" w:hAnsi="Calibri"/>
              </w:rPr>
            </w:pPr>
            <w:r>
              <w:rPr>
                <w:rFonts w:ascii="Calibri" w:hAnsi="Calibri"/>
              </w:rPr>
              <w:t>83,27</w:t>
            </w:r>
          </w:p>
        </w:tc>
      </w:tr>
      <w:tr w:rsidR="00456D14" w14:paraId="1ED7ED38" w14:textId="77777777" w:rsidTr="00B73B42">
        <w:trPr>
          <w:trHeight w:val="30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6AC619" w14:textId="77777777" w:rsidR="00456D14" w:rsidRPr="00B73B42" w:rsidRDefault="00456D14" w:rsidP="00BB0170">
            <w:pPr>
              <w:spacing w:after="0" w:line="240" w:lineRule="auto"/>
              <w:rPr>
                <w:rFonts w:ascii="Calibri" w:hAnsi="Calibri"/>
                <w:b/>
              </w:rPr>
            </w:pPr>
            <w:r w:rsidRPr="00B73B42">
              <w:rPr>
                <w:rFonts w:ascii="Calibri" w:hAnsi="Calibri"/>
                <w:b/>
              </w:rPr>
              <w:t>Lublin</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3E6C2C" w14:textId="77777777" w:rsidR="00456D14" w:rsidRDefault="00456D14" w:rsidP="00BB0170">
            <w:pPr>
              <w:spacing w:after="0" w:line="240" w:lineRule="auto"/>
              <w:jc w:val="center"/>
              <w:rPr>
                <w:rFonts w:ascii="Calibri" w:hAnsi="Calibri"/>
              </w:rPr>
            </w:pPr>
            <w:r>
              <w:rPr>
                <w:rFonts w:ascii="Calibri" w:hAnsi="Calibri"/>
              </w:rPr>
              <w:t>176,40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C8AB94" w14:textId="77777777" w:rsidR="00456D14" w:rsidRDefault="00456D14" w:rsidP="00BB0170">
            <w:pPr>
              <w:spacing w:after="0" w:line="240" w:lineRule="auto"/>
              <w:jc w:val="center"/>
              <w:rPr>
                <w:rFonts w:ascii="Calibri" w:hAnsi="Calibri"/>
              </w:rPr>
            </w:pPr>
            <w:r>
              <w:rPr>
                <w:rFonts w:ascii="Calibri" w:hAnsi="Calibri"/>
              </w:rPr>
              <w:t>176,40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6B0D35" w14:textId="77777777" w:rsidR="00456D14" w:rsidRDefault="00456D14" w:rsidP="00BB0170">
            <w:pPr>
              <w:spacing w:after="0" w:line="240" w:lineRule="auto"/>
              <w:jc w:val="center"/>
              <w:rPr>
                <w:rFonts w:ascii="Calibri" w:hAnsi="Calibri"/>
              </w:rPr>
            </w:pPr>
            <w:r>
              <w:rPr>
                <w:rFonts w:ascii="Calibri" w:hAnsi="Calibri"/>
              </w:rPr>
              <w:t>176,40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E665D3" w14:textId="77777777" w:rsidR="00456D14" w:rsidRDefault="00456D14" w:rsidP="00BB0170">
            <w:pPr>
              <w:spacing w:after="0" w:line="240" w:lineRule="auto"/>
              <w:jc w:val="center"/>
              <w:rPr>
                <w:rFonts w:ascii="Calibri" w:hAnsi="Calibri"/>
              </w:rPr>
            </w:pPr>
            <w:r>
              <w:rPr>
                <w:rFonts w:ascii="Calibri" w:hAnsi="Calibri"/>
              </w:rPr>
              <w:t>176,40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DD12A3" w14:textId="77777777" w:rsidR="00456D14" w:rsidRDefault="00456D14" w:rsidP="00BB0170">
            <w:pPr>
              <w:spacing w:after="0" w:line="240" w:lineRule="auto"/>
              <w:jc w:val="center"/>
              <w:rPr>
                <w:rFonts w:ascii="Calibri" w:hAnsi="Calibri"/>
              </w:rPr>
            </w:pPr>
            <w:r>
              <w:rPr>
                <w:rFonts w:ascii="Calibri" w:hAnsi="Calibri"/>
              </w:rPr>
              <w:t>176,40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20DFE5" w14:textId="77777777" w:rsidR="00456D14" w:rsidRDefault="00456D14" w:rsidP="00BB0170">
            <w:pPr>
              <w:spacing w:after="0" w:line="240" w:lineRule="auto"/>
              <w:jc w:val="center"/>
              <w:rPr>
                <w:rFonts w:ascii="Calibri" w:hAnsi="Calibri"/>
              </w:rPr>
            </w:pPr>
            <w:r>
              <w:rPr>
                <w:rFonts w:ascii="Calibri" w:hAnsi="Calibri"/>
              </w:rPr>
              <w:t>186,00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39FE26" w14:textId="77777777" w:rsidR="00456D14" w:rsidRDefault="00456D14" w:rsidP="00BB0170">
            <w:pPr>
              <w:spacing w:after="0" w:line="240" w:lineRule="auto"/>
              <w:jc w:val="center"/>
              <w:rPr>
                <w:rFonts w:ascii="Calibri" w:hAnsi="Calibri"/>
              </w:rPr>
            </w:pPr>
            <w:r>
              <w:rPr>
                <w:rFonts w:ascii="Calibri" w:hAnsi="Calibri"/>
              </w:rPr>
              <w:t>166,00</w:t>
            </w:r>
          </w:p>
        </w:tc>
      </w:tr>
    </w:tbl>
    <w:p w14:paraId="5CB44918" w14:textId="77777777" w:rsidR="00AD05CD" w:rsidRDefault="00AD05CD" w:rsidP="00AD05CD">
      <w:pPr>
        <w:jc w:val="center"/>
      </w:pPr>
      <w:r w:rsidRPr="0091031D">
        <w:rPr>
          <w:i/>
          <w:sz w:val="20"/>
          <w:szCs w:val="20"/>
        </w:rPr>
        <w:t>źródło: opracowanie własne na podstawie danych GUS</w:t>
      </w:r>
    </w:p>
    <w:p w14:paraId="0B651010" w14:textId="77777777" w:rsidR="005408F3" w:rsidRDefault="00994C7A" w:rsidP="007D63C3">
      <w:pPr>
        <w:jc w:val="both"/>
        <w:rPr>
          <w:rFonts w:cs="Arial"/>
        </w:rPr>
      </w:pPr>
      <w:r w:rsidRPr="00994C7A">
        <w:rPr>
          <w:rFonts w:cs="Arial"/>
        </w:rPr>
        <w:t>Miejskie tereny zielone to również zieleńce</w:t>
      </w:r>
      <w:r>
        <w:rPr>
          <w:rFonts w:cs="Arial"/>
        </w:rPr>
        <w:t xml:space="preserve">, </w:t>
      </w:r>
      <w:r w:rsidR="003F0427">
        <w:rPr>
          <w:rFonts w:cs="Arial"/>
        </w:rPr>
        <w:t>za któr</w:t>
      </w:r>
      <w:r w:rsidR="00FE7E6F">
        <w:rPr>
          <w:rFonts w:cs="Arial"/>
        </w:rPr>
        <w:t>e</w:t>
      </w:r>
      <w:r w:rsidR="003F0427">
        <w:rPr>
          <w:rFonts w:cs="Arial"/>
        </w:rPr>
        <w:t xml:space="preserve"> zgodnie z definicją GUS należy rozumieć</w:t>
      </w:r>
      <w:r>
        <w:rPr>
          <w:rFonts w:cs="Arial"/>
        </w:rPr>
        <w:t xml:space="preserve"> </w:t>
      </w:r>
      <w:r w:rsidRPr="00994C7A">
        <w:rPr>
          <w:rFonts w:cs="Arial"/>
          <w:i/>
        </w:rPr>
        <w:t xml:space="preserve">teren zieleni o powierzchni poniżej 2 ha, w którego funkcji dominuje wypoczynek (np. alejki z ławkami, place zabaw itp.). Do tej kategorii obiektów należy zalicza się również zieleń towarzyszącą placom, zabytkowym fortyfikacjom, budynkom użyteczności publicznej, pomnikom itp. oraz bulwarom </w:t>
      </w:r>
      <w:r w:rsidR="003F0427">
        <w:rPr>
          <w:rFonts w:cs="Arial"/>
          <w:i/>
        </w:rPr>
        <w:br/>
      </w:r>
      <w:r w:rsidRPr="00994C7A">
        <w:rPr>
          <w:rFonts w:cs="Arial"/>
          <w:i/>
        </w:rPr>
        <w:lastRenderedPageBreak/>
        <w:t>i promenadom. Do powierzchni zieleńca należy wliczyć: tereny sportów wodnych, otwartych kąpielisk, boisk, placów gier</w:t>
      </w:r>
      <w:r>
        <w:rPr>
          <w:rFonts w:cs="Arial"/>
          <w:i/>
        </w:rPr>
        <w:t xml:space="preserve"> </w:t>
      </w:r>
      <w:r w:rsidRPr="00994C7A">
        <w:rPr>
          <w:rFonts w:cs="Arial"/>
          <w:i/>
        </w:rPr>
        <w:t>itp., o ile są dostępne do użytku powszechnego</w:t>
      </w:r>
      <w:r>
        <w:rPr>
          <w:rFonts w:cs="Arial"/>
          <w:i/>
        </w:rPr>
        <w:t>.</w:t>
      </w:r>
      <w:r>
        <w:rPr>
          <w:rStyle w:val="Odwoanieprzypisudolnego"/>
          <w:rFonts w:cs="Arial"/>
          <w:i/>
        </w:rPr>
        <w:footnoteReference w:id="20"/>
      </w:r>
      <w:r>
        <w:rPr>
          <w:rFonts w:cs="Arial"/>
          <w:i/>
        </w:rPr>
        <w:t xml:space="preserve"> </w:t>
      </w:r>
      <w:r w:rsidRPr="00994C7A">
        <w:rPr>
          <w:rFonts w:cs="Arial"/>
        </w:rPr>
        <w:t>Największ</w:t>
      </w:r>
      <w:r w:rsidR="009236CF">
        <w:rPr>
          <w:rFonts w:cs="Arial"/>
        </w:rPr>
        <w:t xml:space="preserve">y przyrost (o 1254 ha) </w:t>
      </w:r>
      <w:r w:rsidRPr="00994C7A">
        <w:rPr>
          <w:rFonts w:cs="Arial"/>
        </w:rPr>
        <w:t>powierzchni</w:t>
      </w:r>
      <w:r w:rsidR="009236CF">
        <w:rPr>
          <w:rFonts w:cs="Arial"/>
        </w:rPr>
        <w:t xml:space="preserve"> </w:t>
      </w:r>
      <w:r w:rsidRPr="00994C7A">
        <w:rPr>
          <w:rFonts w:cs="Arial"/>
        </w:rPr>
        <w:t xml:space="preserve">zieleńców </w:t>
      </w:r>
      <w:r w:rsidR="009236CF">
        <w:rPr>
          <w:rFonts w:cs="Arial"/>
        </w:rPr>
        <w:t>nastąpił w R</w:t>
      </w:r>
      <w:r w:rsidR="006158CB">
        <w:rPr>
          <w:rFonts w:cs="Arial"/>
        </w:rPr>
        <w:t xml:space="preserve">zeszowie </w:t>
      </w:r>
      <w:r w:rsidR="009236CF">
        <w:rPr>
          <w:rFonts w:cs="Arial"/>
        </w:rPr>
        <w:t xml:space="preserve">(64 ha w roku 2013 oraz </w:t>
      </w:r>
      <w:r w:rsidR="006158CB">
        <w:rPr>
          <w:rFonts w:cs="Arial"/>
        </w:rPr>
        <w:t>1382 ha</w:t>
      </w:r>
      <w:r w:rsidR="009236CF">
        <w:rPr>
          <w:rFonts w:cs="Arial"/>
        </w:rPr>
        <w:t xml:space="preserve"> w roku 2019</w:t>
      </w:r>
      <w:r w:rsidR="006158CB">
        <w:rPr>
          <w:rFonts w:cs="Arial"/>
        </w:rPr>
        <w:t>)</w:t>
      </w:r>
      <w:r w:rsidR="009236CF">
        <w:rPr>
          <w:rFonts w:cs="Arial"/>
        </w:rPr>
        <w:t xml:space="preserve">. </w:t>
      </w:r>
      <w:r w:rsidR="00FE7E6F">
        <w:rPr>
          <w:rFonts w:cs="Arial"/>
        </w:rPr>
        <w:br/>
      </w:r>
      <w:r w:rsidR="009236CF">
        <w:rPr>
          <w:rFonts w:cs="Arial"/>
        </w:rPr>
        <w:t>W pozostałych omawianych miastach Polski</w:t>
      </w:r>
      <w:r w:rsidR="00FE7E6F">
        <w:rPr>
          <w:rFonts w:cs="Arial"/>
        </w:rPr>
        <w:t xml:space="preserve"> Wschodniej zieleńce zajmują od 7 ha (Kielce) do 105 ha (Lublin). Olsztyniacy korzystają z 33 ha terenów zielonych (przyrost o 10 ha w roku 2019 w </w:t>
      </w:r>
      <w:r w:rsidR="005408F3">
        <w:rPr>
          <w:rFonts w:cs="Arial"/>
        </w:rPr>
        <w:t xml:space="preserve">stosunku do danych za rok 2013). Dokonując analizy dostępnych danych znacząca liczba nasadzeń drzewami </w:t>
      </w:r>
      <w:r w:rsidR="005408F3">
        <w:rPr>
          <w:rFonts w:cs="Arial"/>
        </w:rPr>
        <w:br/>
        <w:t>i krzewami nastąpiła tu w 2019 roku (2536 drzew, 92252 krzewów) i wśród omawianych ośrodków wojewódzkich</w:t>
      </w:r>
      <w:r w:rsidR="005408F3" w:rsidRPr="005408F3">
        <w:rPr>
          <w:rFonts w:cs="Arial"/>
        </w:rPr>
        <w:t xml:space="preserve"> </w:t>
      </w:r>
      <w:r w:rsidR="005408F3">
        <w:rPr>
          <w:rFonts w:cs="Arial"/>
        </w:rPr>
        <w:t>w trzech ostatnich latach była najwyższa.</w:t>
      </w:r>
    </w:p>
    <w:p w14:paraId="3F25F055" w14:textId="189BD826" w:rsidR="00456D14" w:rsidRDefault="009A0593" w:rsidP="007D63C3">
      <w:pPr>
        <w:jc w:val="both"/>
        <w:rPr>
          <w:rFonts w:cs="Arial"/>
        </w:rPr>
      </w:pPr>
      <w:r>
        <w:rPr>
          <w:rFonts w:cs="Arial"/>
        </w:rPr>
        <w:t>Znaczącą rolę w krajobrazie Olsztyna odgrywają jeziora</w:t>
      </w:r>
      <w:r w:rsidRPr="004A5743">
        <w:rPr>
          <w:rFonts w:cs="Arial"/>
        </w:rPr>
        <w:t xml:space="preserve">. </w:t>
      </w:r>
      <w:r w:rsidR="004A5743" w:rsidRPr="004A5743">
        <w:rPr>
          <w:rFonts w:cs="Times New Roman"/>
        </w:rPr>
        <w:t xml:space="preserve">Grunty pod wodami pokrywają 850 ha </w:t>
      </w:r>
      <w:r w:rsidR="004A5743">
        <w:rPr>
          <w:rFonts w:cs="Times New Roman"/>
        </w:rPr>
        <w:br/>
      </w:r>
      <w:r w:rsidR="004A5743" w:rsidRPr="004A5743">
        <w:rPr>
          <w:rFonts w:cs="Times New Roman"/>
        </w:rPr>
        <w:t xml:space="preserve">i stanowią </w:t>
      </w:r>
      <w:r w:rsidR="004A5743">
        <w:rPr>
          <w:rFonts w:cs="Times New Roman"/>
        </w:rPr>
        <w:t>blisko 10</w:t>
      </w:r>
      <w:r w:rsidR="004A5743" w:rsidRPr="004A5743">
        <w:rPr>
          <w:rFonts w:cs="Times New Roman"/>
        </w:rPr>
        <w:t>% powierzchni miasta</w:t>
      </w:r>
      <w:r w:rsidR="004A5743">
        <w:rPr>
          <w:rFonts w:cs="Times New Roman"/>
        </w:rPr>
        <w:t>.</w:t>
      </w:r>
      <w:r w:rsidR="004A5743" w:rsidRPr="004A5743">
        <w:rPr>
          <w:rFonts w:cs="Arial"/>
        </w:rPr>
        <w:t xml:space="preserve"> </w:t>
      </w:r>
      <w:r>
        <w:rPr>
          <w:rFonts w:cs="Arial"/>
        </w:rPr>
        <w:t>W granicach administracyjnych miasta znajduje się 11 jezior oraz 5 mniejszych akwenów wodnych. Ponadto przez Olsztyn przepływają 3 rzeki</w:t>
      </w:r>
      <w:r w:rsidR="004A5743">
        <w:rPr>
          <w:rFonts w:cs="Arial"/>
        </w:rPr>
        <w:t>:</w:t>
      </w:r>
      <w:r>
        <w:rPr>
          <w:rFonts w:cs="Arial"/>
        </w:rPr>
        <w:t xml:space="preserve"> Wadąg, Kortówka oraz najdłuższa - Łyna. </w:t>
      </w:r>
    </w:p>
    <w:p w14:paraId="4E5D7FEA" w14:textId="103FA5B9" w:rsidR="00356A45" w:rsidRPr="00356A45" w:rsidRDefault="00356A45" w:rsidP="007D63C3">
      <w:pPr>
        <w:jc w:val="both"/>
        <w:rPr>
          <w:rFonts w:cs="Arial"/>
        </w:rPr>
      </w:pPr>
      <w:r w:rsidRPr="00356A45">
        <w:rPr>
          <w:rFonts w:cs="Arial"/>
        </w:rPr>
        <w:t xml:space="preserve">Najcenniejsze komponenty w ramach systemu środowiska naturalnego w Olsztynie to tereny rezerwatów przyrody i Obszar Chronionego Krajobrazu Doliny Środkowej Łyny. Rezerwaty Mszar </w:t>
      </w:r>
      <w:r w:rsidR="007D63C3">
        <w:rPr>
          <w:rFonts w:cs="Arial"/>
        </w:rPr>
        <w:br/>
      </w:r>
      <w:r w:rsidRPr="00356A45">
        <w:rPr>
          <w:rFonts w:cs="Arial"/>
        </w:rPr>
        <w:t>i Redykajny znajdują się w pobliżu jeziora Długie i są to obszary ochrony rzadkiej roślinności torfowej, gdzie występują charakterystyczne i rzadkie gatunki zwierząt i roślin</w:t>
      </w:r>
      <w:r w:rsidRPr="00356A45">
        <w:rPr>
          <w:rFonts w:cs="Arial"/>
          <w:vertAlign w:val="superscript"/>
        </w:rPr>
        <w:footnoteReference w:id="21"/>
      </w:r>
      <w:r w:rsidRPr="00356A45">
        <w:rPr>
          <w:rFonts w:cs="Arial"/>
        </w:rPr>
        <w:t>. Obszar Chronionego Krajobrazu ciągnie się przez całe miast</w:t>
      </w:r>
      <w:r w:rsidR="007D63C3">
        <w:rPr>
          <w:rFonts w:cs="Arial"/>
        </w:rPr>
        <w:t>o</w:t>
      </w:r>
      <w:r w:rsidRPr="00356A45">
        <w:rPr>
          <w:rFonts w:cs="Arial"/>
        </w:rPr>
        <w:t xml:space="preserve">, od południa do północy, przecinając </w:t>
      </w:r>
      <w:r w:rsidR="007D63C3">
        <w:rPr>
          <w:rFonts w:cs="Arial"/>
        </w:rPr>
        <w:t>je</w:t>
      </w:r>
      <w:r w:rsidRPr="00356A45">
        <w:rPr>
          <w:rFonts w:cs="Arial"/>
        </w:rPr>
        <w:t xml:space="preserve"> w pół.</w:t>
      </w:r>
    </w:p>
    <w:p w14:paraId="74011051" w14:textId="2EA1D951" w:rsidR="00356A45" w:rsidRPr="00356A45" w:rsidRDefault="00356A45" w:rsidP="00356A45">
      <w:pPr>
        <w:jc w:val="both"/>
        <w:rPr>
          <w:rFonts w:cs="Arial"/>
        </w:rPr>
      </w:pPr>
      <w:r w:rsidRPr="00356A45">
        <w:rPr>
          <w:rFonts w:cs="Arial"/>
        </w:rPr>
        <w:t xml:space="preserve">Lasy ochronne znajdują się głównie na północy Olsztyna, tworząc kompleks Lasu Miejskiego </w:t>
      </w:r>
      <w:r w:rsidR="00206773">
        <w:rPr>
          <w:rFonts w:cs="Arial"/>
        </w:rPr>
        <w:br/>
      </w:r>
      <w:r w:rsidRPr="00356A45">
        <w:rPr>
          <w:rFonts w:cs="Arial"/>
        </w:rPr>
        <w:t>o powierzchni ponad 1000 ha, będącego własnością miasta</w:t>
      </w:r>
      <w:r w:rsidRPr="00356A45">
        <w:rPr>
          <w:rFonts w:cs="Arial"/>
          <w:vertAlign w:val="superscript"/>
        </w:rPr>
        <w:footnoteReference w:id="22"/>
      </w:r>
      <w:r w:rsidRPr="00356A45">
        <w:rPr>
          <w:rFonts w:cs="Arial"/>
        </w:rPr>
        <w:t xml:space="preserve">. W znacznie bardziej zurbanizowanej południowej części miasta znajdują się liczne tereny zieleni urządzonej, parki i tereny ogrodów działkowych o niewielkich powierzchniach. Rzadko zaludniony wschód Olsztyna charakteryzuje się obecnością wielu jezior oraz terenami zieleni nieurządzonej. W mieście położone są także </w:t>
      </w:r>
      <w:r w:rsidR="007D63C3">
        <w:rPr>
          <w:rFonts w:cs="Arial"/>
        </w:rPr>
        <w:t xml:space="preserve">obszary </w:t>
      </w:r>
      <w:r w:rsidRPr="00356A45">
        <w:rPr>
          <w:rFonts w:cs="Arial"/>
        </w:rPr>
        <w:t xml:space="preserve"> użytkowane rolniczo, które znajdują się na skraju miasta, w osiedlu Redykajny. Wschodnia część miasta</w:t>
      </w:r>
      <w:r w:rsidR="007D63C3">
        <w:rPr>
          <w:rFonts w:cs="Arial"/>
        </w:rPr>
        <w:t>, w</w:t>
      </w:r>
      <w:r w:rsidRPr="00356A45">
        <w:rPr>
          <w:rFonts w:cs="Arial"/>
        </w:rPr>
        <w:t xml:space="preserve"> szczególności osiedle Pojezierze i Kętrzyńskiego to </w:t>
      </w:r>
      <w:r w:rsidR="007D63C3">
        <w:rPr>
          <w:rFonts w:cs="Arial"/>
        </w:rPr>
        <w:t>osiedla</w:t>
      </w:r>
      <w:r w:rsidRPr="00356A45">
        <w:rPr>
          <w:rFonts w:cs="Arial"/>
        </w:rPr>
        <w:t xml:space="preserve"> </w:t>
      </w:r>
      <w:r w:rsidR="007D63C3" w:rsidRPr="00356A45">
        <w:rPr>
          <w:rFonts w:cs="Arial"/>
        </w:rPr>
        <w:t xml:space="preserve">o najmniejszej </w:t>
      </w:r>
      <w:r w:rsidR="007D63C3">
        <w:rPr>
          <w:rFonts w:cs="Arial"/>
        </w:rPr>
        <w:t>powierzchni terenów</w:t>
      </w:r>
      <w:r w:rsidR="007D63C3" w:rsidRPr="00356A45">
        <w:rPr>
          <w:rFonts w:cs="Arial"/>
        </w:rPr>
        <w:t xml:space="preserve"> ziel</w:t>
      </w:r>
      <w:r w:rsidR="007D63C3">
        <w:rPr>
          <w:rFonts w:cs="Arial"/>
        </w:rPr>
        <w:t>onych,</w:t>
      </w:r>
      <w:r w:rsidR="007D63C3" w:rsidRPr="00356A45">
        <w:rPr>
          <w:rFonts w:cs="Arial"/>
        </w:rPr>
        <w:t xml:space="preserve"> </w:t>
      </w:r>
      <w:r w:rsidRPr="00356A45">
        <w:rPr>
          <w:rFonts w:cs="Arial"/>
        </w:rPr>
        <w:t xml:space="preserve">w których pojawiają się tylko pojedyncze </w:t>
      </w:r>
      <w:r w:rsidR="00024C1C">
        <w:rPr>
          <w:rFonts w:cs="Arial"/>
        </w:rPr>
        <w:t>strefy ważne dla systemu środowiska naturalnego.</w:t>
      </w:r>
    </w:p>
    <w:p w14:paraId="67DBEB3C" w14:textId="54247CA1" w:rsidR="00356A45" w:rsidRPr="00356A45" w:rsidRDefault="00356A45" w:rsidP="00356A45">
      <w:pPr>
        <w:jc w:val="both"/>
        <w:rPr>
          <w:rFonts w:cs="Arial"/>
        </w:rPr>
      </w:pPr>
      <w:r w:rsidRPr="00356A45">
        <w:rPr>
          <w:rFonts w:cs="Arial"/>
        </w:rPr>
        <w:t xml:space="preserve">Istotną </w:t>
      </w:r>
      <w:r w:rsidR="00024C1C">
        <w:rPr>
          <w:rFonts w:cs="Arial"/>
        </w:rPr>
        <w:t xml:space="preserve">rolę na rzecz zachowania równowagi przyrodniczej </w:t>
      </w:r>
      <w:r w:rsidRPr="00356A45">
        <w:rPr>
          <w:rFonts w:cs="Arial"/>
        </w:rPr>
        <w:t>pełnią korytarze ekologiczne, czyli „obszar umożliwiający migrację roślin, zwierząt lub grzybów”</w:t>
      </w:r>
      <w:r w:rsidRPr="00356A45">
        <w:rPr>
          <w:rFonts w:cs="Arial"/>
          <w:vertAlign w:val="superscript"/>
        </w:rPr>
        <w:footnoteReference w:id="23"/>
      </w:r>
      <w:r w:rsidRPr="00356A45">
        <w:rPr>
          <w:rFonts w:cs="Arial"/>
        </w:rPr>
        <w:t>. W Olsztynie głównym korytarzem jest dolina Środkowej Łyny (północ-południe) oraz pas złożony z parków, ogrodów działkowych, zieleni urządzonej i nieurządzonej w centralnej części miasta (wschód-zachód). Pomniejsze korytarze są formowane przez różnego rodzaju tereny zielone i jeziora we wschodniej części miasta. Problemem dla wszystkich korytarzy ekologicznych jest brak ciągłości i fizyczne bariery</w:t>
      </w:r>
      <w:r w:rsidRPr="00356A45">
        <w:rPr>
          <w:rFonts w:cs="Arial"/>
          <w:vertAlign w:val="superscript"/>
        </w:rPr>
        <w:footnoteReference w:id="24"/>
      </w:r>
      <w:r w:rsidRPr="00356A45">
        <w:rPr>
          <w:rFonts w:cs="Arial"/>
        </w:rPr>
        <w:t>. Słabymi ogniwami są przede wszystkim gęsto zabudowane obszary śródmiejskie oraz poszczególne duże szlaki komunikacyjne.</w:t>
      </w:r>
    </w:p>
    <w:p w14:paraId="7ADC47B7" w14:textId="77782FC5" w:rsidR="000C63F3" w:rsidRDefault="000C63F3">
      <w:pPr>
        <w:rPr>
          <w:rFonts w:cs="Arial"/>
        </w:rPr>
      </w:pPr>
      <w:r>
        <w:rPr>
          <w:rFonts w:cs="Arial"/>
        </w:rPr>
        <w:br w:type="page"/>
      </w:r>
    </w:p>
    <w:p w14:paraId="02219853" w14:textId="6E8F4929" w:rsidR="000C63F3" w:rsidRPr="000C63F3" w:rsidRDefault="000C63F3" w:rsidP="000C63F3">
      <w:pPr>
        <w:pStyle w:val="Legenda"/>
        <w:rPr>
          <w:sz w:val="22"/>
          <w:szCs w:val="22"/>
          <w:lang w:val="pl-PL"/>
        </w:rPr>
      </w:pPr>
      <w:bookmarkStart w:id="75" w:name="_Toc73516173"/>
      <w:r w:rsidRPr="000C63F3">
        <w:rPr>
          <w:sz w:val="22"/>
          <w:szCs w:val="22"/>
          <w:lang w:val="pl-PL"/>
        </w:rPr>
        <w:lastRenderedPageBreak/>
        <w:t xml:space="preserve">Rysunek </w:t>
      </w:r>
      <w:r w:rsidRPr="000C63F3">
        <w:rPr>
          <w:sz w:val="22"/>
          <w:szCs w:val="22"/>
        </w:rPr>
        <w:fldChar w:fldCharType="begin"/>
      </w:r>
      <w:r w:rsidRPr="000C63F3">
        <w:rPr>
          <w:sz w:val="22"/>
          <w:szCs w:val="22"/>
          <w:lang w:val="pl-PL"/>
        </w:rPr>
        <w:instrText xml:space="preserve"> SEQ Rysunek \* ARABIC </w:instrText>
      </w:r>
      <w:r w:rsidRPr="000C63F3">
        <w:rPr>
          <w:sz w:val="22"/>
          <w:szCs w:val="22"/>
        </w:rPr>
        <w:fldChar w:fldCharType="separate"/>
      </w:r>
      <w:r w:rsidR="00AD58C3">
        <w:rPr>
          <w:noProof/>
          <w:sz w:val="22"/>
          <w:szCs w:val="22"/>
          <w:lang w:val="pl-PL"/>
        </w:rPr>
        <w:t>8</w:t>
      </w:r>
      <w:r w:rsidRPr="000C63F3">
        <w:rPr>
          <w:sz w:val="22"/>
          <w:szCs w:val="22"/>
        </w:rPr>
        <w:fldChar w:fldCharType="end"/>
      </w:r>
      <w:r w:rsidRPr="000C63F3">
        <w:rPr>
          <w:sz w:val="22"/>
          <w:szCs w:val="22"/>
          <w:lang w:val="pl-PL"/>
        </w:rPr>
        <w:t>. System środowiska naturalnego Olsztyna</w:t>
      </w:r>
      <w:bookmarkEnd w:id="75"/>
    </w:p>
    <w:p w14:paraId="2DC7B0C3" w14:textId="77777777" w:rsidR="005337C3" w:rsidRDefault="00356A45" w:rsidP="00BE71B3">
      <w:pPr>
        <w:keepNext/>
        <w:spacing w:after="0"/>
        <w:jc w:val="center"/>
      </w:pPr>
      <w:r w:rsidRPr="00356A45">
        <w:rPr>
          <w:rFonts w:cs="Arial"/>
          <w:noProof/>
          <w:lang w:eastAsia="pl-PL"/>
        </w:rPr>
        <w:drawing>
          <wp:inline distT="0" distB="0" distL="0" distR="0" wp14:anchorId="637FD2D4" wp14:editId="39C8028E">
            <wp:extent cx="5760720" cy="5280025"/>
            <wp:effectExtent l="0" t="0" r="0"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720" cy="5280025"/>
                    </a:xfrm>
                    <a:prstGeom prst="rect">
                      <a:avLst/>
                    </a:prstGeom>
                  </pic:spPr>
                </pic:pic>
              </a:graphicData>
            </a:graphic>
          </wp:inline>
        </w:drawing>
      </w:r>
    </w:p>
    <w:p w14:paraId="6FB83F66" w14:textId="6C8878C2" w:rsidR="00356A45" w:rsidRPr="00FB6A8F" w:rsidRDefault="000C63F3" w:rsidP="00BE71B3">
      <w:pPr>
        <w:spacing w:after="0"/>
        <w:jc w:val="center"/>
        <w:rPr>
          <w:rFonts w:cs="Arial"/>
          <w:i/>
          <w:sz w:val="20"/>
          <w:szCs w:val="20"/>
        </w:rPr>
      </w:pPr>
      <w:r w:rsidRPr="00FB6A8F">
        <w:rPr>
          <w:i/>
          <w:sz w:val="20"/>
          <w:szCs w:val="20"/>
        </w:rPr>
        <w:t>ź</w:t>
      </w:r>
      <w:r w:rsidR="005337C3" w:rsidRPr="00FB6A8F">
        <w:rPr>
          <w:i/>
          <w:sz w:val="20"/>
          <w:szCs w:val="20"/>
        </w:rPr>
        <w:t>ródło: S</w:t>
      </w:r>
      <w:r w:rsidR="00FB6A8F" w:rsidRPr="00FB6A8F">
        <w:rPr>
          <w:i/>
          <w:sz w:val="20"/>
          <w:szCs w:val="20"/>
        </w:rPr>
        <w:t>tudium uwarunkowań i kierunków zagospodarowania przestrzennego Miasta Olsztyna;</w:t>
      </w:r>
      <w:r w:rsidR="005337C3" w:rsidRPr="00FB6A8F">
        <w:rPr>
          <w:i/>
          <w:sz w:val="20"/>
          <w:szCs w:val="20"/>
        </w:rPr>
        <w:t xml:space="preserve"> 2013</w:t>
      </w:r>
    </w:p>
    <w:p w14:paraId="5CA497CF" w14:textId="77777777" w:rsidR="00356A45" w:rsidRDefault="00356A45" w:rsidP="00994C7A">
      <w:pPr>
        <w:jc w:val="both"/>
        <w:rPr>
          <w:rFonts w:cs="Arial"/>
        </w:rPr>
      </w:pPr>
    </w:p>
    <w:p w14:paraId="65E53BB2" w14:textId="77777777" w:rsidR="009A0593" w:rsidRDefault="00C83F27" w:rsidP="009A0593">
      <w:pPr>
        <w:pStyle w:val="Nagwek3"/>
      </w:pPr>
      <w:bookmarkStart w:id="76" w:name="_Toc73534904"/>
      <w:r>
        <w:t xml:space="preserve">2.1.2 </w:t>
      </w:r>
      <w:r w:rsidR="009A0593">
        <w:t>Zanieczyszczenie powietrza i jego dynamika</w:t>
      </w:r>
      <w:bookmarkEnd w:id="76"/>
    </w:p>
    <w:p w14:paraId="26300D1B" w14:textId="77777777" w:rsidR="008E4166" w:rsidRDefault="008E4166" w:rsidP="00994C7A">
      <w:pPr>
        <w:jc w:val="both"/>
        <w:rPr>
          <w:rFonts w:cs="Myriad Pro"/>
          <w:color w:val="000000"/>
        </w:rPr>
      </w:pPr>
      <w:r>
        <w:rPr>
          <w:rFonts w:cs="Myriad Pro"/>
          <w:color w:val="000000"/>
        </w:rPr>
        <w:t xml:space="preserve">Województwo warmińsko-mazurskie uznawane jest za jedno z najczystszych w Polsce. Wyniki badań zanieczyszczenia powietrza potwierdzają, że zarówno Olsztyn, jak i jego obszar funkcjonalny zaliczane są do najwyższej klasy w przypadku większości parametrów. </w:t>
      </w:r>
    </w:p>
    <w:p w14:paraId="1C739ECD" w14:textId="77777777" w:rsidR="003365AE" w:rsidRDefault="008E4166" w:rsidP="00994C7A">
      <w:pPr>
        <w:jc w:val="both"/>
        <w:rPr>
          <w:rFonts w:cs="Myriad Pro"/>
          <w:color w:val="000000"/>
        </w:rPr>
      </w:pPr>
      <w:r>
        <w:rPr>
          <w:rFonts w:cs="Myriad Pro"/>
          <w:color w:val="000000"/>
        </w:rPr>
        <w:t xml:space="preserve">Za główne </w:t>
      </w:r>
      <w:r w:rsidR="003365AE">
        <w:rPr>
          <w:rFonts w:cs="Myriad Pro"/>
          <w:color w:val="000000"/>
        </w:rPr>
        <w:t>źródł</w:t>
      </w:r>
      <w:r>
        <w:rPr>
          <w:rFonts w:cs="Myriad Pro"/>
          <w:color w:val="000000"/>
        </w:rPr>
        <w:t>a</w:t>
      </w:r>
      <w:r w:rsidR="003365AE">
        <w:rPr>
          <w:rFonts w:cs="Myriad Pro"/>
          <w:color w:val="000000"/>
        </w:rPr>
        <w:t xml:space="preserve"> zanieczyszcze</w:t>
      </w:r>
      <w:r>
        <w:rPr>
          <w:rFonts w:cs="Myriad Pro"/>
          <w:color w:val="000000"/>
        </w:rPr>
        <w:t>ń</w:t>
      </w:r>
      <w:r w:rsidR="003365AE">
        <w:rPr>
          <w:rFonts w:cs="Myriad Pro"/>
          <w:color w:val="000000"/>
        </w:rPr>
        <w:t xml:space="preserve"> powietrza w województwie warmińsko-mazurskim </w:t>
      </w:r>
      <w:r>
        <w:rPr>
          <w:rFonts w:cs="Myriad Pro"/>
          <w:color w:val="000000"/>
        </w:rPr>
        <w:t xml:space="preserve">uznaje się </w:t>
      </w:r>
      <w:r w:rsidR="003365AE">
        <w:rPr>
          <w:rFonts w:cs="Myriad Pro"/>
          <w:color w:val="000000"/>
        </w:rPr>
        <w:t>emisj</w:t>
      </w:r>
      <w:r>
        <w:rPr>
          <w:rFonts w:cs="Myriad Pro"/>
          <w:color w:val="000000"/>
        </w:rPr>
        <w:t>ę</w:t>
      </w:r>
      <w:r w:rsidR="003365AE">
        <w:rPr>
          <w:rFonts w:cs="Myriad Pro"/>
          <w:color w:val="000000"/>
        </w:rPr>
        <w:t xml:space="preserve"> </w:t>
      </w:r>
      <w:r w:rsidR="00D22A38">
        <w:rPr>
          <w:rFonts w:cs="Myriad Pro"/>
          <w:color w:val="000000"/>
        </w:rPr>
        <w:t>wynikając</w:t>
      </w:r>
      <w:r>
        <w:rPr>
          <w:rFonts w:cs="Myriad Pro"/>
          <w:color w:val="000000"/>
        </w:rPr>
        <w:t>ą</w:t>
      </w:r>
      <w:r w:rsidR="00D22A38">
        <w:rPr>
          <w:rFonts w:cs="Myriad Pro"/>
          <w:color w:val="000000"/>
        </w:rPr>
        <w:t xml:space="preserve"> z działalności człowieka, do której zalicz</w:t>
      </w:r>
      <w:r>
        <w:rPr>
          <w:rFonts w:cs="Myriad Pro"/>
          <w:color w:val="000000"/>
        </w:rPr>
        <w:t>ono</w:t>
      </w:r>
      <w:r w:rsidR="00D22A38">
        <w:rPr>
          <w:rFonts w:cs="Myriad Pro"/>
          <w:color w:val="000000"/>
        </w:rPr>
        <w:t xml:space="preserve"> emisję z działalności przemysłowej, emisję </w:t>
      </w:r>
      <w:r w:rsidR="00D22A38">
        <w:rPr>
          <w:rFonts w:cs="Myriad Pro"/>
          <w:color w:val="000000"/>
        </w:rPr>
        <w:br/>
        <w:t xml:space="preserve">z sektora </w:t>
      </w:r>
      <w:r>
        <w:rPr>
          <w:rFonts w:cs="Myriad Pro"/>
          <w:color w:val="000000"/>
        </w:rPr>
        <w:t>bytowego</w:t>
      </w:r>
      <w:r w:rsidR="00D22A38">
        <w:rPr>
          <w:rFonts w:cs="Myriad Pro"/>
          <w:color w:val="000000"/>
        </w:rPr>
        <w:t xml:space="preserve"> oraz emisję komunikacyjną ze środków transportu samochodowego.</w:t>
      </w:r>
      <w:r>
        <w:rPr>
          <w:rFonts w:cs="Myriad Pro"/>
          <w:color w:val="000000"/>
        </w:rPr>
        <w:t xml:space="preserve"> Znaczącą przyczyną zanieczyszczeń komunalnych pozostaje ogrzewanie w mało wydajnych piecach </w:t>
      </w:r>
      <w:r w:rsidR="00B35C69">
        <w:rPr>
          <w:rFonts w:cs="Myriad Pro"/>
          <w:color w:val="000000"/>
        </w:rPr>
        <w:br/>
      </w:r>
      <w:r>
        <w:rPr>
          <w:rFonts w:cs="Myriad Pro"/>
          <w:color w:val="000000"/>
        </w:rPr>
        <w:t>i wykorzystywanie paliwa słabej jakości. W transporcie – emisja pierwotna</w:t>
      </w:r>
      <w:r w:rsidR="00B35C69">
        <w:rPr>
          <w:rFonts w:cs="Myriad Pro"/>
          <w:color w:val="000000"/>
        </w:rPr>
        <w:t xml:space="preserve"> i wtórna. Pierwotna to  </w:t>
      </w:r>
      <w:r>
        <w:rPr>
          <w:rFonts w:cs="Myriad Pro"/>
          <w:color w:val="000000"/>
        </w:rPr>
        <w:t>zanieczyszczenia pochodzące bezpośrednio ze spalania paliw, na które wpływ ma dobór paliwa oraz stan techniczny pojazdu</w:t>
      </w:r>
      <w:r w:rsidR="00B35C69">
        <w:rPr>
          <w:rFonts w:cs="Myriad Pro"/>
          <w:color w:val="000000"/>
        </w:rPr>
        <w:t>. Wtórna to wynik porywania pyłu z drogi i ścierania opon. Wielkość tych emisji zależy zatem tak od samych pojazdów, jak i stanu nawierzchni, natężenia ruch i płynności przejazdów.</w:t>
      </w:r>
    </w:p>
    <w:p w14:paraId="1A9FD7B8" w14:textId="47F8EA83" w:rsidR="00D22A38" w:rsidRPr="00FD7058" w:rsidRDefault="004C3B71" w:rsidP="00994C7A">
      <w:pPr>
        <w:jc w:val="both"/>
        <w:rPr>
          <w:rFonts w:cs="Myriad Pro"/>
          <w:color w:val="000000"/>
        </w:rPr>
      </w:pPr>
      <w:r>
        <w:t>Do z</w:t>
      </w:r>
      <w:r w:rsidR="005147F7" w:rsidRPr="00FD7058">
        <w:t>anieczyszcze</w:t>
      </w:r>
      <w:r>
        <w:t>ń</w:t>
      </w:r>
      <w:r w:rsidR="005147F7" w:rsidRPr="00FD7058">
        <w:t xml:space="preserve"> powietrza stanowiący</w:t>
      </w:r>
      <w:r>
        <w:t>ch</w:t>
      </w:r>
      <w:r w:rsidR="005147F7" w:rsidRPr="00FD7058">
        <w:t xml:space="preserve"> zagrożenie dla zdrowia ludzi a powstały</w:t>
      </w:r>
      <w:r>
        <w:t>ch</w:t>
      </w:r>
      <w:r w:rsidR="005147F7" w:rsidRPr="00FD7058">
        <w:t xml:space="preserve"> na skutek niskiej emisji, wlicza się: tlenki azotu, tlenki węgla, tlenki siarki, wielopierścieniowe węglowodory </w:t>
      </w:r>
      <w:r w:rsidR="005147F7" w:rsidRPr="00FD7058">
        <w:lastRenderedPageBreak/>
        <w:t xml:space="preserve">aromatyczne, ozon i pyły PM10 oraz PM2,5. Szczególnie szkodliwy wpływ mają one w przypadku przekroczeń obowiązujących stężeń w powietrzu i glebie, a także przy długotrwałej ekspozycji. </w:t>
      </w:r>
    </w:p>
    <w:p w14:paraId="01237EFF" w14:textId="77777777" w:rsidR="00E25636" w:rsidRDefault="00E25636" w:rsidP="00E25636">
      <w:pPr>
        <w:jc w:val="both"/>
      </w:pPr>
      <w:r>
        <w:t>Na obszarze MOF Olsztyna zlokalizowana jest jedna (Olsztyn, ul. Puszkina) stacja pomiarowa zajmująca się pomiarami jakości powietrza. Stacja ta zbiera dane w sposób ciągły. Ponadto na terenie miasta zlokalizowanych zostało 29 stacjonarnych czujników Airly. Prezentują one na bieżąco stan jakości powietrza w mieście. Brak jest natomiast czujników jakości powietrza na pozostałym obszarze MOF. Ma to bardzo duże znaczenie, gdyż obszar MOF Olsztyna charakteryzuje się niskim poziomem wysycenia zakładami przemysłowymi i głównym źródłem emisji zanieczyszczeń do powietrza jest niska emisja (potrzeby energetyczne gospodarstw domowych) oraz transport. Brak danych uniemożliwia prowadzenie monitoringu emisji w MOF, a zatem uniemożliwia rzetelne diagnozowanie problemu.</w:t>
      </w:r>
    </w:p>
    <w:p w14:paraId="49CBA53F" w14:textId="77777777" w:rsidR="00B905C9" w:rsidRDefault="00B905C9" w:rsidP="00955ED4">
      <w:pPr>
        <w:rPr>
          <w:i/>
          <w:color w:val="2E74B5" w:themeColor="accent1" w:themeShade="BF"/>
        </w:rPr>
      </w:pPr>
      <w:bookmarkStart w:id="77" w:name="_Toc45279335"/>
      <w:bookmarkStart w:id="78" w:name="_Toc44656692"/>
    </w:p>
    <w:p w14:paraId="248F4CF6" w14:textId="77777777" w:rsidR="00E25636" w:rsidRPr="00955ED4" w:rsidRDefault="009B7E11" w:rsidP="00955ED4">
      <w:pPr>
        <w:rPr>
          <w:i/>
          <w:color w:val="2E74B5" w:themeColor="accent1" w:themeShade="BF"/>
        </w:rPr>
      </w:pPr>
      <w:r w:rsidRPr="00955ED4">
        <w:rPr>
          <w:i/>
          <w:color w:val="2E74B5" w:themeColor="accent1" w:themeShade="BF"/>
        </w:rPr>
        <w:t>T</w:t>
      </w:r>
      <w:r w:rsidR="00CF5217" w:rsidRPr="00955ED4">
        <w:rPr>
          <w:i/>
          <w:color w:val="2E74B5" w:themeColor="accent1" w:themeShade="BF"/>
        </w:rPr>
        <w:t xml:space="preserve">lenek </w:t>
      </w:r>
      <w:r w:rsidR="00E25636" w:rsidRPr="00955ED4">
        <w:rPr>
          <w:i/>
          <w:color w:val="2E74B5" w:themeColor="accent1" w:themeShade="BF"/>
        </w:rPr>
        <w:t>azotu</w:t>
      </w:r>
      <w:bookmarkEnd w:id="77"/>
      <w:bookmarkEnd w:id="78"/>
    </w:p>
    <w:p w14:paraId="28884DF7" w14:textId="77777777" w:rsidR="00E46745" w:rsidRPr="002B106E" w:rsidRDefault="00E25636" w:rsidP="00E25636">
      <w:pPr>
        <w:jc w:val="both"/>
        <w:rPr>
          <w:b/>
        </w:rPr>
      </w:pPr>
      <w:r>
        <w:t>Tlenki azotu to jedne z najbardziej niebezpiecznych składników smogu. Ich toksyczność jest wielokrotnie większa w porównaniu do tlenku węgla czy dwutlenku siarki. Szczególnie groźny dla zdrowia człowieka jest dwutlenek azotu (NO</w:t>
      </w:r>
      <w:r w:rsidR="002B106E">
        <w:rPr>
          <w:vertAlign w:val="subscript"/>
        </w:rPr>
        <w:t>2</w:t>
      </w:r>
      <w:r>
        <w:t>), który najczęściej powstaje na skutek utleniania tlenku azotu (NO</w:t>
      </w:r>
      <w:r>
        <w:rPr>
          <w:vertAlign w:val="subscript"/>
        </w:rPr>
        <w:t>2</w:t>
      </w:r>
      <w:r>
        <w:t xml:space="preserve">) w atmosferze. Tlenki azotu wchodzące w skład smogu powstają zwłaszcza na skutek przedostawania się do atmosfery spalin samochodowych, a także toksyn emitowanych przez zakłady przemysłowe oraz związanych ze stosowaniem nawozów sztucznych. </w:t>
      </w:r>
      <w:r w:rsidRPr="002B106E">
        <w:rPr>
          <w:b/>
        </w:rPr>
        <w:t>Dopuszczalny średnioroczny poziom stężenia NO</w:t>
      </w:r>
      <w:r w:rsidR="002B106E" w:rsidRPr="002B106E">
        <w:rPr>
          <w:b/>
          <w:vertAlign w:val="subscript"/>
        </w:rPr>
        <w:t>2</w:t>
      </w:r>
      <w:r w:rsidRPr="002B106E">
        <w:rPr>
          <w:b/>
        </w:rPr>
        <w:t xml:space="preserve"> w atmosferze wynosi 40 µg/m</w:t>
      </w:r>
      <w:r w:rsidR="00CF5217" w:rsidRPr="002B106E">
        <w:rPr>
          <w:b/>
          <w:vertAlign w:val="superscript"/>
        </w:rPr>
        <w:t>3</w:t>
      </w:r>
      <w:r w:rsidRPr="002B106E">
        <w:rPr>
          <w:b/>
        </w:rPr>
        <w:t>.</w:t>
      </w:r>
      <w:r w:rsidR="00CF5217" w:rsidRPr="002B106E">
        <w:rPr>
          <w:b/>
        </w:rPr>
        <w:t xml:space="preserve"> </w:t>
      </w:r>
    </w:p>
    <w:p w14:paraId="1023B2FB" w14:textId="414781BF" w:rsidR="00E25636" w:rsidRDefault="00CF5217" w:rsidP="00E25636">
      <w:pPr>
        <w:jc w:val="both"/>
      </w:pPr>
      <w:r>
        <w:t>Na terenie każdego z badanych miast stężenie emisji NO2</w:t>
      </w:r>
      <w:r w:rsidR="00C01248">
        <w:t xml:space="preserve"> w latach 2013-2019</w:t>
      </w:r>
      <w:r>
        <w:t xml:space="preserve"> kształtowało się znacznie poniżej średniorocznego dopuszczalnego</w:t>
      </w:r>
      <w:r w:rsidR="00C01248">
        <w:t xml:space="preserve">. W roku 2019 najniższą emisję zanieczyszczeń NO2 zanotowano w Białymstoku (12,6 </w:t>
      </w:r>
      <w:r w:rsidR="00C01248" w:rsidRPr="00C01248">
        <w:t>µg/m3)</w:t>
      </w:r>
      <w:r w:rsidR="00C01248">
        <w:t xml:space="preserve"> i Olsztynie (12,7 </w:t>
      </w:r>
      <w:r w:rsidR="00C01248" w:rsidRPr="00C01248">
        <w:t>µg/m3)</w:t>
      </w:r>
      <w:r w:rsidR="00C01248">
        <w:t>, zaś najwyższą w Lublinie (19,5 µg/m3).</w:t>
      </w:r>
      <w:r w:rsidR="00C01248">
        <w:rPr>
          <w:rStyle w:val="Odwoanieprzypisudolnego"/>
        </w:rPr>
        <w:footnoteReference w:id="25"/>
      </w:r>
      <w:r w:rsidR="00C01248">
        <w:t xml:space="preserve"> </w:t>
      </w:r>
      <w:r w:rsidR="002B106E">
        <w:t>W każdym z omawianych obszarów miejskich ś</w:t>
      </w:r>
      <w:r w:rsidR="00E46745">
        <w:t>rednioroczne stężenie NO</w:t>
      </w:r>
      <w:r w:rsidR="009B7E11">
        <w:rPr>
          <w:vertAlign w:val="subscript"/>
        </w:rPr>
        <w:t>2</w:t>
      </w:r>
      <w:r w:rsidR="00E46745">
        <w:t xml:space="preserve"> było niższe w roku 2019 w porównaniu z rokiem 20</w:t>
      </w:r>
      <w:r w:rsidR="002B106E">
        <w:t>1</w:t>
      </w:r>
      <w:r w:rsidR="00E46745">
        <w:t>3.</w:t>
      </w:r>
    </w:p>
    <w:p w14:paraId="2EDE55FC" w14:textId="70339A99" w:rsidR="000C63F3" w:rsidRPr="000C63F3" w:rsidRDefault="000C63F3" w:rsidP="000C63F3">
      <w:pPr>
        <w:pStyle w:val="Legenda"/>
        <w:rPr>
          <w:sz w:val="22"/>
          <w:szCs w:val="22"/>
          <w:lang w:val="pl-PL"/>
        </w:rPr>
      </w:pPr>
      <w:bookmarkStart w:id="79" w:name="_Toc73516096"/>
      <w:r w:rsidRPr="000C63F3">
        <w:rPr>
          <w:sz w:val="22"/>
          <w:szCs w:val="22"/>
        </w:rPr>
        <w:t xml:space="preserve">Wykres </w:t>
      </w:r>
      <w:r w:rsidRPr="000C63F3">
        <w:rPr>
          <w:sz w:val="22"/>
          <w:szCs w:val="22"/>
        </w:rPr>
        <w:fldChar w:fldCharType="begin"/>
      </w:r>
      <w:r w:rsidRPr="000C63F3">
        <w:rPr>
          <w:sz w:val="22"/>
          <w:szCs w:val="22"/>
        </w:rPr>
        <w:instrText xml:space="preserve"> SEQ Wykres \* ARABIC </w:instrText>
      </w:r>
      <w:r w:rsidRPr="000C63F3">
        <w:rPr>
          <w:sz w:val="22"/>
          <w:szCs w:val="22"/>
        </w:rPr>
        <w:fldChar w:fldCharType="separate"/>
      </w:r>
      <w:r w:rsidR="00AD58C3">
        <w:rPr>
          <w:noProof/>
          <w:sz w:val="22"/>
          <w:szCs w:val="22"/>
        </w:rPr>
        <w:t>34</w:t>
      </w:r>
      <w:r w:rsidRPr="000C63F3">
        <w:rPr>
          <w:sz w:val="22"/>
          <w:szCs w:val="22"/>
        </w:rPr>
        <w:fldChar w:fldCharType="end"/>
      </w:r>
      <w:r w:rsidRPr="000C63F3">
        <w:rPr>
          <w:sz w:val="22"/>
          <w:szCs w:val="22"/>
        </w:rPr>
        <w:t xml:space="preserve">. </w:t>
      </w:r>
      <w:r w:rsidRPr="000C63F3">
        <w:rPr>
          <w:bCs/>
          <w:sz w:val="22"/>
          <w:szCs w:val="22"/>
          <w:lang w:val="en-US"/>
        </w:rPr>
        <w:t xml:space="preserve">Stężenia średnioroczne </w:t>
      </w:r>
      <w:r w:rsidRPr="000C63F3">
        <w:rPr>
          <w:bCs/>
          <w:sz w:val="22"/>
          <w:szCs w:val="22"/>
          <w:lang w:val="pl-PL"/>
        </w:rPr>
        <w:t>d</w:t>
      </w:r>
      <w:r w:rsidRPr="000C63F3">
        <w:rPr>
          <w:bCs/>
          <w:sz w:val="22"/>
          <w:szCs w:val="22"/>
          <w:lang w:val="en-US"/>
        </w:rPr>
        <w:t>wutlenk</w:t>
      </w:r>
      <w:r w:rsidRPr="000C63F3">
        <w:rPr>
          <w:bCs/>
          <w:sz w:val="22"/>
          <w:szCs w:val="22"/>
          <w:lang w:val="pl-PL"/>
        </w:rPr>
        <w:t>u</w:t>
      </w:r>
      <w:r w:rsidRPr="000C63F3">
        <w:rPr>
          <w:bCs/>
          <w:sz w:val="22"/>
          <w:szCs w:val="22"/>
          <w:lang w:val="en-US"/>
        </w:rPr>
        <w:t xml:space="preserve"> azotu</w:t>
      </w:r>
      <w:r w:rsidRPr="000C63F3">
        <w:rPr>
          <w:bCs/>
          <w:sz w:val="22"/>
          <w:szCs w:val="22"/>
          <w:lang w:val="pl-PL"/>
        </w:rPr>
        <w:t xml:space="preserve"> w latach 2013 i 2019 (µg/m</w:t>
      </w:r>
      <w:r w:rsidRPr="000C63F3">
        <w:rPr>
          <w:bCs/>
          <w:sz w:val="22"/>
          <w:szCs w:val="22"/>
          <w:vertAlign w:val="superscript"/>
          <w:lang w:val="pl-PL"/>
        </w:rPr>
        <w:t>3</w:t>
      </w:r>
      <w:r w:rsidRPr="000C63F3">
        <w:rPr>
          <w:bCs/>
          <w:sz w:val="22"/>
          <w:szCs w:val="22"/>
          <w:lang w:val="pl-PL"/>
        </w:rPr>
        <w:t>)</w:t>
      </w:r>
      <w:bookmarkEnd w:id="79"/>
    </w:p>
    <w:p w14:paraId="44960E24" w14:textId="77777777" w:rsidR="00CF5217" w:rsidRDefault="00CF5217" w:rsidP="005D3766">
      <w:pPr>
        <w:spacing w:after="0"/>
        <w:jc w:val="center"/>
      </w:pPr>
      <w:r>
        <w:rPr>
          <w:noProof/>
          <w:lang w:eastAsia="pl-PL"/>
        </w:rPr>
        <w:drawing>
          <wp:inline distT="0" distB="0" distL="0" distR="0" wp14:anchorId="7E696362" wp14:editId="37E4B51A">
            <wp:extent cx="4422775" cy="2028825"/>
            <wp:effectExtent l="0" t="0" r="15875" b="9525"/>
            <wp:docPr id="29"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BA95571" w14:textId="77777777" w:rsidR="0081715F" w:rsidRPr="0081715F" w:rsidRDefault="001750DB" w:rsidP="005D3766">
      <w:pPr>
        <w:spacing w:after="0"/>
        <w:jc w:val="center"/>
        <w:rPr>
          <w:i/>
          <w:sz w:val="20"/>
          <w:szCs w:val="20"/>
        </w:rPr>
      </w:pPr>
      <w:r>
        <w:rPr>
          <w:i/>
          <w:sz w:val="20"/>
          <w:szCs w:val="20"/>
        </w:rPr>
        <w:t>ź</w:t>
      </w:r>
      <w:r w:rsidR="0081715F" w:rsidRPr="0081715F">
        <w:rPr>
          <w:i/>
          <w:sz w:val="20"/>
          <w:szCs w:val="20"/>
        </w:rPr>
        <w:t xml:space="preserve">ródło: </w:t>
      </w:r>
      <w:r w:rsidR="0032138D">
        <w:rPr>
          <w:i/>
          <w:sz w:val="20"/>
          <w:szCs w:val="20"/>
        </w:rPr>
        <w:t xml:space="preserve">opracowanie własne na podstawie </w:t>
      </w:r>
      <w:r w:rsidR="0081715F" w:rsidRPr="0081715F">
        <w:rPr>
          <w:i/>
          <w:sz w:val="20"/>
          <w:szCs w:val="20"/>
        </w:rPr>
        <w:t>Bank</w:t>
      </w:r>
      <w:r w:rsidR="0032138D">
        <w:rPr>
          <w:i/>
          <w:sz w:val="20"/>
          <w:szCs w:val="20"/>
        </w:rPr>
        <w:t>u</w:t>
      </w:r>
      <w:r w:rsidR="0081715F" w:rsidRPr="0081715F">
        <w:rPr>
          <w:i/>
          <w:sz w:val="20"/>
          <w:szCs w:val="20"/>
        </w:rPr>
        <w:t xml:space="preserve"> danych pomiarowych</w:t>
      </w:r>
      <w:r w:rsidR="0032138D">
        <w:rPr>
          <w:i/>
          <w:sz w:val="20"/>
          <w:szCs w:val="20"/>
        </w:rPr>
        <w:t xml:space="preserve"> GIOŚ</w:t>
      </w:r>
    </w:p>
    <w:p w14:paraId="3A3FAC23" w14:textId="77777777" w:rsidR="002B106E" w:rsidRDefault="002B106E" w:rsidP="00E25636">
      <w:pPr>
        <w:keepNext/>
        <w:keepLines/>
        <w:spacing w:before="40" w:after="0"/>
        <w:outlineLvl w:val="3"/>
        <w:rPr>
          <w:rFonts w:asciiTheme="majorHAnsi" w:eastAsiaTheme="majorEastAsia" w:hAnsiTheme="majorHAnsi" w:cstheme="majorBidi"/>
          <w:i/>
          <w:iCs/>
          <w:color w:val="2E74B5" w:themeColor="accent1" w:themeShade="BF"/>
        </w:rPr>
      </w:pPr>
      <w:bookmarkStart w:id="80" w:name="_Toc45279336"/>
      <w:bookmarkStart w:id="81" w:name="_Toc44656693"/>
    </w:p>
    <w:p w14:paraId="37BB9D9F" w14:textId="77777777" w:rsidR="00E25636" w:rsidRPr="00955ED4" w:rsidRDefault="009B7E11" w:rsidP="00955ED4">
      <w:pPr>
        <w:rPr>
          <w:i/>
          <w:color w:val="2E74B5" w:themeColor="accent1" w:themeShade="BF"/>
        </w:rPr>
      </w:pPr>
      <w:r w:rsidRPr="00955ED4">
        <w:rPr>
          <w:i/>
          <w:color w:val="2E74B5" w:themeColor="accent1" w:themeShade="BF"/>
        </w:rPr>
        <w:t>Tlene</w:t>
      </w:r>
      <w:r w:rsidR="002B106E" w:rsidRPr="00955ED4">
        <w:rPr>
          <w:i/>
          <w:color w:val="2E74B5" w:themeColor="accent1" w:themeShade="BF"/>
        </w:rPr>
        <w:t xml:space="preserve">k </w:t>
      </w:r>
      <w:r w:rsidR="00E25636" w:rsidRPr="00955ED4">
        <w:rPr>
          <w:i/>
          <w:color w:val="2E74B5" w:themeColor="accent1" w:themeShade="BF"/>
        </w:rPr>
        <w:t>siarki</w:t>
      </w:r>
      <w:bookmarkEnd w:id="80"/>
      <w:bookmarkEnd w:id="81"/>
    </w:p>
    <w:p w14:paraId="339AAD9C" w14:textId="45CDF18E" w:rsidR="00A13FFE" w:rsidRPr="002B106E" w:rsidRDefault="00E25636" w:rsidP="00A13FFE">
      <w:pPr>
        <w:jc w:val="both"/>
        <w:rPr>
          <w:b/>
        </w:rPr>
      </w:pPr>
      <w:r>
        <w:t>Tlenki siarki to rodzina gazów, która obejmuje dwutlenek oraz tritlenek siarki (kolejno: SO</w:t>
      </w:r>
      <w:r>
        <w:rPr>
          <w:vertAlign w:val="subscript"/>
        </w:rPr>
        <w:t>2</w:t>
      </w:r>
      <w:r>
        <w:t xml:space="preserve"> i SO</w:t>
      </w:r>
      <w:r>
        <w:rPr>
          <w:vertAlign w:val="subscript"/>
        </w:rPr>
        <w:t>3</w:t>
      </w:r>
      <w:r>
        <w:t xml:space="preserve">). Siarka jest pierwiastkiem, który ma ogromne zastosowanie w różnych gałęziach przemysłu. Jej związków używa się np. do produkcji lekarstw (w tym antybiotyków), barwników, sztucznych nawozów i środków </w:t>
      </w:r>
      <w:r>
        <w:lastRenderedPageBreak/>
        <w:t>ochrony roślin, czy też do konserwowania wybranych produktów spożywczych. O ile tlenki siarki są stosowane w niewielkich ilościach, mogą one przynosić pożytek: SO</w:t>
      </w:r>
      <w:r>
        <w:rPr>
          <w:vertAlign w:val="subscript"/>
        </w:rPr>
        <w:t>2</w:t>
      </w:r>
      <w:r>
        <w:t xml:space="preserve"> dodawany jest m.in. do win słodkich, dżemów, soków czy suszonych owoców. Problem pojawia się wtedy, gdy związki te są emitowane do atmosfery. Bezbarwny, bardzo toksyczny gaz o duszącym, drażniącym zapachu przechodzi przemiany chemiczne i staje się szkodliwy, a wręcz śmiertelnie niebezpieczny dla zdrowia. Za emisję tlenków siarki odpowiada wzmożona emisja tych związków do powietrza – z jednej strony przez zakłady przemysłowe, a z drugiej – przez indywidualne gospodarstwa domowe, w których wciąż pali się węglem. Spalanie paliw z zawartością siarki, </w:t>
      </w:r>
      <w:r w:rsidR="00A13FFE">
        <w:t xml:space="preserve">w wyniku czego dochodzi do łączenia </w:t>
      </w:r>
      <w:r w:rsidR="002B106E">
        <w:t>siark</w:t>
      </w:r>
      <w:r w:rsidR="00A13FFE">
        <w:t xml:space="preserve">i </w:t>
      </w:r>
      <w:r w:rsidR="00A13FFE">
        <w:br/>
      </w:r>
      <w:r w:rsidR="002B106E">
        <w:t xml:space="preserve">i </w:t>
      </w:r>
      <w:r>
        <w:t>tlen</w:t>
      </w:r>
      <w:r w:rsidR="004C3B71">
        <w:t>u</w:t>
      </w:r>
      <w:r w:rsidR="00A13FFE">
        <w:t xml:space="preserve"> oraz tworzenia</w:t>
      </w:r>
      <w:r>
        <w:t xml:space="preserve"> związk</w:t>
      </w:r>
      <w:r w:rsidR="00A13FFE">
        <w:t>ów</w:t>
      </w:r>
      <w:r>
        <w:t xml:space="preserve"> (zwłaszcza SO</w:t>
      </w:r>
      <w:r>
        <w:rPr>
          <w:vertAlign w:val="subscript"/>
        </w:rPr>
        <w:t>2</w:t>
      </w:r>
      <w:r>
        <w:t>), to główn</w:t>
      </w:r>
      <w:r w:rsidR="00A13FFE">
        <w:t>a przyczyna</w:t>
      </w:r>
      <w:r>
        <w:t xml:space="preserve"> problemów ze smogiem. Dotyczy to nie tylko ogrzewania i produkcji energii, ale też transportu, a w mniejszym zakresie – pozyskiwania metali z rud. </w:t>
      </w:r>
      <w:r w:rsidR="00A13FFE" w:rsidRPr="002B106E">
        <w:rPr>
          <w:b/>
        </w:rPr>
        <w:t>Dopuszczalny</w:t>
      </w:r>
      <w:r w:rsidR="00A13FFE">
        <w:rPr>
          <w:b/>
        </w:rPr>
        <w:t xml:space="preserve"> średnioroczny poziom stężenia S</w:t>
      </w:r>
      <w:r w:rsidR="00A13FFE" w:rsidRPr="002B106E">
        <w:rPr>
          <w:b/>
        </w:rPr>
        <w:t>O</w:t>
      </w:r>
      <w:r w:rsidR="00A13FFE" w:rsidRPr="002B106E">
        <w:rPr>
          <w:b/>
          <w:vertAlign w:val="subscript"/>
        </w:rPr>
        <w:t>2</w:t>
      </w:r>
      <w:r w:rsidR="00A13FFE">
        <w:rPr>
          <w:b/>
        </w:rPr>
        <w:t xml:space="preserve"> w atmosferze wynosi 2</w:t>
      </w:r>
      <w:r w:rsidR="00A13FFE" w:rsidRPr="002B106E">
        <w:rPr>
          <w:b/>
        </w:rPr>
        <w:t>0 µg/m</w:t>
      </w:r>
      <w:r w:rsidR="00A13FFE" w:rsidRPr="002B106E">
        <w:rPr>
          <w:b/>
          <w:vertAlign w:val="superscript"/>
        </w:rPr>
        <w:t>3</w:t>
      </w:r>
      <w:r w:rsidR="00A13FFE" w:rsidRPr="002B106E">
        <w:rPr>
          <w:b/>
        </w:rPr>
        <w:t xml:space="preserve">. </w:t>
      </w:r>
    </w:p>
    <w:p w14:paraId="50031323" w14:textId="449FADC5" w:rsidR="00A13FFE" w:rsidRDefault="00A13FFE" w:rsidP="00E25636">
      <w:pPr>
        <w:jc w:val="both"/>
      </w:pPr>
      <w:r>
        <w:t xml:space="preserve">Z danych GIOŚ wynika, iż notowane stężenia dwutlenku siarki w Olsztynie mają charakter sezonowy </w:t>
      </w:r>
      <w:r>
        <w:br/>
        <w:t>a ich wartość</w:t>
      </w:r>
      <w:r w:rsidRPr="00A13FFE">
        <w:t xml:space="preserve"> </w:t>
      </w:r>
      <w:r>
        <w:t xml:space="preserve">jest ściśle związana z energetyką grzewczą. Na przestrzeni lat </w:t>
      </w:r>
      <w:r w:rsidR="006465F6">
        <w:t>2013-2019 poziom emisji SO</w:t>
      </w:r>
      <w:r w:rsidR="006465F6">
        <w:rPr>
          <w:vertAlign w:val="subscript"/>
        </w:rPr>
        <w:t>2</w:t>
      </w:r>
      <w:r w:rsidR="006465F6">
        <w:t xml:space="preserve"> w Olsztynie stale </w:t>
      </w:r>
      <w:r w:rsidR="0034272C">
        <w:t xml:space="preserve">podlegał wahaniom. W roku 2019 </w:t>
      </w:r>
      <w:r w:rsidR="00295CC6">
        <w:t xml:space="preserve">w Olsztynie </w:t>
      </w:r>
      <w:r w:rsidR="0034272C">
        <w:t>średnioroczne stężenie SO</w:t>
      </w:r>
      <w:r w:rsidR="0034272C">
        <w:rPr>
          <w:vertAlign w:val="subscript"/>
        </w:rPr>
        <w:t>2</w:t>
      </w:r>
      <w:r w:rsidR="0034272C">
        <w:t xml:space="preserve"> było najwyższe od roku 2013 (3,6 </w:t>
      </w:r>
      <w:r w:rsidR="0034272C" w:rsidRPr="0034272C">
        <w:rPr>
          <w:bCs/>
        </w:rPr>
        <w:t>µg/m</w:t>
      </w:r>
      <w:r w:rsidR="0034272C" w:rsidRPr="0034272C">
        <w:rPr>
          <w:bCs/>
          <w:vertAlign w:val="superscript"/>
        </w:rPr>
        <w:t>3</w:t>
      </w:r>
      <w:r w:rsidR="0034272C" w:rsidRPr="0034272C">
        <w:t xml:space="preserve"> </w:t>
      </w:r>
      <w:r w:rsidR="0034272C">
        <w:t xml:space="preserve">- </w:t>
      </w:r>
      <w:r w:rsidR="0034272C" w:rsidRPr="0034272C">
        <w:t>w</w:t>
      </w:r>
      <w:r w:rsidR="0034272C">
        <w:t xml:space="preserve"> roku 2013 oraz 5,7 </w:t>
      </w:r>
      <w:r w:rsidR="0034272C" w:rsidRPr="0034272C">
        <w:rPr>
          <w:bCs/>
        </w:rPr>
        <w:t>µg/m</w:t>
      </w:r>
      <w:r w:rsidR="0034272C" w:rsidRPr="0034272C">
        <w:rPr>
          <w:bCs/>
          <w:vertAlign w:val="superscript"/>
        </w:rPr>
        <w:t>3</w:t>
      </w:r>
      <w:r w:rsidR="0034272C">
        <w:rPr>
          <w:b/>
          <w:bCs/>
          <w:vertAlign w:val="superscript"/>
        </w:rPr>
        <w:t xml:space="preserve"> </w:t>
      </w:r>
      <w:r w:rsidR="0034272C">
        <w:t xml:space="preserve">- w roku 2019). W </w:t>
      </w:r>
      <w:r w:rsidR="00295CC6">
        <w:t xml:space="preserve">pozostałych </w:t>
      </w:r>
      <w:r w:rsidR="0034272C">
        <w:t>miastach Polski Wschodniej średnioroczne stężenie SO</w:t>
      </w:r>
      <w:r w:rsidR="0034272C">
        <w:rPr>
          <w:vertAlign w:val="subscript"/>
        </w:rPr>
        <w:t xml:space="preserve">2 </w:t>
      </w:r>
      <w:r w:rsidR="0034272C">
        <w:t xml:space="preserve">odnotowano na poziomie od 1,1 </w:t>
      </w:r>
      <w:r w:rsidR="0034272C" w:rsidRPr="0034272C">
        <w:rPr>
          <w:bCs/>
        </w:rPr>
        <w:t>µg/m</w:t>
      </w:r>
      <w:r w:rsidR="0034272C" w:rsidRPr="0034272C">
        <w:rPr>
          <w:bCs/>
          <w:vertAlign w:val="superscript"/>
        </w:rPr>
        <w:t>3</w:t>
      </w:r>
      <w:r w:rsidR="0034272C" w:rsidRPr="0034272C">
        <w:t xml:space="preserve"> </w:t>
      </w:r>
      <w:r w:rsidR="0034272C">
        <w:t xml:space="preserve">- </w:t>
      </w:r>
      <w:r w:rsidR="005741A2">
        <w:br/>
      </w:r>
      <w:r w:rsidR="0034272C">
        <w:t xml:space="preserve">w Białymstoku (najwyższy spadek o 9,8 </w:t>
      </w:r>
      <w:r w:rsidR="0034272C" w:rsidRPr="0034272C">
        <w:rPr>
          <w:bCs/>
        </w:rPr>
        <w:t>µg/m</w:t>
      </w:r>
      <w:r w:rsidR="0034272C" w:rsidRPr="0034272C">
        <w:rPr>
          <w:bCs/>
          <w:vertAlign w:val="superscript"/>
        </w:rPr>
        <w:t>3</w:t>
      </w:r>
      <w:r w:rsidR="0034272C" w:rsidRPr="0034272C">
        <w:t xml:space="preserve"> </w:t>
      </w:r>
      <w:r w:rsidR="0034272C">
        <w:t xml:space="preserve"> w roku 2019 w porównaniu do roku 2013) do 5,4 </w:t>
      </w:r>
      <w:r w:rsidR="0034272C" w:rsidRPr="0034272C">
        <w:rPr>
          <w:bCs/>
        </w:rPr>
        <w:t>µg/m</w:t>
      </w:r>
      <w:r w:rsidR="0034272C" w:rsidRPr="0034272C">
        <w:rPr>
          <w:bCs/>
          <w:vertAlign w:val="superscript"/>
        </w:rPr>
        <w:t>3</w:t>
      </w:r>
      <w:r w:rsidR="0034272C" w:rsidRPr="0034272C">
        <w:t xml:space="preserve"> </w:t>
      </w:r>
      <w:r w:rsidR="0034272C">
        <w:t>- w Rzeszowie.</w:t>
      </w:r>
      <w:r w:rsidR="0034272C">
        <w:rPr>
          <w:rStyle w:val="Odwoanieprzypisudolnego"/>
        </w:rPr>
        <w:footnoteReference w:id="26"/>
      </w:r>
      <w:r w:rsidR="0034272C">
        <w:t xml:space="preserve"> </w:t>
      </w:r>
    </w:p>
    <w:p w14:paraId="726392B6" w14:textId="7A1614FE" w:rsidR="00C138C1" w:rsidRPr="00C138C1" w:rsidRDefault="00C138C1" w:rsidP="00C138C1">
      <w:pPr>
        <w:pStyle w:val="Legenda"/>
        <w:rPr>
          <w:sz w:val="22"/>
          <w:szCs w:val="22"/>
          <w:lang w:val="pl-PL"/>
        </w:rPr>
      </w:pPr>
      <w:bookmarkStart w:id="82" w:name="_Toc73516097"/>
      <w:r w:rsidRPr="00C138C1">
        <w:rPr>
          <w:sz w:val="22"/>
          <w:szCs w:val="22"/>
        </w:rPr>
        <w:t xml:space="preserve">Wykres </w:t>
      </w:r>
      <w:r w:rsidRPr="00C138C1">
        <w:rPr>
          <w:sz w:val="22"/>
          <w:szCs w:val="22"/>
        </w:rPr>
        <w:fldChar w:fldCharType="begin"/>
      </w:r>
      <w:r w:rsidRPr="00C138C1">
        <w:rPr>
          <w:sz w:val="22"/>
          <w:szCs w:val="22"/>
        </w:rPr>
        <w:instrText xml:space="preserve"> SEQ Wykres \* ARABIC </w:instrText>
      </w:r>
      <w:r w:rsidRPr="00C138C1">
        <w:rPr>
          <w:sz w:val="22"/>
          <w:szCs w:val="22"/>
        </w:rPr>
        <w:fldChar w:fldCharType="separate"/>
      </w:r>
      <w:r w:rsidR="00AD58C3">
        <w:rPr>
          <w:noProof/>
          <w:sz w:val="22"/>
          <w:szCs w:val="22"/>
        </w:rPr>
        <w:t>35</w:t>
      </w:r>
      <w:r w:rsidRPr="00C138C1">
        <w:rPr>
          <w:sz w:val="22"/>
          <w:szCs w:val="22"/>
        </w:rPr>
        <w:fldChar w:fldCharType="end"/>
      </w:r>
      <w:r w:rsidRPr="00C138C1">
        <w:rPr>
          <w:sz w:val="22"/>
          <w:szCs w:val="22"/>
        </w:rPr>
        <w:t xml:space="preserve">. </w:t>
      </w:r>
      <w:r w:rsidRPr="00C138C1">
        <w:rPr>
          <w:bCs/>
          <w:sz w:val="22"/>
          <w:szCs w:val="22"/>
          <w:lang w:val="en-US"/>
        </w:rPr>
        <w:t>Stężenia średnioroczne dwutlenku siarki w latach 2013 i 2019</w:t>
      </w:r>
      <w:r w:rsidRPr="00C138C1">
        <w:rPr>
          <w:bCs/>
          <w:sz w:val="22"/>
          <w:szCs w:val="22"/>
          <w:lang w:val="pl-PL"/>
        </w:rPr>
        <w:t xml:space="preserve"> (µg/m</w:t>
      </w:r>
      <w:r w:rsidRPr="00C138C1">
        <w:rPr>
          <w:bCs/>
          <w:sz w:val="22"/>
          <w:szCs w:val="22"/>
          <w:vertAlign w:val="superscript"/>
          <w:lang w:val="pl-PL"/>
        </w:rPr>
        <w:t>3</w:t>
      </w:r>
      <w:r w:rsidRPr="00C138C1">
        <w:rPr>
          <w:bCs/>
          <w:sz w:val="22"/>
          <w:szCs w:val="22"/>
          <w:lang w:val="pl-PL"/>
        </w:rPr>
        <w:t>)</w:t>
      </w:r>
      <w:bookmarkEnd w:id="82"/>
    </w:p>
    <w:p w14:paraId="2101FAE9" w14:textId="77777777" w:rsidR="009B7E11" w:rsidRDefault="009B7E11" w:rsidP="005D3766">
      <w:pPr>
        <w:spacing w:after="0"/>
        <w:jc w:val="center"/>
      </w:pPr>
      <w:r>
        <w:rPr>
          <w:noProof/>
          <w:lang w:eastAsia="pl-PL"/>
        </w:rPr>
        <w:drawing>
          <wp:inline distT="0" distB="0" distL="0" distR="0" wp14:anchorId="7AA58E9E" wp14:editId="6B0C449A">
            <wp:extent cx="4533900" cy="2238375"/>
            <wp:effectExtent l="0" t="0" r="0" b="9525"/>
            <wp:docPr id="31" name="Wykres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4038446" w14:textId="77777777" w:rsidR="001750DB" w:rsidRPr="0081715F" w:rsidRDefault="001750DB" w:rsidP="005D3766">
      <w:pPr>
        <w:spacing w:after="0"/>
        <w:jc w:val="center"/>
        <w:rPr>
          <w:i/>
          <w:sz w:val="20"/>
          <w:szCs w:val="20"/>
        </w:rPr>
      </w:pPr>
      <w:r>
        <w:rPr>
          <w:i/>
          <w:sz w:val="20"/>
          <w:szCs w:val="20"/>
        </w:rPr>
        <w:t>ź</w:t>
      </w:r>
      <w:r w:rsidRPr="0081715F">
        <w:rPr>
          <w:i/>
          <w:sz w:val="20"/>
          <w:szCs w:val="20"/>
        </w:rPr>
        <w:t xml:space="preserve">ródło: </w:t>
      </w:r>
      <w:r>
        <w:rPr>
          <w:i/>
          <w:sz w:val="20"/>
          <w:szCs w:val="20"/>
        </w:rPr>
        <w:t xml:space="preserve">opracowanie własne na podstawie </w:t>
      </w:r>
      <w:r w:rsidRPr="0081715F">
        <w:rPr>
          <w:i/>
          <w:sz w:val="20"/>
          <w:szCs w:val="20"/>
        </w:rPr>
        <w:t>Bank</w:t>
      </w:r>
      <w:r>
        <w:rPr>
          <w:i/>
          <w:sz w:val="20"/>
          <w:szCs w:val="20"/>
        </w:rPr>
        <w:t>u</w:t>
      </w:r>
      <w:r w:rsidRPr="0081715F">
        <w:rPr>
          <w:i/>
          <w:sz w:val="20"/>
          <w:szCs w:val="20"/>
        </w:rPr>
        <w:t xml:space="preserve"> danych pomiarowych</w:t>
      </w:r>
      <w:r>
        <w:rPr>
          <w:i/>
          <w:sz w:val="20"/>
          <w:szCs w:val="20"/>
        </w:rPr>
        <w:t xml:space="preserve"> GIOŚ</w:t>
      </w:r>
    </w:p>
    <w:p w14:paraId="75F66424" w14:textId="77777777" w:rsidR="00955ED4" w:rsidRDefault="00955ED4" w:rsidP="00955ED4">
      <w:pPr>
        <w:rPr>
          <w:i/>
          <w:color w:val="2E74B5" w:themeColor="accent1" w:themeShade="BF"/>
        </w:rPr>
      </w:pPr>
      <w:bookmarkStart w:id="83" w:name="_Toc45279337"/>
      <w:bookmarkStart w:id="84" w:name="_Toc44656694"/>
    </w:p>
    <w:p w14:paraId="086CBCCE" w14:textId="77777777" w:rsidR="00E25636" w:rsidRPr="00955ED4" w:rsidRDefault="00E25636" w:rsidP="00955ED4">
      <w:pPr>
        <w:rPr>
          <w:i/>
          <w:color w:val="2E74B5" w:themeColor="accent1" w:themeShade="BF"/>
        </w:rPr>
      </w:pPr>
      <w:r w:rsidRPr="00955ED4">
        <w:rPr>
          <w:i/>
          <w:color w:val="2E74B5" w:themeColor="accent1" w:themeShade="BF"/>
        </w:rPr>
        <w:t>Pył zawieszony – PM10</w:t>
      </w:r>
      <w:bookmarkEnd w:id="83"/>
      <w:bookmarkEnd w:id="84"/>
    </w:p>
    <w:p w14:paraId="4E93EAE6" w14:textId="6995B1A2" w:rsidR="00E25636" w:rsidRPr="00B21C44" w:rsidRDefault="00E25636" w:rsidP="00E25636">
      <w:pPr>
        <w:jc w:val="both"/>
      </w:pPr>
      <w:r>
        <w:t xml:space="preserve">PM10 to mieszanina zawieszonych w powietrzu cząsteczek, których średnica nie przekracza 10 mikrogramów. Jest szkodliwy z uwagi na zawartość takich elementów jak benzopireny, furany, dioksyny – jednym słowem, rakotwórcze metale ciężkie. </w:t>
      </w:r>
      <w:r w:rsidR="00351380">
        <w:t xml:space="preserve">Głównym źródłem PM10, podobnie jak </w:t>
      </w:r>
      <w:r w:rsidR="00351380">
        <w:br/>
        <w:t>w przypadku dwutlenku siarki, są paleniska przemysłowe i domowe, spalające paliwa stałe, a także emisja z małych, lokalnych kotłowni. W centrach miast, w których większość mieszkań podłączonych jest do sieci centralnego ogrzewania, głównym źródłem zanieczyszczeń powietrza pyłem zawieszonym PM10 jest transport. Większe stężenia pyłu PM10 not</w:t>
      </w:r>
      <w:r w:rsidR="00386180">
        <w:t>uje się</w:t>
      </w:r>
      <w:r w:rsidR="00351380">
        <w:t xml:space="preserve"> są w godzinach szczytu komunikacyjnego na skrzyżowaniach charakteryzujących się małą zdolnością rozproszeni</w:t>
      </w:r>
      <w:r w:rsidR="00386180">
        <w:t>a</w:t>
      </w:r>
      <w:r w:rsidR="00351380">
        <w:t xml:space="preserve"> zanieczyszczeń</w:t>
      </w:r>
      <w:r w:rsidR="00386180">
        <w:t>,</w:t>
      </w:r>
      <w:r w:rsidR="00351380">
        <w:t xml:space="preserve"> w tzw. </w:t>
      </w:r>
      <w:r w:rsidR="00351380" w:rsidRPr="00CE6D7C">
        <w:rPr>
          <w:i/>
        </w:rPr>
        <w:lastRenderedPageBreak/>
        <w:t>wąskich gardłach komunikacyjnych</w:t>
      </w:r>
      <w:r w:rsidR="00351380">
        <w:t>.</w:t>
      </w:r>
      <w:r w:rsidR="00AE57AD">
        <w:t xml:space="preserve"> Najwyższe</w:t>
      </w:r>
      <w:r w:rsidR="00B21C44">
        <w:t xml:space="preserve"> stężenia notowane są w sezonie grzewczym, w okresie niskich temperatur, którym towarzyszy niska prędkość wiatru. Na terenach, na których istnieje przewaga ogrzewania indywidualnego słabej jakości paliwem, w połączeniu z niekorzystnymi warunkami meteorologicznymi</w:t>
      </w:r>
      <w:r w:rsidR="004C3B71">
        <w:t>,</w:t>
      </w:r>
      <w:r w:rsidR="00B21C44">
        <w:t xml:space="preserve"> mogą wystąpić przekroczenia dobowych poziomów dopuszczalnych lub poziomu alarmowego, wynoszące 300 </w:t>
      </w:r>
      <w:r w:rsidR="00B21C44" w:rsidRPr="00AE57AD">
        <w:rPr>
          <w:bCs/>
        </w:rPr>
        <w:t>µg/m</w:t>
      </w:r>
      <w:r w:rsidR="00B21C44" w:rsidRPr="00AE57AD">
        <w:rPr>
          <w:bCs/>
          <w:vertAlign w:val="superscript"/>
        </w:rPr>
        <w:t>3</w:t>
      </w:r>
      <w:r w:rsidR="00B21C44">
        <w:rPr>
          <w:bCs/>
        </w:rPr>
        <w:t>.</w:t>
      </w:r>
    </w:p>
    <w:p w14:paraId="1BA75F03" w14:textId="77777777" w:rsidR="00E25636" w:rsidRDefault="00AE57AD" w:rsidP="00E25636">
      <w:pPr>
        <w:jc w:val="both"/>
      </w:pPr>
      <w:r>
        <w:t>Przy określaniu jakości powietrza pod kątem zanieczyszczenia pyłem PM10 brane są pod uwagę średnioroczne i średniodobowe stężeni</w:t>
      </w:r>
      <w:r w:rsidR="0074092F">
        <w:t>a</w:t>
      </w:r>
      <w:r>
        <w:t xml:space="preserve">. </w:t>
      </w:r>
      <w:r w:rsidRPr="00AE57AD">
        <w:rPr>
          <w:b/>
        </w:rPr>
        <w:t xml:space="preserve">Dopuszczalny poziom średniorocznego stężenia </w:t>
      </w:r>
      <w:r>
        <w:rPr>
          <w:b/>
        </w:rPr>
        <w:t xml:space="preserve">pyłu </w:t>
      </w:r>
      <w:r w:rsidRPr="00AE57AD">
        <w:rPr>
          <w:b/>
        </w:rPr>
        <w:t xml:space="preserve">PM10 wynosi 40 </w:t>
      </w:r>
      <w:r w:rsidRPr="00AE57AD">
        <w:rPr>
          <w:b/>
          <w:bCs/>
        </w:rPr>
        <w:t>µg/m</w:t>
      </w:r>
      <w:r w:rsidRPr="00AE57AD">
        <w:rPr>
          <w:b/>
          <w:bCs/>
          <w:vertAlign w:val="superscript"/>
        </w:rPr>
        <w:t>3</w:t>
      </w:r>
      <w:r>
        <w:t xml:space="preserve">. </w:t>
      </w:r>
      <w:r w:rsidR="00E25636">
        <w:t xml:space="preserve">Norma średniego, dobowego stężenia tego pyłu wynosi </w:t>
      </w:r>
      <w:r w:rsidR="00E25636" w:rsidRPr="00AE57AD">
        <w:t xml:space="preserve">50 </w:t>
      </w:r>
      <w:r w:rsidRPr="00AE57AD">
        <w:rPr>
          <w:bCs/>
        </w:rPr>
        <w:t>µg/m</w:t>
      </w:r>
      <w:r w:rsidRPr="00AE57AD">
        <w:rPr>
          <w:bCs/>
          <w:vertAlign w:val="superscript"/>
        </w:rPr>
        <w:t>3</w:t>
      </w:r>
      <w:r w:rsidR="00E25636">
        <w:t xml:space="preserve"> (przekroczenie tego poziomu dozwolone jest 35 razy w ciągu roku). </w:t>
      </w:r>
      <w:r>
        <w:rPr>
          <w:rStyle w:val="Odwoanieprzypisudolnego"/>
        </w:rPr>
        <w:footnoteReference w:id="27"/>
      </w:r>
    </w:p>
    <w:p w14:paraId="1BE64B34" w14:textId="3C97294C" w:rsidR="00FE002F" w:rsidRDefault="00046388" w:rsidP="00046388">
      <w:pPr>
        <w:jc w:val="both"/>
        <w:rPr>
          <w:bCs/>
        </w:rPr>
      </w:pPr>
      <w:r>
        <w:rPr>
          <w:bCs/>
        </w:rPr>
        <w:t xml:space="preserve">Najniższy (19,9 </w:t>
      </w:r>
      <w:r w:rsidRPr="00AE57AD">
        <w:rPr>
          <w:bCs/>
        </w:rPr>
        <w:t>µg/m</w:t>
      </w:r>
      <w:r w:rsidRPr="00AE57AD">
        <w:rPr>
          <w:bCs/>
          <w:vertAlign w:val="superscript"/>
        </w:rPr>
        <w:t>3</w:t>
      </w:r>
      <w:r>
        <w:rPr>
          <w:bCs/>
        </w:rPr>
        <w:t xml:space="preserve">) średnioroczny poziom stężenia pyłu PM10 zaobserwowano w Olsztynie w roku 2019, najwyższy – w 2013 roku (30,8 </w:t>
      </w:r>
      <w:r w:rsidRPr="00AE57AD">
        <w:rPr>
          <w:bCs/>
        </w:rPr>
        <w:t>µg/m</w:t>
      </w:r>
      <w:r w:rsidRPr="00AE57AD">
        <w:rPr>
          <w:bCs/>
          <w:vertAlign w:val="superscript"/>
        </w:rPr>
        <w:t>3</w:t>
      </w:r>
      <w:r>
        <w:rPr>
          <w:bCs/>
        </w:rPr>
        <w:t xml:space="preserve">). Przekroczenie </w:t>
      </w:r>
      <w:r w:rsidR="002948C6">
        <w:rPr>
          <w:bCs/>
        </w:rPr>
        <w:t xml:space="preserve">normy </w:t>
      </w:r>
      <w:r>
        <w:rPr>
          <w:bCs/>
        </w:rPr>
        <w:t>średnie</w:t>
      </w:r>
      <w:r w:rsidR="002948C6">
        <w:rPr>
          <w:bCs/>
        </w:rPr>
        <w:t xml:space="preserve">go </w:t>
      </w:r>
      <w:r>
        <w:rPr>
          <w:bCs/>
        </w:rPr>
        <w:t>dobowe</w:t>
      </w:r>
      <w:r w:rsidR="002948C6">
        <w:rPr>
          <w:bCs/>
        </w:rPr>
        <w:t>go</w:t>
      </w:r>
      <w:r>
        <w:rPr>
          <w:bCs/>
        </w:rPr>
        <w:t xml:space="preserve"> stężenia pyłu zawieszonego PM10 </w:t>
      </w:r>
      <w:r w:rsidR="002948C6">
        <w:rPr>
          <w:bCs/>
        </w:rPr>
        <w:t xml:space="preserve">przez okres dłuższy niż 35 dni </w:t>
      </w:r>
      <w:r>
        <w:rPr>
          <w:bCs/>
        </w:rPr>
        <w:t>zaobserwowano w Olsztynie jedynie w roku 2014</w:t>
      </w:r>
      <w:r w:rsidR="002948C6">
        <w:rPr>
          <w:bCs/>
        </w:rPr>
        <w:t xml:space="preserve"> (36 dni)</w:t>
      </w:r>
      <w:r>
        <w:rPr>
          <w:bCs/>
        </w:rPr>
        <w:t xml:space="preserve">. W pozostałych miastach </w:t>
      </w:r>
      <w:r w:rsidR="002948C6">
        <w:rPr>
          <w:bCs/>
        </w:rPr>
        <w:t>t</w:t>
      </w:r>
      <w:r>
        <w:rPr>
          <w:bCs/>
        </w:rPr>
        <w:t>akie przekroczenie miało miejsce</w:t>
      </w:r>
      <w:r w:rsidR="002948C6">
        <w:rPr>
          <w:bCs/>
        </w:rPr>
        <w:t xml:space="preserve">: </w:t>
      </w:r>
      <w:r>
        <w:rPr>
          <w:bCs/>
        </w:rPr>
        <w:t>w Kielcach</w:t>
      </w:r>
      <w:r w:rsidR="002948C6">
        <w:rPr>
          <w:bCs/>
        </w:rPr>
        <w:t xml:space="preserve"> -</w:t>
      </w:r>
      <w:r>
        <w:rPr>
          <w:bCs/>
        </w:rPr>
        <w:t xml:space="preserve"> w roku 2013,</w:t>
      </w:r>
      <w:r w:rsidR="002948C6">
        <w:rPr>
          <w:bCs/>
        </w:rPr>
        <w:t xml:space="preserve"> 2014, 2015 oraz 2017 i</w:t>
      </w:r>
      <w:r>
        <w:rPr>
          <w:bCs/>
        </w:rPr>
        <w:t xml:space="preserve"> 2018</w:t>
      </w:r>
      <w:r w:rsidR="002948C6">
        <w:rPr>
          <w:bCs/>
        </w:rPr>
        <w:t xml:space="preserve">; w Białymstoku – w roku 2014 i 2015; w Rzeszowie – w roku 2013, 2015, 2017 </w:t>
      </w:r>
      <w:r w:rsidR="00F3455B">
        <w:rPr>
          <w:bCs/>
        </w:rPr>
        <w:br/>
      </w:r>
      <w:r w:rsidR="002948C6">
        <w:rPr>
          <w:bCs/>
        </w:rPr>
        <w:t>i 2018; w Lublinie – w latach od 2013 do 2018. W żadn</w:t>
      </w:r>
      <w:r w:rsidR="00FE002F">
        <w:rPr>
          <w:bCs/>
        </w:rPr>
        <w:t xml:space="preserve">ym </w:t>
      </w:r>
      <w:r w:rsidR="002948C6">
        <w:rPr>
          <w:bCs/>
        </w:rPr>
        <w:t>z badanych</w:t>
      </w:r>
      <w:r w:rsidR="00FE002F">
        <w:rPr>
          <w:bCs/>
        </w:rPr>
        <w:t xml:space="preserve"> ośrodków </w:t>
      </w:r>
      <w:r w:rsidR="002948C6">
        <w:rPr>
          <w:bCs/>
        </w:rPr>
        <w:t>wojewódz</w:t>
      </w:r>
      <w:r w:rsidR="00FE002F">
        <w:rPr>
          <w:bCs/>
        </w:rPr>
        <w:t>kich</w:t>
      </w:r>
      <w:r w:rsidR="002948C6">
        <w:rPr>
          <w:bCs/>
        </w:rPr>
        <w:t xml:space="preserve"> średnioroczne stężenia pyłem zawieszonym PM10</w:t>
      </w:r>
      <w:r w:rsidR="00203032">
        <w:rPr>
          <w:bCs/>
        </w:rPr>
        <w:t xml:space="preserve"> </w:t>
      </w:r>
      <w:r w:rsidR="00FE002F">
        <w:rPr>
          <w:bCs/>
        </w:rPr>
        <w:t>nie przekroczyły dopuszczalnego poziomu.</w:t>
      </w:r>
    </w:p>
    <w:p w14:paraId="1A5C09BA" w14:textId="387E273E" w:rsidR="00B32D88" w:rsidRPr="00B32D88" w:rsidRDefault="00B32D88" w:rsidP="00B32D88">
      <w:pPr>
        <w:pStyle w:val="Legenda"/>
        <w:rPr>
          <w:sz w:val="22"/>
          <w:szCs w:val="22"/>
          <w:lang w:val="pl-PL"/>
        </w:rPr>
      </w:pPr>
      <w:bookmarkStart w:id="85" w:name="_Toc73516098"/>
      <w:r w:rsidRPr="00B32D88">
        <w:rPr>
          <w:sz w:val="22"/>
          <w:szCs w:val="22"/>
        </w:rPr>
        <w:t xml:space="preserve">Wykres </w:t>
      </w:r>
      <w:r w:rsidRPr="00B32D88">
        <w:rPr>
          <w:sz w:val="22"/>
          <w:szCs w:val="22"/>
        </w:rPr>
        <w:fldChar w:fldCharType="begin"/>
      </w:r>
      <w:r w:rsidRPr="00B32D88">
        <w:rPr>
          <w:sz w:val="22"/>
          <w:szCs w:val="22"/>
        </w:rPr>
        <w:instrText xml:space="preserve"> SEQ Wykres \* ARABIC </w:instrText>
      </w:r>
      <w:r w:rsidRPr="00B32D88">
        <w:rPr>
          <w:sz w:val="22"/>
          <w:szCs w:val="22"/>
        </w:rPr>
        <w:fldChar w:fldCharType="separate"/>
      </w:r>
      <w:r w:rsidR="00AD58C3">
        <w:rPr>
          <w:noProof/>
          <w:sz w:val="22"/>
          <w:szCs w:val="22"/>
        </w:rPr>
        <w:t>36</w:t>
      </w:r>
      <w:r w:rsidRPr="00B32D88">
        <w:rPr>
          <w:sz w:val="22"/>
          <w:szCs w:val="22"/>
        </w:rPr>
        <w:fldChar w:fldCharType="end"/>
      </w:r>
      <w:r w:rsidRPr="00B32D88">
        <w:rPr>
          <w:sz w:val="22"/>
          <w:szCs w:val="22"/>
        </w:rPr>
        <w:t xml:space="preserve">. </w:t>
      </w:r>
      <w:r w:rsidRPr="00B32D88">
        <w:rPr>
          <w:bCs/>
          <w:sz w:val="22"/>
          <w:szCs w:val="22"/>
          <w:lang w:val="en-US"/>
        </w:rPr>
        <w:t>Stężenia średnioroczne pyłu zawieszonego PM10</w:t>
      </w:r>
      <w:r w:rsidRPr="00B32D88">
        <w:rPr>
          <w:bCs/>
          <w:sz w:val="22"/>
          <w:szCs w:val="22"/>
          <w:lang w:val="pl-PL"/>
        </w:rPr>
        <w:t xml:space="preserve"> </w:t>
      </w:r>
      <w:r w:rsidRPr="00B32D88">
        <w:rPr>
          <w:bCs/>
          <w:sz w:val="22"/>
          <w:szCs w:val="22"/>
          <w:lang w:val="en-US"/>
        </w:rPr>
        <w:t>w latach 2013 i 2019</w:t>
      </w:r>
      <w:r w:rsidRPr="00B32D88">
        <w:rPr>
          <w:bCs/>
          <w:sz w:val="22"/>
          <w:szCs w:val="22"/>
          <w:lang w:val="pl-PL"/>
        </w:rPr>
        <w:t xml:space="preserve"> (µg/m</w:t>
      </w:r>
      <w:r w:rsidRPr="00B32D88">
        <w:rPr>
          <w:bCs/>
          <w:sz w:val="22"/>
          <w:szCs w:val="22"/>
          <w:vertAlign w:val="superscript"/>
          <w:lang w:val="pl-PL"/>
        </w:rPr>
        <w:t>3</w:t>
      </w:r>
      <w:r w:rsidRPr="00B32D88">
        <w:rPr>
          <w:bCs/>
          <w:sz w:val="22"/>
          <w:szCs w:val="22"/>
          <w:lang w:val="pl-PL"/>
        </w:rPr>
        <w:t>)</w:t>
      </w:r>
      <w:bookmarkEnd w:id="85"/>
    </w:p>
    <w:p w14:paraId="110C5401" w14:textId="77777777" w:rsidR="00046388" w:rsidRPr="00C61CB6" w:rsidRDefault="00F83C20" w:rsidP="005D3766">
      <w:pPr>
        <w:spacing w:after="0"/>
        <w:jc w:val="center"/>
      </w:pPr>
      <w:r>
        <w:rPr>
          <w:noProof/>
          <w:lang w:eastAsia="pl-PL"/>
        </w:rPr>
        <w:drawing>
          <wp:inline distT="0" distB="0" distL="0" distR="0" wp14:anchorId="5E08FE85" wp14:editId="2708524D">
            <wp:extent cx="4562475" cy="2257425"/>
            <wp:effectExtent l="0" t="0" r="9525" b="9525"/>
            <wp:docPr id="68" name="Wykres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212D803" w14:textId="00256F8A" w:rsidR="00F36848" w:rsidRPr="00310CF6" w:rsidRDefault="00F36848" w:rsidP="00310CF6">
      <w:pPr>
        <w:spacing w:after="0"/>
        <w:jc w:val="center"/>
        <w:rPr>
          <w:i/>
          <w:sz w:val="20"/>
          <w:szCs w:val="20"/>
        </w:rPr>
      </w:pPr>
      <w:r>
        <w:rPr>
          <w:i/>
          <w:sz w:val="20"/>
          <w:szCs w:val="20"/>
        </w:rPr>
        <w:t>ź</w:t>
      </w:r>
      <w:r w:rsidRPr="0081715F">
        <w:rPr>
          <w:i/>
          <w:sz w:val="20"/>
          <w:szCs w:val="20"/>
        </w:rPr>
        <w:t xml:space="preserve">ródło: </w:t>
      </w:r>
      <w:r>
        <w:rPr>
          <w:i/>
          <w:sz w:val="20"/>
          <w:szCs w:val="20"/>
        </w:rPr>
        <w:t xml:space="preserve">opracowanie własne na podstawie </w:t>
      </w:r>
      <w:r w:rsidRPr="0081715F">
        <w:rPr>
          <w:i/>
          <w:sz w:val="20"/>
          <w:szCs w:val="20"/>
        </w:rPr>
        <w:t>Bank</w:t>
      </w:r>
      <w:r>
        <w:rPr>
          <w:i/>
          <w:sz w:val="20"/>
          <w:szCs w:val="20"/>
        </w:rPr>
        <w:t>u</w:t>
      </w:r>
      <w:r w:rsidRPr="0081715F">
        <w:rPr>
          <w:i/>
          <w:sz w:val="20"/>
          <w:szCs w:val="20"/>
        </w:rPr>
        <w:t xml:space="preserve"> danych pomiarowych</w:t>
      </w:r>
      <w:r>
        <w:rPr>
          <w:i/>
          <w:sz w:val="20"/>
          <w:szCs w:val="20"/>
        </w:rPr>
        <w:t xml:space="preserve"> GIOŚ</w:t>
      </w:r>
    </w:p>
    <w:p w14:paraId="60F99B70" w14:textId="1C14C782" w:rsidR="00310CF6" w:rsidRDefault="00310CF6" w:rsidP="00310CF6">
      <w:pPr>
        <w:jc w:val="both"/>
      </w:pPr>
      <w:bookmarkStart w:id="86" w:name="_Toc45279338"/>
      <w:bookmarkStart w:id="87" w:name="_Toc44656695"/>
    </w:p>
    <w:p w14:paraId="0DD7DFF8" w14:textId="77777777" w:rsidR="00310CF6" w:rsidRPr="00310CF6" w:rsidRDefault="00310CF6" w:rsidP="00310CF6">
      <w:pPr>
        <w:jc w:val="both"/>
      </w:pPr>
      <w:r w:rsidRPr="00310CF6">
        <w:t xml:space="preserve">W przypadku rozmieszczenia energetycznych i technologicznych emitorów PM10 można wyróżnić ich zagęszczenie szczególnie we wschodniej części miasta, która charakteryzuje się dużą liczbą zakładów przemysłowych. </w:t>
      </w:r>
    </w:p>
    <w:p w14:paraId="2DB7E1D8" w14:textId="0A5843C3" w:rsidR="00310CF6" w:rsidRDefault="00310CF6" w:rsidP="00310CF6">
      <w:pPr>
        <w:jc w:val="both"/>
      </w:pPr>
    </w:p>
    <w:p w14:paraId="7BBD75EA" w14:textId="77777777" w:rsidR="001A21DF" w:rsidRDefault="001A21DF" w:rsidP="00B32D88">
      <w:pPr>
        <w:pStyle w:val="Legenda"/>
        <w:rPr>
          <w:sz w:val="22"/>
          <w:szCs w:val="22"/>
          <w:lang w:val="pl-PL"/>
        </w:rPr>
      </w:pPr>
    </w:p>
    <w:p w14:paraId="1CBCC026" w14:textId="77777777" w:rsidR="00BE71B3" w:rsidRDefault="00BE71B3">
      <w:pPr>
        <w:rPr>
          <w:rFonts w:ascii="Calibri" w:eastAsia="Calibri" w:hAnsi="Calibri" w:cs="Mangal"/>
          <w:i/>
          <w:iCs/>
          <w:color w:val="00000A"/>
          <w:kern w:val="1"/>
        </w:rPr>
      </w:pPr>
      <w:r>
        <w:br w:type="page"/>
      </w:r>
    </w:p>
    <w:p w14:paraId="50C557B1" w14:textId="6C868837" w:rsidR="00B32D88" w:rsidRPr="00B32D88" w:rsidRDefault="00B32D88" w:rsidP="00B32D88">
      <w:pPr>
        <w:pStyle w:val="Legenda"/>
        <w:rPr>
          <w:sz w:val="22"/>
          <w:szCs w:val="22"/>
          <w:lang w:val="pl-PL"/>
        </w:rPr>
      </w:pPr>
      <w:bookmarkStart w:id="88" w:name="_Toc73516174"/>
      <w:r w:rsidRPr="00B32D88">
        <w:rPr>
          <w:sz w:val="22"/>
          <w:szCs w:val="22"/>
          <w:lang w:val="pl-PL"/>
        </w:rPr>
        <w:lastRenderedPageBreak/>
        <w:t xml:space="preserve">Rysunek </w:t>
      </w:r>
      <w:r w:rsidRPr="00B32D88">
        <w:rPr>
          <w:sz w:val="22"/>
          <w:szCs w:val="22"/>
        </w:rPr>
        <w:fldChar w:fldCharType="begin"/>
      </w:r>
      <w:r w:rsidRPr="00B32D88">
        <w:rPr>
          <w:sz w:val="22"/>
          <w:szCs w:val="22"/>
          <w:lang w:val="pl-PL"/>
        </w:rPr>
        <w:instrText xml:space="preserve"> SEQ Rysunek \* ARABIC </w:instrText>
      </w:r>
      <w:r w:rsidRPr="00B32D88">
        <w:rPr>
          <w:sz w:val="22"/>
          <w:szCs w:val="22"/>
        </w:rPr>
        <w:fldChar w:fldCharType="separate"/>
      </w:r>
      <w:r w:rsidR="00AD58C3">
        <w:rPr>
          <w:noProof/>
          <w:sz w:val="22"/>
          <w:szCs w:val="22"/>
          <w:lang w:val="pl-PL"/>
        </w:rPr>
        <w:t>9</w:t>
      </w:r>
      <w:r w:rsidRPr="00B32D88">
        <w:rPr>
          <w:sz w:val="22"/>
          <w:szCs w:val="22"/>
        </w:rPr>
        <w:fldChar w:fldCharType="end"/>
      </w:r>
      <w:r w:rsidRPr="00B32D88">
        <w:rPr>
          <w:sz w:val="22"/>
          <w:szCs w:val="22"/>
          <w:lang w:val="pl-PL"/>
        </w:rPr>
        <w:t>. Rozmieszczenie emitorów punktowych pyłu zawieszonego PM10 w Olsztynie w 2014 r.</w:t>
      </w:r>
      <w:bookmarkEnd w:id="88"/>
      <w:r w:rsidRPr="00B32D88">
        <w:rPr>
          <w:sz w:val="22"/>
          <w:szCs w:val="22"/>
          <w:lang w:val="pl-PL"/>
        </w:rPr>
        <w:t xml:space="preserve"> </w:t>
      </w:r>
    </w:p>
    <w:p w14:paraId="4AD732E1" w14:textId="77777777" w:rsidR="005337C3" w:rsidRDefault="00310CF6" w:rsidP="005337C3">
      <w:pPr>
        <w:keepNext/>
        <w:jc w:val="center"/>
      </w:pPr>
      <w:r w:rsidRPr="00310CF6">
        <w:rPr>
          <w:noProof/>
          <w:lang w:eastAsia="pl-PL"/>
        </w:rPr>
        <w:drawing>
          <wp:inline distT="0" distB="0" distL="0" distR="0" wp14:anchorId="0A9E01E8" wp14:editId="6ABBC82B">
            <wp:extent cx="5760720" cy="5121275"/>
            <wp:effectExtent l="0" t="0" r="0" b="3175"/>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720" cy="5121275"/>
                    </a:xfrm>
                    <a:prstGeom prst="rect">
                      <a:avLst/>
                    </a:prstGeom>
                  </pic:spPr>
                </pic:pic>
              </a:graphicData>
            </a:graphic>
          </wp:inline>
        </w:drawing>
      </w:r>
    </w:p>
    <w:p w14:paraId="025FF084" w14:textId="384D7E1A" w:rsidR="00310CF6" w:rsidRPr="00B32D88" w:rsidRDefault="00B32D88" w:rsidP="00B32D88">
      <w:pPr>
        <w:jc w:val="center"/>
        <w:rPr>
          <w:i/>
          <w:sz w:val="20"/>
          <w:szCs w:val="20"/>
        </w:rPr>
      </w:pPr>
      <w:r>
        <w:rPr>
          <w:i/>
          <w:sz w:val="20"/>
          <w:szCs w:val="20"/>
        </w:rPr>
        <w:t>ź</w:t>
      </w:r>
      <w:r w:rsidR="005337C3" w:rsidRPr="00B32D88">
        <w:rPr>
          <w:i/>
          <w:sz w:val="20"/>
          <w:szCs w:val="20"/>
        </w:rPr>
        <w:t>ródło: Program Ochrony Środowiska dla Miasta Olsztyna do roku 2020; str. 39</w:t>
      </w:r>
    </w:p>
    <w:p w14:paraId="46CD58C9" w14:textId="77777777" w:rsidR="00310CF6" w:rsidRDefault="00310CF6" w:rsidP="00310CF6">
      <w:pPr>
        <w:jc w:val="both"/>
      </w:pPr>
    </w:p>
    <w:p w14:paraId="27F5950D" w14:textId="708E87FE" w:rsidR="00E25636" w:rsidRPr="00955ED4" w:rsidRDefault="00E25636" w:rsidP="00955ED4">
      <w:pPr>
        <w:rPr>
          <w:i/>
          <w:color w:val="2E74B5" w:themeColor="accent1" w:themeShade="BF"/>
        </w:rPr>
      </w:pPr>
      <w:r w:rsidRPr="00955ED4">
        <w:rPr>
          <w:i/>
          <w:color w:val="2E74B5" w:themeColor="accent1" w:themeShade="BF"/>
        </w:rPr>
        <w:t>Pył zawieszony – PM2</w:t>
      </w:r>
      <w:r w:rsidR="00704AFA" w:rsidRPr="00955ED4">
        <w:rPr>
          <w:i/>
          <w:color w:val="2E74B5" w:themeColor="accent1" w:themeShade="BF"/>
        </w:rPr>
        <w:t>.</w:t>
      </w:r>
      <w:r w:rsidRPr="00955ED4">
        <w:rPr>
          <w:i/>
          <w:color w:val="2E74B5" w:themeColor="accent1" w:themeShade="BF"/>
        </w:rPr>
        <w:t>5</w:t>
      </w:r>
      <w:bookmarkEnd w:id="86"/>
      <w:bookmarkEnd w:id="87"/>
    </w:p>
    <w:p w14:paraId="1363E2C7" w14:textId="77777777" w:rsidR="00E25636" w:rsidRDefault="00704AFA" w:rsidP="00E25636">
      <w:pPr>
        <w:jc w:val="both"/>
      </w:pPr>
      <w:r>
        <w:t>PM2.</w:t>
      </w:r>
      <w:r w:rsidR="00E25636">
        <w:t xml:space="preserve">5 to aerozole atmosferyczne, których średnica nie jest większa niż 2.5 mikrometra. Tego rodzaju pył zawieszony jest uznawany za najgroźniejszy dla zdrowia człowieka. Wszystko dlatego, że pył jest bardzo drobny, a w takiej postaci może się przedostać bezpośrednio do krwiobiegu. </w:t>
      </w:r>
      <w:r w:rsidR="00E25636" w:rsidRPr="00F47B98">
        <w:rPr>
          <w:b/>
        </w:rPr>
        <w:t>Poziom dopuszczalnego stężenia średniorocznego wynosi 2</w:t>
      </w:r>
      <w:r w:rsidR="00F47B98" w:rsidRPr="00F47B98">
        <w:rPr>
          <w:b/>
        </w:rPr>
        <w:t>5</w:t>
      </w:r>
      <w:r w:rsidR="00E25636" w:rsidRPr="00F47B98">
        <w:rPr>
          <w:b/>
        </w:rPr>
        <w:t xml:space="preserve"> </w:t>
      </w:r>
      <w:r w:rsidR="00F47B98" w:rsidRPr="00F47B98">
        <w:rPr>
          <w:b/>
          <w:bCs/>
        </w:rPr>
        <w:t>µg/m</w:t>
      </w:r>
      <w:r w:rsidR="00F47B98" w:rsidRPr="00F47B98">
        <w:rPr>
          <w:b/>
          <w:bCs/>
          <w:vertAlign w:val="superscript"/>
        </w:rPr>
        <w:t>3</w:t>
      </w:r>
      <w:r w:rsidR="00E25636" w:rsidRPr="00F47B98">
        <w:rPr>
          <w:b/>
        </w:rPr>
        <w:t>.</w:t>
      </w:r>
      <w:r w:rsidR="00E25636">
        <w:t xml:space="preserve"> </w:t>
      </w:r>
    </w:p>
    <w:p w14:paraId="79FFA89B" w14:textId="5B088F94" w:rsidR="006B3F18" w:rsidRDefault="00F47B98" w:rsidP="00E25636">
      <w:pPr>
        <w:jc w:val="both"/>
      </w:pPr>
      <w:r>
        <w:t>Dane Głównego Inspektoratu Ochrony Środowiska jednoznacznie wskazują na poprawiający się</w:t>
      </w:r>
      <w:r w:rsidR="00B8062F">
        <w:t xml:space="preserve"> </w:t>
      </w:r>
      <w:r w:rsidR="00247316">
        <w:br/>
      </w:r>
      <w:r w:rsidR="00B8062F">
        <w:t>w Olsztynie</w:t>
      </w:r>
      <w:r>
        <w:t xml:space="preserve"> stan jakości powietrza w zakresie stężenia średniorocznego pyłu zawieszonego PM2.5.  </w:t>
      </w:r>
      <w:r w:rsidR="00B8062F">
        <w:t xml:space="preserve">Wartości zanieczyszczeń stale spadają – </w:t>
      </w:r>
      <w:r w:rsidR="00247316">
        <w:t>średnioroczne stężenia pyłu PM2.5 było niższe</w:t>
      </w:r>
      <w:r w:rsidR="00B8062F">
        <w:t xml:space="preserve"> o 13,</w:t>
      </w:r>
      <w:r w:rsidR="00B8062F" w:rsidRPr="00B8062F">
        <w:t xml:space="preserve">8 </w:t>
      </w:r>
      <w:r w:rsidR="00B8062F" w:rsidRPr="00B8062F">
        <w:rPr>
          <w:bCs/>
        </w:rPr>
        <w:t>µg/m</w:t>
      </w:r>
      <w:r w:rsidR="00B8062F" w:rsidRPr="00B8062F">
        <w:rPr>
          <w:bCs/>
          <w:vertAlign w:val="superscript"/>
        </w:rPr>
        <w:t>3</w:t>
      </w:r>
      <w:r w:rsidR="00B8062F">
        <w:rPr>
          <w:bCs/>
          <w:vertAlign w:val="superscript"/>
        </w:rPr>
        <w:t xml:space="preserve"> </w:t>
      </w:r>
      <w:r w:rsidR="00247316">
        <w:rPr>
          <w:bCs/>
          <w:vertAlign w:val="superscript"/>
        </w:rPr>
        <w:br/>
      </w:r>
      <w:r w:rsidR="00B8062F" w:rsidRPr="00B8062F">
        <w:t>w</w:t>
      </w:r>
      <w:r w:rsidR="00B8062F">
        <w:t xml:space="preserve"> roku 2019 </w:t>
      </w:r>
      <w:r w:rsidR="00295B3D">
        <w:t xml:space="preserve">(15,0 </w:t>
      </w:r>
      <w:r w:rsidR="00295B3D" w:rsidRPr="00295B3D">
        <w:rPr>
          <w:bCs/>
        </w:rPr>
        <w:t>µg/m</w:t>
      </w:r>
      <w:r w:rsidR="00295B3D" w:rsidRPr="00295B3D">
        <w:rPr>
          <w:bCs/>
          <w:vertAlign w:val="superscript"/>
        </w:rPr>
        <w:t>3</w:t>
      </w:r>
      <w:r w:rsidR="00295B3D" w:rsidRPr="00295B3D">
        <w:rPr>
          <w:bCs/>
        </w:rPr>
        <w:t>)</w:t>
      </w:r>
      <w:r w:rsidR="00295B3D">
        <w:rPr>
          <w:bCs/>
        </w:rPr>
        <w:t xml:space="preserve"> </w:t>
      </w:r>
      <w:r w:rsidR="00B8062F">
        <w:t>w stosunku do wartości odnotowanych w roku 2013</w:t>
      </w:r>
      <w:r w:rsidR="00295B3D">
        <w:t xml:space="preserve"> (28,9 </w:t>
      </w:r>
      <w:r w:rsidR="00295B3D" w:rsidRPr="00295B3D">
        <w:rPr>
          <w:bCs/>
        </w:rPr>
        <w:t>µg/m</w:t>
      </w:r>
      <w:r w:rsidR="00295B3D" w:rsidRPr="00295B3D">
        <w:rPr>
          <w:bCs/>
          <w:vertAlign w:val="superscript"/>
        </w:rPr>
        <w:t>3</w:t>
      </w:r>
      <w:r w:rsidR="00295B3D" w:rsidRPr="00295B3D">
        <w:rPr>
          <w:bCs/>
        </w:rPr>
        <w:t>)</w:t>
      </w:r>
      <w:r w:rsidR="00295B3D">
        <w:rPr>
          <w:bCs/>
        </w:rPr>
        <w:t xml:space="preserve">. </w:t>
      </w:r>
      <w:r w:rsidR="00247316">
        <w:t>Pozostałe omawiane miasta charakteryzuje tendencja spadkowa, podobna jak w Olsztynie.</w:t>
      </w:r>
      <w:r w:rsidR="00295B3D">
        <w:rPr>
          <w:rStyle w:val="Odwoanieprzypisudolnego"/>
        </w:rPr>
        <w:footnoteReference w:id="28"/>
      </w:r>
    </w:p>
    <w:p w14:paraId="11BC5DD3" w14:textId="77777777" w:rsidR="004B048D" w:rsidRDefault="004B048D">
      <w:pPr>
        <w:rPr>
          <w:rFonts w:ascii="Calibri" w:eastAsia="Calibri" w:hAnsi="Calibri" w:cs="Mangal"/>
          <w:i/>
          <w:iCs/>
          <w:color w:val="00000A"/>
          <w:kern w:val="1"/>
          <w:lang w:val="en-GB"/>
        </w:rPr>
      </w:pPr>
      <w:r>
        <w:br w:type="page"/>
      </w:r>
    </w:p>
    <w:p w14:paraId="0DC5F1E8" w14:textId="7A9C48DD" w:rsidR="001A21DF" w:rsidRPr="001A21DF" w:rsidRDefault="001A21DF" w:rsidP="001A21DF">
      <w:pPr>
        <w:pStyle w:val="Legenda"/>
        <w:rPr>
          <w:sz w:val="22"/>
          <w:szCs w:val="22"/>
          <w:lang w:val="pl-PL"/>
        </w:rPr>
      </w:pPr>
      <w:bookmarkStart w:id="89" w:name="_Toc73516099"/>
      <w:r w:rsidRPr="001A21DF">
        <w:rPr>
          <w:sz w:val="22"/>
          <w:szCs w:val="22"/>
        </w:rPr>
        <w:lastRenderedPageBreak/>
        <w:t xml:space="preserve">Wykres </w:t>
      </w:r>
      <w:r w:rsidRPr="001A21DF">
        <w:rPr>
          <w:sz w:val="22"/>
          <w:szCs w:val="22"/>
        </w:rPr>
        <w:fldChar w:fldCharType="begin"/>
      </w:r>
      <w:r w:rsidRPr="001A21DF">
        <w:rPr>
          <w:sz w:val="22"/>
          <w:szCs w:val="22"/>
        </w:rPr>
        <w:instrText xml:space="preserve"> SEQ Wykres \* ARABIC </w:instrText>
      </w:r>
      <w:r w:rsidRPr="001A21DF">
        <w:rPr>
          <w:sz w:val="22"/>
          <w:szCs w:val="22"/>
        </w:rPr>
        <w:fldChar w:fldCharType="separate"/>
      </w:r>
      <w:r w:rsidR="00AD58C3">
        <w:rPr>
          <w:noProof/>
          <w:sz w:val="22"/>
          <w:szCs w:val="22"/>
        </w:rPr>
        <w:t>37</w:t>
      </w:r>
      <w:r w:rsidRPr="001A21DF">
        <w:rPr>
          <w:sz w:val="22"/>
          <w:szCs w:val="22"/>
        </w:rPr>
        <w:fldChar w:fldCharType="end"/>
      </w:r>
      <w:r w:rsidRPr="001A21DF">
        <w:rPr>
          <w:sz w:val="22"/>
          <w:szCs w:val="22"/>
        </w:rPr>
        <w:t xml:space="preserve">. </w:t>
      </w:r>
      <w:r w:rsidRPr="001A21DF">
        <w:rPr>
          <w:bCs/>
          <w:sz w:val="22"/>
          <w:szCs w:val="22"/>
          <w:lang w:val="en-US"/>
        </w:rPr>
        <w:t>Stężenia średnioroczne pyłu zawieszonego PM2.5 w latach 2013 i 2019</w:t>
      </w:r>
      <w:r w:rsidRPr="001A21DF">
        <w:rPr>
          <w:bCs/>
          <w:sz w:val="22"/>
          <w:szCs w:val="22"/>
          <w:lang w:val="pl-PL"/>
        </w:rPr>
        <w:t xml:space="preserve"> (µg/m</w:t>
      </w:r>
      <w:r w:rsidRPr="001A21DF">
        <w:rPr>
          <w:bCs/>
          <w:sz w:val="22"/>
          <w:szCs w:val="22"/>
          <w:vertAlign w:val="superscript"/>
          <w:lang w:val="pl-PL"/>
        </w:rPr>
        <w:t>3</w:t>
      </w:r>
      <w:r w:rsidRPr="001A21DF">
        <w:rPr>
          <w:bCs/>
          <w:sz w:val="22"/>
          <w:szCs w:val="22"/>
          <w:lang w:val="pl-PL"/>
        </w:rPr>
        <w:t>)</w:t>
      </w:r>
      <w:bookmarkEnd w:id="89"/>
    </w:p>
    <w:p w14:paraId="5FF44AFA" w14:textId="77777777" w:rsidR="00F47B98" w:rsidRDefault="006B3F18" w:rsidP="005D3766">
      <w:pPr>
        <w:spacing w:after="0" w:line="240" w:lineRule="auto"/>
        <w:jc w:val="center"/>
      </w:pPr>
      <w:r>
        <w:rPr>
          <w:noProof/>
          <w:lang w:eastAsia="pl-PL"/>
        </w:rPr>
        <w:drawing>
          <wp:inline distT="0" distB="0" distL="0" distR="0" wp14:anchorId="507CEC77" wp14:editId="61A9E4E2">
            <wp:extent cx="4572000" cy="2295525"/>
            <wp:effectExtent l="0" t="0" r="0" b="9525"/>
            <wp:docPr id="71" name="Wykres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9ED3EA6" w14:textId="77777777" w:rsidR="00295B3D" w:rsidRPr="0081715F" w:rsidRDefault="00295B3D" w:rsidP="005D3766">
      <w:pPr>
        <w:spacing w:after="0" w:line="240" w:lineRule="auto"/>
        <w:jc w:val="center"/>
        <w:rPr>
          <w:i/>
          <w:sz w:val="20"/>
          <w:szCs w:val="20"/>
        </w:rPr>
      </w:pPr>
      <w:r>
        <w:rPr>
          <w:i/>
          <w:sz w:val="20"/>
          <w:szCs w:val="20"/>
        </w:rPr>
        <w:t>ź</w:t>
      </w:r>
      <w:r w:rsidRPr="0081715F">
        <w:rPr>
          <w:i/>
          <w:sz w:val="20"/>
          <w:szCs w:val="20"/>
        </w:rPr>
        <w:t xml:space="preserve">ródło: </w:t>
      </w:r>
      <w:r>
        <w:rPr>
          <w:i/>
          <w:sz w:val="20"/>
          <w:szCs w:val="20"/>
        </w:rPr>
        <w:t xml:space="preserve">opracowanie własne na podstawie </w:t>
      </w:r>
      <w:r w:rsidRPr="0081715F">
        <w:rPr>
          <w:i/>
          <w:sz w:val="20"/>
          <w:szCs w:val="20"/>
        </w:rPr>
        <w:t>Bank</w:t>
      </w:r>
      <w:r>
        <w:rPr>
          <w:i/>
          <w:sz w:val="20"/>
          <w:szCs w:val="20"/>
        </w:rPr>
        <w:t>u</w:t>
      </w:r>
      <w:r w:rsidRPr="0081715F">
        <w:rPr>
          <w:i/>
          <w:sz w:val="20"/>
          <w:szCs w:val="20"/>
        </w:rPr>
        <w:t xml:space="preserve"> danych pomiarowych</w:t>
      </w:r>
      <w:r>
        <w:rPr>
          <w:i/>
          <w:sz w:val="20"/>
          <w:szCs w:val="20"/>
        </w:rPr>
        <w:t xml:space="preserve"> GIOŚ</w:t>
      </w:r>
    </w:p>
    <w:p w14:paraId="5D893A5F" w14:textId="77777777" w:rsidR="00295B3D" w:rsidRDefault="00295B3D" w:rsidP="00F47B98">
      <w:pPr>
        <w:spacing w:after="0"/>
        <w:jc w:val="center"/>
      </w:pPr>
    </w:p>
    <w:p w14:paraId="74914712" w14:textId="77777777" w:rsidR="00E25636" w:rsidRDefault="00E25636" w:rsidP="00E25636">
      <w:pPr>
        <w:jc w:val="both"/>
      </w:pPr>
      <w:r>
        <w:t>Poziom PM2,5 na obszarze MOF Olsztyna zbliża się do wartości granicznych. Najwyższy poziom odnotowuje się w Olsztynie, natomiast wartości najniższe obserwuje się w Purdzie. Całościowo wartości są bardzo zbliżone na obszarze całego MOF Olsztyna. Jedyną gminą na terenie, której stwierdzono zwiększenie poziomu PM2,5 w badanym okresie jest Olsztyn. Na terenie pozostałych gmin wskaźnik nie zmienił się.</w:t>
      </w:r>
    </w:p>
    <w:p w14:paraId="04606159" w14:textId="77777777" w:rsidR="00E25636" w:rsidRPr="00955ED4" w:rsidRDefault="00E25636" w:rsidP="00955ED4">
      <w:pPr>
        <w:rPr>
          <w:i/>
          <w:color w:val="2E74B5" w:themeColor="accent1" w:themeShade="BF"/>
        </w:rPr>
      </w:pPr>
      <w:bookmarkStart w:id="90" w:name="_Toc45279339"/>
      <w:bookmarkStart w:id="91" w:name="_Toc44656696"/>
      <w:r w:rsidRPr="00955ED4">
        <w:rPr>
          <w:i/>
          <w:color w:val="2E74B5" w:themeColor="accent1" w:themeShade="BF"/>
        </w:rPr>
        <w:t>Pył zawieszony – CO</w:t>
      </w:r>
      <w:bookmarkEnd w:id="90"/>
      <w:bookmarkEnd w:id="91"/>
    </w:p>
    <w:p w14:paraId="008344B7" w14:textId="77777777" w:rsidR="00E25636" w:rsidRDefault="00E25636" w:rsidP="00E25636">
      <w:pPr>
        <w:jc w:val="both"/>
        <w:rPr>
          <w:b/>
        </w:rPr>
      </w:pPr>
      <w:r>
        <w:t xml:space="preserve">Tlenek węgla (CO), potocznie zwany czadem, jest bezwonnym, bezbarwnym, pozbawionym smaku silnie </w:t>
      </w:r>
      <w:r w:rsidR="00696D0F">
        <w:t>toksycznym</w:t>
      </w:r>
      <w:r>
        <w:t xml:space="preserve"> gazem. Powstaje na skutek niepełnego spalania wszystkich paliw, m.in. gazu, węgla, drewna, ropy, oleju, benzyny, które spowodowane jest niedostateczną ilością tlenu niezbędnego do pełnego spalenia paliw. Określany jest „cichym zabójcą”, ponieważ człowiek nie jest w stanie go wykryć za pomocą zmysłów. W Polsce każdego roku z powodu zatrucia się tlenkiem węgla umiera kilkadziesiąt osób. </w:t>
      </w:r>
      <w:r w:rsidR="00696D0F">
        <w:t xml:space="preserve">Głównym źródłem zanieczyszczenia jest transport drogowy oraz sektor komunalny. Ocena zanieczyszczenia tlenkiem węgla przeprowadzana jest na postawie ośmiogodzinnych średnich kroczących, obliczonych na podstawie stężeń jednogodzinnych. Klasę strefy przyporządkowuje się na podstawie maksymalnej wartości obliczonych średnich. </w:t>
      </w:r>
      <w:r w:rsidRPr="00696D0F">
        <w:rPr>
          <w:b/>
        </w:rPr>
        <w:t xml:space="preserve">Norma średniego, 8-godzinnego stężenia CO wynosi 10 000 </w:t>
      </w:r>
      <w:r w:rsidR="00696D0F" w:rsidRPr="00696D0F">
        <w:rPr>
          <w:b/>
          <w:bCs/>
        </w:rPr>
        <w:t>µg/m</w:t>
      </w:r>
      <w:r w:rsidR="00696D0F" w:rsidRPr="00696D0F">
        <w:rPr>
          <w:b/>
          <w:bCs/>
          <w:vertAlign w:val="superscript"/>
        </w:rPr>
        <w:t>3</w:t>
      </w:r>
      <w:r w:rsidRPr="00696D0F">
        <w:rPr>
          <w:b/>
        </w:rPr>
        <w:t>.</w:t>
      </w:r>
      <w:r w:rsidR="00B93E38">
        <w:rPr>
          <w:rStyle w:val="Odwoanieprzypisudolnego"/>
          <w:b/>
        </w:rPr>
        <w:footnoteReference w:id="29"/>
      </w:r>
    </w:p>
    <w:p w14:paraId="46EFC87E" w14:textId="77777777" w:rsidR="009937DF" w:rsidRDefault="009937DF" w:rsidP="009937DF">
      <w:pPr>
        <w:jc w:val="both"/>
      </w:pPr>
      <w:r>
        <w:t xml:space="preserve">Poziom CO na obszarze omawianych miast Polski Wschodniej nie zbliża się do wartości granicznych. </w:t>
      </w:r>
      <w:r w:rsidR="00057B77">
        <w:br/>
      </w:r>
      <w:r>
        <w:t xml:space="preserve">W </w:t>
      </w:r>
      <w:r w:rsidR="00B54BA1">
        <w:t xml:space="preserve">latach 2013-2019 poziom </w:t>
      </w:r>
      <w:r w:rsidR="00057B77">
        <w:t>stężenia</w:t>
      </w:r>
      <w:r w:rsidR="00B54BA1">
        <w:t xml:space="preserve"> CO dla Olsztyna charakteryzuje tendencja spadkowa, osiągając </w:t>
      </w:r>
      <w:r w:rsidR="00B54BA1">
        <w:br/>
      </w:r>
      <w:r>
        <w:t xml:space="preserve">w roku 2019 </w:t>
      </w:r>
      <w:r w:rsidR="00B54BA1">
        <w:t>w</w:t>
      </w:r>
      <w:r>
        <w:t>artość najniższą s</w:t>
      </w:r>
      <w:r w:rsidR="00057B77">
        <w:t>pośród badanych ośrodków</w:t>
      </w:r>
      <w:r w:rsidR="00B54BA1">
        <w:t xml:space="preserve"> (1072</w:t>
      </w:r>
      <w:r w:rsidR="00B54BA1" w:rsidRPr="00B54BA1">
        <w:rPr>
          <w:b/>
          <w:bCs/>
        </w:rPr>
        <w:t xml:space="preserve"> </w:t>
      </w:r>
      <w:r w:rsidR="00B54BA1" w:rsidRPr="00B54BA1">
        <w:rPr>
          <w:bCs/>
        </w:rPr>
        <w:t>µg/m</w:t>
      </w:r>
      <w:r w:rsidR="00B54BA1" w:rsidRPr="00B54BA1">
        <w:rPr>
          <w:bCs/>
          <w:vertAlign w:val="superscript"/>
        </w:rPr>
        <w:t>3</w:t>
      </w:r>
      <w:r w:rsidR="00B54BA1" w:rsidRPr="00B54BA1">
        <w:rPr>
          <w:bCs/>
        </w:rPr>
        <w:t>)</w:t>
      </w:r>
      <w:r w:rsidR="00057B77" w:rsidRPr="00B54BA1">
        <w:t>.</w:t>
      </w:r>
      <w:r w:rsidR="00057B77">
        <w:t xml:space="preserve"> </w:t>
      </w:r>
      <w:r>
        <w:t xml:space="preserve">Najwyższy poziom zanotowano w </w:t>
      </w:r>
      <w:r w:rsidR="00B54BA1">
        <w:t>Rzeszowie (</w:t>
      </w:r>
      <w:r w:rsidR="00B54BA1" w:rsidRPr="00B54BA1">
        <w:t>3482</w:t>
      </w:r>
      <w:r w:rsidR="00B54BA1" w:rsidRPr="00B54BA1">
        <w:rPr>
          <w:bCs/>
        </w:rPr>
        <w:t xml:space="preserve"> µg/m</w:t>
      </w:r>
      <w:r w:rsidR="00B54BA1" w:rsidRPr="00B54BA1">
        <w:rPr>
          <w:bCs/>
          <w:vertAlign w:val="superscript"/>
        </w:rPr>
        <w:t>3</w:t>
      </w:r>
      <w:r w:rsidR="00B54BA1" w:rsidRPr="00B54BA1">
        <w:rPr>
          <w:bCs/>
        </w:rPr>
        <w:t>).</w:t>
      </w:r>
    </w:p>
    <w:p w14:paraId="77EB6376" w14:textId="1AFECF86" w:rsidR="009937DF" w:rsidRDefault="009937DF" w:rsidP="00E25636">
      <w:pPr>
        <w:jc w:val="both"/>
        <w:rPr>
          <w:b/>
        </w:rPr>
      </w:pPr>
    </w:p>
    <w:p w14:paraId="3C6C14DB" w14:textId="1BAEDF6D" w:rsidR="001A21DF" w:rsidRDefault="001A21DF">
      <w:pPr>
        <w:rPr>
          <w:b/>
        </w:rPr>
      </w:pPr>
      <w:r>
        <w:rPr>
          <w:b/>
        </w:rPr>
        <w:br w:type="page"/>
      </w:r>
    </w:p>
    <w:p w14:paraId="5B1302E6" w14:textId="77777777" w:rsidR="001A21DF" w:rsidRDefault="001A21DF" w:rsidP="001A21DF">
      <w:pPr>
        <w:pStyle w:val="Legenda"/>
        <w:rPr>
          <w:sz w:val="22"/>
          <w:szCs w:val="22"/>
        </w:rPr>
      </w:pPr>
    </w:p>
    <w:p w14:paraId="22D601E6" w14:textId="10EBC0EE" w:rsidR="001A21DF" w:rsidRPr="001A21DF" w:rsidRDefault="001A21DF" w:rsidP="001A21DF">
      <w:pPr>
        <w:pStyle w:val="Legenda"/>
        <w:rPr>
          <w:sz w:val="22"/>
          <w:szCs w:val="22"/>
          <w:lang w:val="pl-PL"/>
        </w:rPr>
      </w:pPr>
      <w:bookmarkStart w:id="92" w:name="_Toc73516100"/>
      <w:r w:rsidRPr="001A21DF">
        <w:rPr>
          <w:sz w:val="22"/>
          <w:szCs w:val="22"/>
        </w:rPr>
        <w:t xml:space="preserve">Wykres </w:t>
      </w:r>
      <w:r w:rsidRPr="001A21DF">
        <w:rPr>
          <w:sz w:val="22"/>
          <w:szCs w:val="22"/>
        </w:rPr>
        <w:fldChar w:fldCharType="begin"/>
      </w:r>
      <w:r w:rsidRPr="001A21DF">
        <w:rPr>
          <w:sz w:val="22"/>
          <w:szCs w:val="22"/>
        </w:rPr>
        <w:instrText xml:space="preserve"> SEQ Wykres \* ARABIC </w:instrText>
      </w:r>
      <w:r w:rsidRPr="001A21DF">
        <w:rPr>
          <w:sz w:val="22"/>
          <w:szCs w:val="22"/>
        </w:rPr>
        <w:fldChar w:fldCharType="separate"/>
      </w:r>
      <w:r w:rsidR="00AD58C3">
        <w:rPr>
          <w:noProof/>
          <w:sz w:val="22"/>
          <w:szCs w:val="22"/>
        </w:rPr>
        <w:t>38</w:t>
      </w:r>
      <w:r w:rsidRPr="001A21DF">
        <w:rPr>
          <w:sz w:val="22"/>
          <w:szCs w:val="22"/>
        </w:rPr>
        <w:fldChar w:fldCharType="end"/>
      </w:r>
      <w:r w:rsidRPr="001A21DF">
        <w:rPr>
          <w:sz w:val="22"/>
          <w:szCs w:val="22"/>
        </w:rPr>
        <w:t xml:space="preserve">. </w:t>
      </w:r>
      <w:r w:rsidRPr="001A21DF">
        <w:rPr>
          <w:bCs/>
          <w:sz w:val="22"/>
          <w:szCs w:val="22"/>
          <w:lang w:val="pl-PL"/>
        </w:rPr>
        <w:t xml:space="preserve">Maksimum ze średnich 8-godzinnych stężenia tlenku węgla </w:t>
      </w:r>
      <w:r w:rsidRPr="001A21DF">
        <w:rPr>
          <w:bCs/>
          <w:sz w:val="22"/>
          <w:szCs w:val="22"/>
          <w:lang w:val="en-US"/>
        </w:rPr>
        <w:t>w latach 2013 i 2019</w:t>
      </w:r>
      <w:r w:rsidRPr="001A21DF">
        <w:rPr>
          <w:bCs/>
          <w:sz w:val="22"/>
          <w:szCs w:val="22"/>
          <w:lang w:val="pl-PL"/>
        </w:rPr>
        <w:t xml:space="preserve"> (µg/m</w:t>
      </w:r>
      <w:r w:rsidRPr="001A21DF">
        <w:rPr>
          <w:bCs/>
          <w:sz w:val="22"/>
          <w:szCs w:val="22"/>
          <w:vertAlign w:val="superscript"/>
          <w:lang w:val="pl-PL"/>
        </w:rPr>
        <w:t>3</w:t>
      </w:r>
      <w:r w:rsidRPr="001A21DF">
        <w:rPr>
          <w:bCs/>
          <w:sz w:val="22"/>
          <w:szCs w:val="22"/>
          <w:lang w:val="pl-PL"/>
        </w:rPr>
        <w:t>)</w:t>
      </w:r>
      <w:bookmarkEnd w:id="92"/>
    </w:p>
    <w:p w14:paraId="1C539B6F" w14:textId="77777777" w:rsidR="007504BB" w:rsidRDefault="00696D0F" w:rsidP="005D3766">
      <w:pPr>
        <w:spacing w:after="0"/>
        <w:jc w:val="center"/>
      </w:pPr>
      <w:r>
        <w:rPr>
          <w:noProof/>
          <w:lang w:eastAsia="pl-PL"/>
        </w:rPr>
        <w:drawing>
          <wp:inline distT="0" distB="0" distL="0" distR="0" wp14:anchorId="07041ABC" wp14:editId="1DFAF778">
            <wp:extent cx="4562475" cy="2138901"/>
            <wp:effectExtent l="0" t="0" r="9525" b="13970"/>
            <wp:docPr id="75" name="Wykres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E7EA4A6" w14:textId="77777777" w:rsidR="0099088F" w:rsidRPr="0081715F" w:rsidRDefault="0099088F" w:rsidP="005D3766">
      <w:pPr>
        <w:spacing w:after="0"/>
        <w:jc w:val="center"/>
        <w:rPr>
          <w:i/>
          <w:sz w:val="20"/>
          <w:szCs w:val="20"/>
        </w:rPr>
      </w:pPr>
      <w:r>
        <w:rPr>
          <w:i/>
          <w:sz w:val="20"/>
          <w:szCs w:val="20"/>
        </w:rPr>
        <w:t>ź</w:t>
      </w:r>
      <w:r w:rsidRPr="0081715F">
        <w:rPr>
          <w:i/>
          <w:sz w:val="20"/>
          <w:szCs w:val="20"/>
        </w:rPr>
        <w:t xml:space="preserve">ródło: </w:t>
      </w:r>
      <w:r>
        <w:rPr>
          <w:i/>
          <w:sz w:val="20"/>
          <w:szCs w:val="20"/>
        </w:rPr>
        <w:t xml:space="preserve">opracowanie własne na podstawie </w:t>
      </w:r>
      <w:r w:rsidRPr="0081715F">
        <w:rPr>
          <w:i/>
          <w:sz w:val="20"/>
          <w:szCs w:val="20"/>
        </w:rPr>
        <w:t>Bank</w:t>
      </w:r>
      <w:r>
        <w:rPr>
          <w:i/>
          <w:sz w:val="20"/>
          <w:szCs w:val="20"/>
        </w:rPr>
        <w:t>u</w:t>
      </w:r>
      <w:r w:rsidRPr="0081715F">
        <w:rPr>
          <w:i/>
          <w:sz w:val="20"/>
          <w:szCs w:val="20"/>
        </w:rPr>
        <w:t xml:space="preserve"> danych pomiarowych</w:t>
      </w:r>
      <w:r>
        <w:rPr>
          <w:i/>
          <w:sz w:val="20"/>
          <w:szCs w:val="20"/>
        </w:rPr>
        <w:t xml:space="preserve"> GIOŚ</w:t>
      </w:r>
    </w:p>
    <w:p w14:paraId="6B7F5E67" w14:textId="77777777" w:rsidR="007504BB" w:rsidRDefault="007504BB" w:rsidP="00E25636">
      <w:pPr>
        <w:jc w:val="both"/>
      </w:pPr>
    </w:p>
    <w:p w14:paraId="1055770E" w14:textId="77777777" w:rsidR="00955ED4" w:rsidRPr="00955ED4" w:rsidRDefault="00E25636" w:rsidP="00955ED4">
      <w:pPr>
        <w:rPr>
          <w:color w:val="2E74B5" w:themeColor="accent1" w:themeShade="BF"/>
        </w:rPr>
      </w:pPr>
      <w:bookmarkStart w:id="93" w:name="_Toc45279340"/>
      <w:bookmarkStart w:id="94" w:name="_Toc44656697"/>
      <w:r w:rsidRPr="00955ED4">
        <w:rPr>
          <w:color w:val="2E74B5" w:themeColor="accent1" w:themeShade="BF"/>
        </w:rPr>
        <w:t>Pył zawieszony – benzen</w:t>
      </w:r>
      <w:bookmarkEnd w:id="93"/>
      <w:bookmarkEnd w:id="94"/>
      <w:r w:rsidR="00955ED4" w:rsidRPr="00955ED4">
        <w:rPr>
          <w:color w:val="2E74B5" w:themeColor="accent1" w:themeShade="BF"/>
        </w:rPr>
        <w:t xml:space="preserve"> </w:t>
      </w:r>
    </w:p>
    <w:p w14:paraId="39C4FB46" w14:textId="77777777" w:rsidR="00955ED4" w:rsidRDefault="00955ED4" w:rsidP="00955ED4">
      <w:pPr>
        <w:jc w:val="both"/>
        <w:rPr>
          <w:b/>
        </w:rPr>
      </w:pPr>
      <w:r>
        <w:t xml:space="preserve">Benzen (C6H6) to jedna z najgroźniejszych substancji przemysłowych. Ten rozpuszczalnik negatywnie wpływa na stan zdrowia i może nawet prowadzić do śmierci. Najczęściej benzen dostaje się do organizmu poprzez wdychanie oparów lub przez skórę. Głównym źródłem zanieczyszczenia benzenem jest transport drogowy oraz zakłady przemysłowe (m.in. lakiernie i wszelkiego rodzaju zakłady stosujące w procesie produkcyjnym różnego rodzaju rozpuszczalniki i inne rodzaje Lotnych Związków Organicznych). </w:t>
      </w:r>
      <w:r w:rsidRPr="007F1088">
        <w:rPr>
          <w:b/>
        </w:rPr>
        <w:t xml:space="preserve">Poziom dopuszczalnego stężenia średniorocznego wynosi 5 </w:t>
      </w:r>
      <w:r w:rsidRPr="007F1088">
        <w:rPr>
          <w:b/>
          <w:bCs/>
        </w:rPr>
        <w:t>µg/m</w:t>
      </w:r>
      <w:r w:rsidRPr="007F1088">
        <w:rPr>
          <w:b/>
          <w:bCs/>
          <w:vertAlign w:val="superscript"/>
        </w:rPr>
        <w:t>3</w:t>
      </w:r>
      <w:r w:rsidRPr="007F1088">
        <w:rPr>
          <w:b/>
        </w:rPr>
        <w:t>.</w:t>
      </w:r>
    </w:p>
    <w:p w14:paraId="54E88631" w14:textId="3A43AF4F" w:rsidR="00955ED4" w:rsidRDefault="00955ED4" w:rsidP="00955ED4">
      <w:pPr>
        <w:jc w:val="both"/>
      </w:pPr>
      <w:r w:rsidRPr="00181061">
        <w:t>Wyniki pomiarów zanieczyszczenia powietrza benzenem odnotowane w latach 2013-2019 dla Olsztyna, Rzeszowa i Lublina</w:t>
      </w:r>
      <w:r w:rsidRPr="00181061">
        <w:rPr>
          <w:rStyle w:val="Odwoanieprzypisudolnego"/>
        </w:rPr>
        <w:footnoteReference w:id="30"/>
      </w:r>
      <w:r w:rsidRPr="00181061">
        <w:t xml:space="preserve"> </w:t>
      </w:r>
      <w:r>
        <w:t xml:space="preserve">wskazują na małe zagrożenie dla zdrowia ludności od strony tego zanieczyszczenia. Najniższe średnioroczne stężenia benzenu w roku 2019 zaobserwowano w Olsztynie (0,7 </w:t>
      </w:r>
      <w:r w:rsidRPr="00181061">
        <w:rPr>
          <w:bCs/>
        </w:rPr>
        <w:t>µg/m</w:t>
      </w:r>
      <w:r w:rsidRPr="00181061">
        <w:rPr>
          <w:bCs/>
          <w:vertAlign w:val="superscript"/>
        </w:rPr>
        <w:t>3</w:t>
      </w:r>
      <w:r>
        <w:rPr>
          <w:bCs/>
        </w:rPr>
        <w:t xml:space="preserve">). W pozostałych miastach </w:t>
      </w:r>
      <w:r>
        <w:t xml:space="preserve">stężenia średnioroczne benzenu zanotowano odpowiednio na poziomie 1,2 </w:t>
      </w:r>
      <w:r w:rsidRPr="00181061">
        <w:rPr>
          <w:bCs/>
        </w:rPr>
        <w:t>µg/m</w:t>
      </w:r>
      <w:r w:rsidRPr="00181061">
        <w:rPr>
          <w:bCs/>
          <w:vertAlign w:val="superscript"/>
        </w:rPr>
        <w:t>3</w:t>
      </w:r>
      <w:r>
        <w:rPr>
          <w:bCs/>
        </w:rPr>
        <w:t xml:space="preserve"> – w Rzeszowie oraz 1,6 </w:t>
      </w:r>
      <w:r w:rsidRPr="00181061">
        <w:rPr>
          <w:bCs/>
        </w:rPr>
        <w:t>µg/m</w:t>
      </w:r>
      <w:r w:rsidRPr="00181061">
        <w:rPr>
          <w:bCs/>
          <w:vertAlign w:val="superscript"/>
        </w:rPr>
        <w:t>3</w:t>
      </w:r>
      <w:r>
        <w:rPr>
          <w:bCs/>
        </w:rPr>
        <w:t xml:space="preserve"> – w Lublinie. </w:t>
      </w:r>
      <w:r>
        <w:t>Notowane poziomy są dużo niższe od poziomu dopuszczanego.</w:t>
      </w:r>
    </w:p>
    <w:p w14:paraId="7770F6DD" w14:textId="5916F581" w:rsidR="00955ED4" w:rsidRPr="001A21DF" w:rsidRDefault="001A21DF" w:rsidP="001A21DF">
      <w:pPr>
        <w:pStyle w:val="Legenda"/>
        <w:rPr>
          <w:sz w:val="22"/>
          <w:szCs w:val="22"/>
          <w:lang w:val="pl-PL"/>
        </w:rPr>
      </w:pPr>
      <w:bookmarkStart w:id="95" w:name="_Toc73516101"/>
      <w:r w:rsidRPr="001A21DF">
        <w:rPr>
          <w:sz w:val="22"/>
          <w:szCs w:val="22"/>
        </w:rPr>
        <w:t xml:space="preserve">Wykres </w:t>
      </w:r>
      <w:r w:rsidRPr="001A21DF">
        <w:rPr>
          <w:sz w:val="22"/>
          <w:szCs w:val="22"/>
        </w:rPr>
        <w:fldChar w:fldCharType="begin"/>
      </w:r>
      <w:r w:rsidRPr="001A21DF">
        <w:rPr>
          <w:sz w:val="22"/>
          <w:szCs w:val="22"/>
        </w:rPr>
        <w:instrText xml:space="preserve"> SEQ Wykres \* ARABIC </w:instrText>
      </w:r>
      <w:r w:rsidRPr="001A21DF">
        <w:rPr>
          <w:sz w:val="22"/>
          <w:szCs w:val="22"/>
        </w:rPr>
        <w:fldChar w:fldCharType="separate"/>
      </w:r>
      <w:r w:rsidR="00AD58C3">
        <w:rPr>
          <w:noProof/>
          <w:sz w:val="22"/>
          <w:szCs w:val="22"/>
        </w:rPr>
        <w:t>39</w:t>
      </w:r>
      <w:r w:rsidRPr="001A21DF">
        <w:rPr>
          <w:sz w:val="22"/>
          <w:szCs w:val="22"/>
        </w:rPr>
        <w:fldChar w:fldCharType="end"/>
      </w:r>
      <w:r w:rsidRPr="001A21DF">
        <w:rPr>
          <w:sz w:val="22"/>
          <w:szCs w:val="22"/>
        </w:rPr>
        <w:t xml:space="preserve">. </w:t>
      </w:r>
      <w:r w:rsidRPr="001A21DF">
        <w:rPr>
          <w:bCs/>
          <w:sz w:val="22"/>
          <w:szCs w:val="22"/>
          <w:lang w:val="en-US"/>
        </w:rPr>
        <w:t xml:space="preserve">Stężenia średnioroczne </w:t>
      </w:r>
      <w:r w:rsidRPr="001A21DF">
        <w:rPr>
          <w:bCs/>
          <w:sz w:val="22"/>
          <w:szCs w:val="22"/>
          <w:lang w:val="pl-PL"/>
        </w:rPr>
        <w:t>benzenu w latach 2013 i 2019 (µg/m</w:t>
      </w:r>
      <w:r w:rsidRPr="001A21DF">
        <w:rPr>
          <w:bCs/>
          <w:sz w:val="22"/>
          <w:szCs w:val="22"/>
          <w:vertAlign w:val="superscript"/>
          <w:lang w:val="pl-PL"/>
        </w:rPr>
        <w:t>3</w:t>
      </w:r>
      <w:r w:rsidRPr="001A21DF">
        <w:rPr>
          <w:bCs/>
          <w:sz w:val="22"/>
          <w:szCs w:val="22"/>
          <w:lang w:val="pl-PL"/>
        </w:rPr>
        <w:t>)</w:t>
      </w:r>
      <w:bookmarkEnd w:id="95"/>
    </w:p>
    <w:p w14:paraId="43BB8029" w14:textId="77777777" w:rsidR="00955ED4" w:rsidRDefault="00955ED4" w:rsidP="00955ED4">
      <w:pPr>
        <w:spacing w:after="0"/>
        <w:jc w:val="center"/>
      </w:pPr>
      <w:r>
        <w:rPr>
          <w:noProof/>
          <w:lang w:eastAsia="pl-PL"/>
        </w:rPr>
        <w:drawing>
          <wp:inline distT="0" distB="0" distL="0" distR="0" wp14:anchorId="7BA1726A" wp14:editId="4542DA21">
            <wp:extent cx="4562475" cy="2186609"/>
            <wp:effectExtent l="0" t="0" r="9525" b="4445"/>
            <wp:docPr id="85" name="Wykres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B3072C0" w14:textId="77777777" w:rsidR="00955ED4" w:rsidRPr="0081715F" w:rsidRDefault="00955ED4" w:rsidP="00955ED4">
      <w:pPr>
        <w:spacing w:after="0"/>
        <w:jc w:val="center"/>
        <w:rPr>
          <w:i/>
          <w:sz w:val="20"/>
          <w:szCs w:val="20"/>
        </w:rPr>
      </w:pPr>
      <w:r>
        <w:rPr>
          <w:i/>
          <w:sz w:val="20"/>
          <w:szCs w:val="20"/>
        </w:rPr>
        <w:t>ź</w:t>
      </w:r>
      <w:r w:rsidRPr="0081715F">
        <w:rPr>
          <w:i/>
          <w:sz w:val="20"/>
          <w:szCs w:val="20"/>
        </w:rPr>
        <w:t xml:space="preserve">ródło: </w:t>
      </w:r>
      <w:r>
        <w:rPr>
          <w:i/>
          <w:sz w:val="20"/>
          <w:szCs w:val="20"/>
        </w:rPr>
        <w:t xml:space="preserve">opracowanie własne na podstawie </w:t>
      </w:r>
      <w:r w:rsidRPr="0081715F">
        <w:rPr>
          <w:i/>
          <w:sz w:val="20"/>
          <w:szCs w:val="20"/>
        </w:rPr>
        <w:t>Bank</w:t>
      </w:r>
      <w:r>
        <w:rPr>
          <w:i/>
          <w:sz w:val="20"/>
          <w:szCs w:val="20"/>
        </w:rPr>
        <w:t>u</w:t>
      </w:r>
      <w:r w:rsidRPr="0081715F">
        <w:rPr>
          <w:i/>
          <w:sz w:val="20"/>
          <w:szCs w:val="20"/>
        </w:rPr>
        <w:t xml:space="preserve"> danych pomiarowych</w:t>
      </w:r>
      <w:r>
        <w:rPr>
          <w:i/>
          <w:sz w:val="20"/>
          <w:szCs w:val="20"/>
        </w:rPr>
        <w:t xml:space="preserve"> GIOŚ</w:t>
      </w:r>
    </w:p>
    <w:p w14:paraId="06E197BC" w14:textId="77777777" w:rsidR="00817190" w:rsidRDefault="00817190" w:rsidP="008C3AAF">
      <w:pPr>
        <w:rPr>
          <w:i/>
          <w:color w:val="2E74B5" w:themeColor="accent1" w:themeShade="BF"/>
        </w:rPr>
      </w:pPr>
      <w:bookmarkStart w:id="96" w:name="_Toc45279341"/>
      <w:bookmarkStart w:id="97" w:name="_Toc44656698"/>
    </w:p>
    <w:p w14:paraId="5CAED8A9" w14:textId="77F180A8" w:rsidR="00E25636" w:rsidRPr="008C3AAF" w:rsidRDefault="00E25636" w:rsidP="008C3AAF">
      <w:pPr>
        <w:rPr>
          <w:i/>
          <w:color w:val="2E74B5" w:themeColor="accent1" w:themeShade="BF"/>
        </w:rPr>
      </w:pPr>
      <w:r w:rsidRPr="008C3AAF">
        <w:rPr>
          <w:i/>
          <w:color w:val="2E74B5" w:themeColor="accent1" w:themeShade="BF"/>
        </w:rPr>
        <w:t>Pył zawieszony – ołów</w:t>
      </w:r>
      <w:bookmarkEnd w:id="96"/>
      <w:bookmarkEnd w:id="97"/>
    </w:p>
    <w:p w14:paraId="3ABAABFA" w14:textId="77777777" w:rsidR="00E25636" w:rsidRDefault="00E25636" w:rsidP="00E25636">
      <w:pPr>
        <w:jc w:val="both"/>
      </w:pPr>
      <w:r>
        <w:t xml:space="preserve">Dominującym źródłem emisji ołowiu są procesy produkcyjne, a szczególnie metalurgia żelaza i stali oraz ołowiu. Innym istotnym źródłem emisji ołowiu do powietrza są procesy spalania poza przemysłem, w których największa część pochodzi ze spalania węgla w gospodarstwach domowych. </w:t>
      </w:r>
      <w:r w:rsidRPr="00F33E99">
        <w:rPr>
          <w:b/>
        </w:rPr>
        <w:t>Poziom dopuszczalnego stężenia średniorocznego wynosi 0,5</w:t>
      </w:r>
      <w:r w:rsidR="00F33E99" w:rsidRPr="00F33E99">
        <w:rPr>
          <w:b/>
        </w:rPr>
        <w:t xml:space="preserve"> </w:t>
      </w:r>
      <w:r w:rsidR="00F33E99" w:rsidRPr="00F33E99">
        <w:rPr>
          <w:b/>
          <w:bCs/>
        </w:rPr>
        <w:t>µg/m</w:t>
      </w:r>
      <w:r w:rsidR="00F33E99" w:rsidRPr="00F33E99">
        <w:rPr>
          <w:b/>
          <w:bCs/>
          <w:vertAlign w:val="superscript"/>
        </w:rPr>
        <w:t>3</w:t>
      </w:r>
      <w:r>
        <w:t xml:space="preserve"> (stanowi sumę metalu i jego związków </w:t>
      </w:r>
      <w:r w:rsidR="00F33E99">
        <w:br/>
      </w:r>
      <w:r>
        <w:t>w pyle zawieszonym PM10).</w:t>
      </w:r>
    </w:p>
    <w:p w14:paraId="266474D5" w14:textId="22082917" w:rsidR="00483FEC" w:rsidRDefault="001A5ECF" w:rsidP="00483FEC">
      <w:pPr>
        <w:jc w:val="both"/>
      </w:pPr>
      <w:r>
        <w:t>Poziom zanieczyszczenia powietrza ołowiem w roku 2019 w Olsztynie osiągnął wartość 0,004</w:t>
      </w:r>
      <w:r w:rsidRPr="001A5ECF">
        <w:rPr>
          <w:b/>
          <w:bCs/>
        </w:rPr>
        <w:t xml:space="preserve"> </w:t>
      </w:r>
      <w:r w:rsidRPr="001A5ECF">
        <w:rPr>
          <w:bCs/>
        </w:rPr>
        <w:t>µg/m</w:t>
      </w:r>
      <w:r w:rsidRPr="001A5ECF">
        <w:rPr>
          <w:bCs/>
          <w:vertAlign w:val="superscript"/>
        </w:rPr>
        <w:t>3</w:t>
      </w:r>
      <w:r>
        <w:rPr>
          <w:bCs/>
        </w:rPr>
        <w:t xml:space="preserve"> </w:t>
      </w:r>
      <w:r w:rsidR="00927F98">
        <w:rPr>
          <w:bCs/>
        </w:rPr>
        <w:br/>
      </w:r>
      <w:r>
        <w:rPr>
          <w:bCs/>
        </w:rPr>
        <w:t xml:space="preserve">i był najniższy na przestrzeni lat 2013-2019. </w:t>
      </w:r>
      <w:r w:rsidR="00483FEC">
        <w:t xml:space="preserve">Na </w:t>
      </w:r>
      <w:r>
        <w:t xml:space="preserve">terenie wszystkich miast poddanych ocenie, dla których dane są </w:t>
      </w:r>
      <w:r w:rsidR="00927F98">
        <w:t>agregowane przez GIOŚ</w:t>
      </w:r>
      <w:r w:rsidR="00927F98">
        <w:rPr>
          <w:rStyle w:val="Odwoanieprzypisudolnego"/>
        </w:rPr>
        <w:footnoteReference w:id="31"/>
      </w:r>
      <w:r>
        <w:t xml:space="preserve">, nastąpił spadek poziomu zanieczyszczenia powietrza ołowiem. Najwyższy spadek emisji ołowiu nastąpił w Białymstoku – o </w:t>
      </w:r>
      <w:r w:rsidR="00927F98">
        <w:t>0,011</w:t>
      </w:r>
      <w:r w:rsidR="00927F98" w:rsidRPr="00927F98">
        <w:rPr>
          <w:bCs/>
        </w:rPr>
        <w:t xml:space="preserve"> </w:t>
      </w:r>
      <w:r w:rsidR="00927F98" w:rsidRPr="001A5ECF">
        <w:rPr>
          <w:bCs/>
        </w:rPr>
        <w:t>µg/m</w:t>
      </w:r>
      <w:r w:rsidR="00927F98" w:rsidRPr="001A5ECF">
        <w:rPr>
          <w:bCs/>
          <w:vertAlign w:val="superscript"/>
        </w:rPr>
        <w:t>3</w:t>
      </w:r>
      <w:r w:rsidR="00927F98">
        <w:rPr>
          <w:bCs/>
        </w:rPr>
        <w:t xml:space="preserve"> </w:t>
      </w:r>
      <w:r w:rsidR="00927F98">
        <w:t xml:space="preserve">(w 2019 w porównaniu </w:t>
      </w:r>
      <w:r w:rsidR="00927F98">
        <w:br/>
        <w:t>z rokiem 2013).</w:t>
      </w:r>
    </w:p>
    <w:p w14:paraId="3009DA48" w14:textId="4C99DB00" w:rsidR="00A14AFA" w:rsidRPr="00A14AFA" w:rsidRDefault="00A14AFA" w:rsidP="00A14AFA">
      <w:pPr>
        <w:pStyle w:val="Legenda"/>
        <w:rPr>
          <w:sz w:val="22"/>
          <w:szCs w:val="22"/>
          <w:lang w:val="pl-PL"/>
        </w:rPr>
      </w:pPr>
      <w:bookmarkStart w:id="98" w:name="_Toc73516102"/>
      <w:r w:rsidRPr="00A14AFA">
        <w:rPr>
          <w:sz w:val="22"/>
          <w:szCs w:val="22"/>
        </w:rPr>
        <w:t xml:space="preserve">Wykres </w:t>
      </w:r>
      <w:r w:rsidRPr="00A14AFA">
        <w:rPr>
          <w:sz w:val="22"/>
          <w:szCs w:val="22"/>
        </w:rPr>
        <w:fldChar w:fldCharType="begin"/>
      </w:r>
      <w:r w:rsidRPr="00A14AFA">
        <w:rPr>
          <w:sz w:val="22"/>
          <w:szCs w:val="22"/>
        </w:rPr>
        <w:instrText xml:space="preserve"> SEQ Wykres \* ARABIC </w:instrText>
      </w:r>
      <w:r w:rsidRPr="00A14AFA">
        <w:rPr>
          <w:sz w:val="22"/>
          <w:szCs w:val="22"/>
        </w:rPr>
        <w:fldChar w:fldCharType="separate"/>
      </w:r>
      <w:r w:rsidR="00AD58C3">
        <w:rPr>
          <w:noProof/>
          <w:sz w:val="22"/>
          <w:szCs w:val="22"/>
        </w:rPr>
        <w:t>40</w:t>
      </w:r>
      <w:r w:rsidRPr="00A14AFA">
        <w:rPr>
          <w:sz w:val="22"/>
          <w:szCs w:val="22"/>
        </w:rPr>
        <w:fldChar w:fldCharType="end"/>
      </w:r>
      <w:r w:rsidRPr="00A14AFA">
        <w:rPr>
          <w:sz w:val="22"/>
          <w:szCs w:val="22"/>
        </w:rPr>
        <w:t xml:space="preserve">. </w:t>
      </w:r>
      <w:r w:rsidRPr="00A14AFA">
        <w:rPr>
          <w:bCs/>
          <w:sz w:val="22"/>
          <w:szCs w:val="22"/>
          <w:lang w:val="en-US"/>
        </w:rPr>
        <w:t>Stężenia średnioroczne ołowiu w PM10 w latach 2013 i 2019</w:t>
      </w:r>
      <w:r w:rsidRPr="00A14AFA">
        <w:rPr>
          <w:bCs/>
          <w:sz w:val="22"/>
          <w:szCs w:val="22"/>
          <w:lang w:val="pl-PL"/>
        </w:rPr>
        <w:t xml:space="preserve"> (µg/m</w:t>
      </w:r>
      <w:r w:rsidRPr="00A14AFA">
        <w:rPr>
          <w:bCs/>
          <w:sz w:val="22"/>
          <w:szCs w:val="22"/>
          <w:vertAlign w:val="superscript"/>
          <w:lang w:val="pl-PL"/>
        </w:rPr>
        <w:t>3</w:t>
      </w:r>
      <w:r w:rsidRPr="00A14AFA">
        <w:rPr>
          <w:bCs/>
          <w:sz w:val="22"/>
          <w:szCs w:val="22"/>
          <w:lang w:val="pl-PL"/>
        </w:rPr>
        <w:t>)</w:t>
      </w:r>
      <w:bookmarkEnd w:id="98"/>
    </w:p>
    <w:p w14:paraId="76318805" w14:textId="77777777" w:rsidR="00F33E99" w:rsidRDefault="00F33E99" w:rsidP="00921B47">
      <w:pPr>
        <w:spacing w:after="0"/>
        <w:jc w:val="center"/>
      </w:pPr>
      <w:r>
        <w:rPr>
          <w:noProof/>
          <w:lang w:eastAsia="pl-PL"/>
        </w:rPr>
        <w:drawing>
          <wp:inline distT="0" distB="0" distL="0" distR="0" wp14:anchorId="0E8C1A63" wp14:editId="67799F46">
            <wp:extent cx="4533900" cy="2276475"/>
            <wp:effectExtent l="0" t="0" r="0" b="9525"/>
            <wp:docPr id="77" name="Wykres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53C100A" w14:textId="77777777" w:rsidR="0018295B" w:rsidRPr="0081715F" w:rsidRDefault="0018295B" w:rsidP="00921B47">
      <w:pPr>
        <w:spacing w:after="0"/>
        <w:jc w:val="center"/>
        <w:rPr>
          <w:i/>
          <w:sz w:val="20"/>
          <w:szCs w:val="20"/>
        </w:rPr>
      </w:pPr>
      <w:r>
        <w:rPr>
          <w:i/>
          <w:sz w:val="20"/>
          <w:szCs w:val="20"/>
        </w:rPr>
        <w:t>ź</w:t>
      </w:r>
      <w:r w:rsidRPr="0081715F">
        <w:rPr>
          <w:i/>
          <w:sz w:val="20"/>
          <w:szCs w:val="20"/>
        </w:rPr>
        <w:t xml:space="preserve">ródło: </w:t>
      </w:r>
      <w:r>
        <w:rPr>
          <w:i/>
          <w:sz w:val="20"/>
          <w:szCs w:val="20"/>
        </w:rPr>
        <w:t xml:space="preserve">opracowanie własne na podstawie </w:t>
      </w:r>
      <w:r w:rsidRPr="0081715F">
        <w:rPr>
          <w:i/>
          <w:sz w:val="20"/>
          <w:szCs w:val="20"/>
        </w:rPr>
        <w:t>Bank</w:t>
      </w:r>
      <w:r>
        <w:rPr>
          <w:i/>
          <w:sz w:val="20"/>
          <w:szCs w:val="20"/>
        </w:rPr>
        <w:t>u</w:t>
      </w:r>
      <w:r w:rsidRPr="0081715F">
        <w:rPr>
          <w:i/>
          <w:sz w:val="20"/>
          <w:szCs w:val="20"/>
        </w:rPr>
        <w:t xml:space="preserve"> danych pomiarowych</w:t>
      </w:r>
      <w:r>
        <w:rPr>
          <w:i/>
          <w:sz w:val="20"/>
          <w:szCs w:val="20"/>
        </w:rPr>
        <w:t xml:space="preserve"> GIOŚ</w:t>
      </w:r>
    </w:p>
    <w:p w14:paraId="4C4042F2" w14:textId="77777777" w:rsidR="00E25636" w:rsidRDefault="00E25636" w:rsidP="00E25636">
      <w:pPr>
        <w:spacing w:after="0"/>
        <w:jc w:val="both"/>
      </w:pPr>
    </w:p>
    <w:p w14:paraId="569F14B4" w14:textId="77777777" w:rsidR="00E25636" w:rsidRPr="0081361A" w:rsidRDefault="00E25636" w:rsidP="0081361A">
      <w:pPr>
        <w:rPr>
          <w:i/>
          <w:color w:val="2E74B5" w:themeColor="accent1" w:themeShade="BF"/>
        </w:rPr>
      </w:pPr>
      <w:bookmarkStart w:id="99" w:name="_Toc45279342"/>
      <w:bookmarkStart w:id="100" w:name="_Toc44656699"/>
      <w:r w:rsidRPr="0081361A">
        <w:rPr>
          <w:i/>
          <w:color w:val="2E74B5" w:themeColor="accent1" w:themeShade="BF"/>
        </w:rPr>
        <w:t>Pył zawieszony – benzo(a)piren</w:t>
      </w:r>
      <w:bookmarkEnd w:id="99"/>
      <w:bookmarkEnd w:id="100"/>
    </w:p>
    <w:p w14:paraId="2FEA17E8" w14:textId="77777777" w:rsidR="00E25636" w:rsidRDefault="00E25636" w:rsidP="00E25636">
      <w:pPr>
        <w:jc w:val="both"/>
        <w:rPr>
          <w:b/>
        </w:rPr>
      </w:pPr>
      <w:r>
        <w:t xml:space="preserve">Benzo(a)piren jest jednym z najbardziej toksycznych składników smogu. W Polsce większość benzo(a)pirenu w powietrzu pochodzi z gospodarstw domowych - z pieców, kotłów na węgiel, zwłaszcza tych przestarzałych, o niskim standardzie. </w:t>
      </w:r>
      <w:r w:rsidR="006F7119">
        <w:t xml:space="preserve">W kotłach tych, niespełniających żadnych norm, </w:t>
      </w:r>
      <w:r>
        <w:t xml:space="preserve">nawet minimalnych, standardów emisyjnych, </w:t>
      </w:r>
      <w:r w:rsidR="006F7119">
        <w:t>wciąż</w:t>
      </w:r>
      <w:r>
        <w:t xml:space="preserve"> ląduje złej jakości paliwo, a niejednokrotnie odpady.</w:t>
      </w:r>
      <w:r w:rsidR="006F7119">
        <w:t xml:space="preserve"> Stężenie benzo(a)pirenu w powietrzu jest znacząco większe wraz z początkiem okresu grzewczego.</w:t>
      </w:r>
      <w:r>
        <w:t xml:space="preserve"> W mniejszej ilości benzo(a)piren pochodzi ze spalin samochodowych czy dymu papierosowego. </w:t>
      </w:r>
      <w:r w:rsidRPr="006F7119">
        <w:rPr>
          <w:b/>
        </w:rPr>
        <w:t xml:space="preserve">Poziom dopuszczalny stężenia średniorocznego: 1 </w:t>
      </w:r>
      <w:r w:rsidR="00E752D7" w:rsidRPr="00E752D7">
        <w:rPr>
          <w:b/>
          <w:bCs/>
        </w:rPr>
        <w:t>µg/m</w:t>
      </w:r>
      <w:r w:rsidR="00E752D7" w:rsidRPr="00E752D7">
        <w:rPr>
          <w:b/>
          <w:bCs/>
          <w:vertAlign w:val="superscript"/>
        </w:rPr>
        <w:t>3</w:t>
      </w:r>
      <w:r w:rsidR="00E752D7">
        <w:rPr>
          <w:b/>
        </w:rPr>
        <w:t>.</w:t>
      </w:r>
    </w:p>
    <w:p w14:paraId="42A3E2F1" w14:textId="5F6B21A6" w:rsidR="00536F49" w:rsidRDefault="00536F49" w:rsidP="00E25636">
      <w:pPr>
        <w:jc w:val="both"/>
        <w:rPr>
          <w:bCs/>
        </w:rPr>
      </w:pPr>
      <w:r w:rsidRPr="005944BE">
        <w:t>Poziom średniorocznego stężenia benzo(a)pirenu w PM10 w Olsztyni</w:t>
      </w:r>
      <w:r w:rsidR="005944BE" w:rsidRPr="005944BE">
        <w:t xml:space="preserve">e w latach 2013-2019 </w:t>
      </w:r>
      <w:r w:rsidRPr="005944BE">
        <w:t xml:space="preserve">wykazuje </w:t>
      </w:r>
      <w:r w:rsidR="005944BE" w:rsidRPr="005944BE">
        <w:t>tendencję spadkową</w:t>
      </w:r>
      <w:r w:rsidR="00C46828">
        <w:t xml:space="preserve">, by osiągnąć w roku 2019 wartość najniższą 0,9 </w:t>
      </w:r>
      <w:r w:rsidR="00C46828" w:rsidRPr="00C46828">
        <w:rPr>
          <w:bCs/>
        </w:rPr>
        <w:t>µg/m</w:t>
      </w:r>
      <w:r w:rsidR="00C46828" w:rsidRPr="00C46828">
        <w:rPr>
          <w:bCs/>
          <w:vertAlign w:val="superscript"/>
        </w:rPr>
        <w:t>3</w:t>
      </w:r>
      <w:r w:rsidR="00C46828">
        <w:rPr>
          <w:bCs/>
        </w:rPr>
        <w:t>. Mniej korzystna sytuacja występuje w Kielcach, Rzeszowie i Lublinie</w:t>
      </w:r>
      <w:r w:rsidR="00383D7B">
        <w:rPr>
          <w:bCs/>
        </w:rPr>
        <w:t>, w przypadku których</w:t>
      </w:r>
      <w:r w:rsidR="00C46828">
        <w:rPr>
          <w:bCs/>
        </w:rPr>
        <w:t xml:space="preserve"> poziom zanieczyszczenia powietrza benzo(a)pirenem przekracza dopuszczalną wartość 1  </w:t>
      </w:r>
      <w:r w:rsidR="00C46828" w:rsidRPr="00C46828">
        <w:rPr>
          <w:bCs/>
        </w:rPr>
        <w:t>µg/m</w:t>
      </w:r>
      <w:r w:rsidR="00C46828" w:rsidRPr="00C46828">
        <w:rPr>
          <w:bCs/>
          <w:vertAlign w:val="superscript"/>
        </w:rPr>
        <w:t>3</w:t>
      </w:r>
      <w:r w:rsidR="00C46828">
        <w:rPr>
          <w:bCs/>
        </w:rPr>
        <w:t xml:space="preserve">. </w:t>
      </w:r>
    </w:p>
    <w:p w14:paraId="2F359994" w14:textId="679C58C7" w:rsidR="00A14AFA" w:rsidRDefault="00A14AFA">
      <w:r>
        <w:br w:type="page"/>
      </w:r>
    </w:p>
    <w:p w14:paraId="25C72E4F" w14:textId="6769B122" w:rsidR="0055019D" w:rsidRPr="0055019D" w:rsidRDefault="0055019D" w:rsidP="0055019D">
      <w:pPr>
        <w:pStyle w:val="Legenda"/>
        <w:rPr>
          <w:sz w:val="22"/>
          <w:szCs w:val="22"/>
          <w:lang w:val="pl-PL"/>
        </w:rPr>
      </w:pPr>
      <w:bookmarkStart w:id="101" w:name="_Toc73516103"/>
      <w:r w:rsidRPr="0055019D">
        <w:rPr>
          <w:sz w:val="22"/>
          <w:szCs w:val="22"/>
        </w:rPr>
        <w:lastRenderedPageBreak/>
        <w:t xml:space="preserve">Wykres </w:t>
      </w:r>
      <w:r w:rsidRPr="0055019D">
        <w:rPr>
          <w:sz w:val="22"/>
          <w:szCs w:val="22"/>
        </w:rPr>
        <w:fldChar w:fldCharType="begin"/>
      </w:r>
      <w:r w:rsidRPr="0055019D">
        <w:rPr>
          <w:sz w:val="22"/>
          <w:szCs w:val="22"/>
        </w:rPr>
        <w:instrText xml:space="preserve"> SEQ Wykres \* ARABIC </w:instrText>
      </w:r>
      <w:r w:rsidRPr="0055019D">
        <w:rPr>
          <w:sz w:val="22"/>
          <w:szCs w:val="22"/>
        </w:rPr>
        <w:fldChar w:fldCharType="separate"/>
      </w:r>
      <w:r w:rsidR="00AD58C3">
        <w:rPr>
          <w:noProof/>
          <w:sz w:val="22"/>
          <w:szCs w:val="22"/>
        </w:rPr>
        <w:t>41</w:t>
      </w:r>
      <w:r w:rsidRPr="0055019D">
        <w:rPr>
          <w:sz w:val="22"/>
          <w:szCs w:val="22"/>
        </w:rPr>
        <w:fldChar w:fldCharType="end"/>
      </w:r>
      <w:r w:rsidRPr="0055019D">
        <w:rPr>
          <w:sz w:val="22"/>
          <w:szCs w:val="22"/>
        </w:rPr>
        <w:t xml:space="preserve">. </w:t>
      </w:r>
      <w:r w:rsidRPr="0055019D">
        <w:rPr>
          <w:bCs/>
          <w:sz w:val="22"/>
          <w:szCs w:val="22"/>
          <w:lang w:val="en-US"/>
        </w:rPr>
        <w:t xml:space="preserve">Stężenia średnioroczne </w:t>
      </w:r>
      <w:r w:rsidRPr="0055019D">
        <w:rPr>
          <w:bCs/>
          <w:sz w:val="22"/>
          <w:szCs w:val="22"/>
          <w:lang w:val="pl-PL"/>
        </w:rPr>
        <w:t>benzo(a)pirenu w PM10 w latach 2013 i 2019</w:t>
      </w:r>
      <w:r w:rsidRPr="0055019D">
        <w:rPr>
          <w:sz w:val="22"/>
          <w:szCs w:val="22"/>
          <w:lang w:val="pl-PL"/>
        </w:rPr>
        <w:t xml:space="preserve"> (</w:t>
      </w:r>
      <w:r w:rsidRPr="0055019D">
        <w:rPr>
          <w:bCs/>
          <w:sz w:val="22"/>
          <w:szCs w:val="22"/>
          <w:lang w:val="pl-PL"/>
        </w:rPr>
        <w:t>µg/m</w:t>
      </w:r>
      <w:r w:rsidRPr="0055019D">
        <w:rPr>
          <w:bCs/>
          <w:sz w:val="22"/>
          <w:szCs w:val="22"/>
          <w:vertAlign w:val="superscript"/>
          <w:lang w:val="pl-PL"/>
        </w:rPr>
        <w:t>3</w:t>
      </w:r>
      <w:r w:rsidRPr="0055019D">
        <w:rPr>
          <w:bCs/>
          <w:sz w:val="22"/>
          <w:szCs w:val="22"/>
          <w:lang w:val="pl-PL"/>
        </w:rPr>
        <w:t>)</w:t>
      </w:r>
      <w:bookmarkEnd w:id="101"/>
    </w:p>
    <w:p w14:paraId="36519530" w14:textId="77777777" w:rsidR="0018295B" w:rsidRDefault="0018295B" w:rsidP="00921B47">
      <w:pPr>
        <w:spacing w:after="0"/>
        <w:jc w:val="center"/>
      </w:pPr>
      <w:r>
        <w:rPr>
          <w:noProof/>
          <w:lang w:eastAsia="pl-PL"/>
        </w:rPr>
        <w:drawing>
          <wp:inline distT="0" distB="0" distL="0" distR="0" wp14:anchorId="4E58D0AF" wp14:editId="5D438029">
            <wp:extent cx="4710224" cy="2413591"/>
            <wp:effectExtent l="0" t="0" r="14605" b="6350"/>
            <wp:docPr id="78" name="Wykres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2D524C8" w14:textId="77777777" w:rsidR="0018295B" w:rsidRPr="0081715F" w:rsidRDefault="0018295B" w:rsidP="00921B47">
      <w:pPr>
        <w:spacing w:after="0"/>
        <w:jc w:val="center"/>
        <w:rPr>
          <w:i/>
          <w:sz w:val="20"/>
          <w:szCs w:val="20"/>
        </w:rPr>
      </w:pPr>
      <w:r>
        <w:rPr>
          <w:i/>
          <w:sz w:val="20"/>
          <w:szCs w:val="20"/>
        </w:rPr>
        <w:t>ź</w:t>
      </w:r>
      <w:r w:rsidRPr="0081715F">
        <w:rPr>
          <w:i/>
          <w:sz w:val="20"/>
          <w:szCs w:val="20"/>
        </w:rPr>
        <w:t xml:space="preserve">ródło: </w:t>
      </w:r>
      <w:r>
        <w:rPr>
          <w:i/>
          <w:sz w:val="20"/>
          <w:szCs w:val="20"/>
        </w:rPr>
        <w:t xml:space="preserve">opracowanie własne na podstawie </w:t>
      </w:r>
      <w:r w:rsidRPr="0081715F">
        <w:rPr>
          <w:i/>
          <w:sz w:val="20"/>
          <w:szCs w:val="20"/>
        </w:rPr>
        <w:t>Bank</w:t>
      </w:r>
      <w:r>
        <w:rPr>
          <w:i/>
          <w:sz w:val="20"/>
          <w:szCs w:val="20"/>
        </w:rPr>
        <w:t>u</w:t>
      </w:r>
      <w:r w:rsidRPr="0081715F">
        <w:rPr>
          <w:i/>
          <w:sz w:val="20"/>
          <w:szCs w:val="20"/>
        </w:rPr>
        <w:t xml:space="preserve"> danych pomiarowych</w:t>
      </w:r>
      <w:r>
        <w:rPr>
          <w:i/>
          <w:sz w:val="20"/>
          <w:szCs w:val="20"/>
        </w:rPr>
        <w:t xml:space="preserve"> GIOŚ</w:t>
      </w:r>
    </w:p>
    <w:p w14:paraId="75F0FE65" w14:textId="77777777" w:rsidR="0018295B" w:rsidRDefault="0018295B" w:rsidP="0018295B">
      <w:pPr>
        <w:jc w:val="center"/>
      </w:pPr>
    </w:p>
    <w:p w14:paraId="395C5EB4" w14:textId="77777777" w:rsidR="00A23DC1" w:rsidRPr="0051542D" w:rsidRDefault="002C24DC" w:rsidP="00B905C9">
      <w:pPr>
        <w:pStyle w:val="Nagwek3"/>
      </w:pPr>
      <w:bookmarkStart w:id="102" w:name="_Toc44656700"/>
      <w:bookmarkStart w:id="103" w:name="_Toc45279343"/>
      <w:bookmarkStart w:id="104" w:name="_Toc73534905"/>
      <w:r>
        <w:t>2.1.3</w:t>
      </w:r>
      <w:r w:rsidR="00C83F27">
        <w:t xml:space="preserve"> </w:t>
      </w:r>
      <w:r w:rsidR="00A23DC1" w:rsidRPr="0051542D">
        <w:t>Hałas</w:t>
      </w:r>
      <w:bookmarkEnd w:id="102"/>
      <w:bookmarkEnd w:id="103"/>
      <w:bookmarkEnd w:id="104"/>
    </w:p>
    <w:p w14:paraId="27A9FC87" w14:textId="77777777" w:rsidR="00A23DC1" w:rsidRPr="0051542D" w:rsidRDefault="00A23DC1" w:rsidP="00A23DC1">
      <w:pPr>
        <w:jc w:val="both"/>
      </w:pPr>
      <w:r w:rsidRPr="0051542D">
        <w:t xml:space="preserve">Hałas to każdy niepożądany, nieprzyjemny, dokuczliwy dźwięk występujący w danym miejscu, czasie </w:t>
      </w:r>
      <w:r>
        <w:br/>
      </w:r>
      <w:r w:rsidRPr="0051542D">
        <w:t>i okolicznościach. Definicja ta opiera się na subiektywnym odczuwaniu hałasu. Hałas to dźwięk szkodliwy dla szeroko pojętego zdrowia człowieka. Przyjmuje się, że dźwięk o natężeniu 55 dB jest nieprzyjemny, a poziom hałasu o natężeniu 65 dB uznany jest za nie do zniesienia.</w:t>
      </w:r>
    </w:p>
    <w:p w14:paraId="0568FE64" w14:textId="77777777" w:rsidR="00A23DC1" w:rsidRPr="0051542D" w:rsidRDefault="00A23DC1" w:rsidP="00A23DC1">
      <w:pPr>
        <w:jc w:val="both"/>
      </w:pPr>
      <w:r w:rsidRPr="0051542D">
        <w:t>Zgodnie z ustawą z dnia 27 kwietnia 2001 r. Prawo ochrony środowiska (ustawa POŚ)</w:t>
      </w:r>
      <w:r w:rsidRPr="0051542D">
        <w:rPr>
          <w:vertAlign w:val="superscript"/>
        </w:rPr>
        <w:footnoteReference w:id="32"/>
      </w:r>
      <w:r w:rsidRPr="0051542D">
        <w:t xml:space="preserve"> podstawowe pojęcia z zakresu ochrony przed hałasem są następujące: </w:t>
      </w:r>
    </w:p>
    <w:p w14:paraId="27F3FAAD" w14:textId="77777777" w:rsidR="00A23DC1" w:rsidRPr="0051542D" w:rsidRDefault="00A23DC1" w:rsidP="00A23DC1">
      <w:pPr>
        <w:numPr>
          <w:ilvl w:val="0"/>
          <w:numId w:val="19"/>
        </w:numPr>
        <w:contextualSpacing/>
        <w:jc w:val="both"/>
      </w:pPr>
      <w:r w:rsidRPr="0051542D">
        <w:t xml:space="preserve">emisja – wprowadzane bezpośrednio lub pośrednio energie do powietrza, wody lub ziemi, związane z działalnością człowieka (takie jak hałas czy wibracje), </w:t>
      </w:r>
    </w:p>
    <w:p w14:paraId="55E4891A" w14:textId="77777777" w:rsidR="00A23DC1" w:rsidRPr="0051542D" w:rsidRDefault="00A23DC1" w:rsidP="00A23DC1">
      <w:pPr>
        <w:numPr>
          <w:ilvl w:val="0"/>
          <w:numId w:val="19"/>
        </w:numPr>
        <w:contextualSpacing/>
        <w:jc w:val="both"/>
      </w:pPr>
      <w:r w:rsidRPr="0051542D">
        <w:t xml:space="preserve">hałas – dźwięki o częstotliwościach od 16 Hz do 16.000 Hz, </w:t>
      </w:r>
    </w:p>
    <w:p w14:paraId="3B6C8482" w14:textId="77777777" w:rsidR="00A23DC1" w:rsidRPr="0051542D" w:rsidRDefault="00A23DC1" w:rsidP="00A23DC1">
      <w:pPr>
        <w:numPr>
          <w:ilvl w:val="0"/>
          <w:numId w:val="19"/>
        </w:numPr>
        <w:contextualSpacing/>
        <w:jc w:val="both"/>
      </w:pPr>
      <w:r w:rsidRPr="0051542D">
        <w:t xml:space="preserve">poziom hałasu – równoważny poziom dźwięku A wyrażony w decybelach (dB). </w:t>
      </w:r>
    </w:p>
    <w:p w14:paraId="4D2455CE" w14:textId="26BC116D" w:rsidR="00A23DC1" w:rsidRPr="0051542D" w:rsidRDefault="00A23DC1" w:rsidP="00A23DC1">
      <w:pPr>
        <w:jc w:val="both"/>
      </w:pPr>
      <w:r w:rsidRPr="0051542D">
        <w:t>Oceny stanu akustycznego środowiska i obserwacji zmian dokonuje się w ramach Państwowego Monitoringu Środowiska, zgodnie z art. 117 ustawy POŚ. W rozumieniu ustawy</w:t>
      </w:r>
      <w:r w:rsidR="000C3757">
        <w:t>,</w:t>
      </w:r>
      <w:r w:rsidRPr="0051542D">
        <w:t xml:space="preserve"> ochrona przed hałasem polega na zapewnieniu jak najlepszego stanu akustycznego środowiska, w szczególności na utrzymaniu poziomu hałasu poniżej dopuszczalnego lub co najmniej na tym poziomie oraz zmniejszeniu poziomu hałasu co najmniej do dopuszczalnego, gdy nie jest on dotrzymany. </w:t>
      </w:r>
    </w:p>
    <w:p w14:paraId="05FC8CDE" w14:textId="77777777" w:rsidR="00A23DC1" w:rsidRPr="0051542D" w:rsidRDefault="00A23DC1" w:rsidP="00A23DC1">
      <w:pPr>
        <w:jc w:val="both"/>
      </w:pPr>
      <w:r w:rsidRPr="0051542D">
        <w:t xml:space="preserve">W związku ze stwierdzoną uciążliwością akustyczną hałasów komunikacyjnych Państwowy Zakład Higieny opracował skalę subiektywnej uciążliwości zewnętrznych tego rodzaju hałasów. Zgodnie </w:t>
      </w:r>
      <w:r>
        <w:br/>
      </w:r>
      <w:r w:rsidRPr="0051542D">
        <w:t xml:space="preserve">z dokonaną klasyfikacją uciążliwość hałasów komunikacyjnych zależy od wartości poziomu równoważnego LAeq i wynosi odpowiednio: </w:t>
      </w:r>
    </w:p>
    <w:p w14:paraId="44B4C9A2" w14:textId="77777777" w:rsidR="00A23DC1" w:rsidRPr="0051542D" w:rsidRDefault="00A23DC1" w:rsidP="00A23DC1">
      <w:pPr>
        <w:numPr>
          <w:ilvl w:val="0"/>
          <w:numId w:val="19"/>
        </w:numPr>
        <w:contextualSpacing/>
        <w:jc w:val="both"/>
      </w:pPr>
      <w:r w:rsidRPr="0051542D">
        <w:t>mała uciążliwość LAeq &lt; 52 dB,</w:t>
      </w:r>
    </w:p>
    <w:p w14:paraId="66A83367" w14:textId="77777777" w:rsidR="00A23DC1" w:rsidRPr="0051542D" w:rsidRDefault="00A23DC1" w:rsidP="00A23DC1">
      <w:pPr>
        <w:numPr>
          <w:ilvl w:val="0"/>
          <w:numId w:val="19"/>
        </w:numPr>
        <w:contextualSpacing/>
        <w:jc w:val="both"/>
      </w:pPr>
      <w:r w:rsidRPr="0051542D">
        <w:t>średnia uciążliwość 52 dB &lt; LAeq &lt; 62 dB,</w:t>
      </w:r>
    </w:p>
    <w:p w14:paraId="5DC8D14E" w14:textId="77777777" w:rsidR="00A23DC1" w:rsidRPr="0051542D" w:rsidRDefault="00A23DC1" w:rsidP="00A23DC1">
      <w:pPr>
        <w:numPr>
          <w:ilvl w:val="0"/>
          <w:numId w:val="19"/>
        </w:numPr>
        <w:contextualSpacing/>
        <w:jc w:val="both"/>
      </w:pPr>
      <w:r w:rsidRPr="0051542D">
        <w:t>duża uciążliwość 63 dB &lt; LAeq &lt; 70 dB,</w:t>
      </w:r>
    </w:p>
    <w:p w14:paraId="7C1283D6" w14:textId="77777777" w:rsidR="00A23DC1" w:rsidRPr="0051542D" w:rsidRDefault="00A23DC1" w:rsidP="00A23DC1">
      <w:pPr>
        <w:numPr>
          <w:ilvl w:val="0"/>
          <w:numId w:val="19"/>
        </w:numPr>
        <w:contextualSpacing/>
        <w:jc w:val="both"/>
      </w:pPr>
      <w:r w:rsidRPr="0051542D">
        <w:t>bardzo duża uciążliwość LAeq &gt; 70 dB.</w:t>
      </w:r>
    </w:p>
    <w:p w14:paraId="7A5F3FCD" w14:textId="52CE5854" w:rsidR="00A23DC1" w:rsidRPr="0051542D" w:rsidRDefault="00A23DC1" w:rsidP="00A23DC1">
      <w:pPr>
        <w:jc w:val="both"/>
      </w:pPr>
      <w:r w:rsidRPr="0051542D">
        <w:t xml:space="preserve">Źródła hałasu możemy podzielić w następujący sposób: </w:t>
      </w:r>
    </w:p>
    <w:p w14:paraId="331F89B1" w14:textId="77777777" w:rsidR="00A23DC1" w:rsidRPr="0051542D" w:rsidRDefault="00A23DC1" w:rsidP="00A23DC1">
      <w:pPr>
        <w:numPr>
          <w:ilvl w:val="0"/>
          <w:numId w:val="19"/>
        </w:numPr>
        <w:contextualSpacing/>
        <w:jc w:val="both"/>
      </w:pPr>
      <w:r w:rsidRPr="0051542D">
        <w:lastRenderedPageBreak/>
        <w:t>środki komunikacji i transportu,</w:t>
      </w:r>
    </w:p>
    <w:p w14:paraId="5BF22CA2" w14:textId="77777777" w:rsidR="00A23DC1" w:rsidRPr="0051542D" w:rsidRDefault="00A23DC1" w:rsidP="00A23DC1">
      <w:pPr>
        <w:numPr>
          <w:ilvl w:val="0"/>
          <w:numId w:val="19"/>
        </w:numPr>
        <w:contextualSpacing/>
        <w:jc w:val="both"/>
      </w:pPr>
      <w:r w:rsidRPr="0051542D">
        <w:t xml:space="preserve">źródła przemysłowe; </w:t>
      </w:r>
    </w:p>
    <w:p w14:paraId="74A71AD1" w14:textId="2955DF79" w:rsidR="00A23DC1" w:rsidRDefault="00A23DC1" w:rsidP="00A23DC1">
      <w:pPr>
        <w:numPr>
          <w:ilvl w:val="0"/>
          <w:numId w:val="19"/>
        </w:numPr>
        <w:contextualSpacing/>
        <w:jc w:val="both"/>
      </w:pPr>
      <w:r w:rsidRPr="0051542D">
        <w:t>źródła naturalne.</w:t>
      </w:r>
    </w:p>
    <w:p w14:paraId="5E6AFCD9" w14:textId="16C2880F" w:rsidR="00310CF6" w:rsidRDefault="00310CF6" w:rsidP="00310CF6">
      <w:pPr>
        <w:contextualSpacing/>
        <w:jc w:val="both"/>
      </w:pPr>
    </w:p>
    <w:p w14:paraId="3FEA5F32" w14:textId="1356F1F9" w:rsidR="0055019D" w:rsidRDefault="0055019D" w:rsidP="0055019D">
      <w:pPr>
        <w:pStyle w:val="Legenda"/>
        <w:rPr>
          <w:sz w:val="22"/>
          <w:szCs w:val="22"/>
          <w:lang w:val="pl-PL"/>
        </w:rPr>
      </w:pPr>
      <w:bookmarkStart w:id="105" w:name="_Toc73516175"/>
      <w:r w:rsidRPr="0055019D">
        <w:rPr>
          <w:sz w:val="22"/>
          <w:szCs w:val="22"/>
          <w:lang w:val="pl-PL"/>
        </w:rPr>
        <w:t xml:space="preserve">Rysunek </w:t>
      </w:r>
      <w:r w:rsidRPr="0055019D">
        <w:rPr>
          <w:sz w:val="22"/>
          <w:szCs w:val="22"/>
        </w:rPr>
        <w:fldChar w:fldCharType="begin"/>
      </w:r>
      <w:r w:rsidRPr="0055019D">
        <w:rPr>
          <w:sz w:val="22"/>
          <w:szCs w:val="22"/>
          <w:lang w:val="pl-PL"/>
        </w:rPr>
        <w:instrText xml:space="preserve"> SEQ Rysunek \* ARABIC </w:instrText>
      </w:r>
      <w:r w:rsidRPr="0055019D">
        <w:rPr>
          <w:sz w:val="22"/>
          <w:szCs w:val="22"/>
        </w:rPr>
        <w:fldChar w:fldCharType="separate"/>
      </w:r>
      <w:r w:rsidR="00AD58C3">
        <w:rPr>
          <w:noProof/>
          <w:sz w:val="22"/>
          <w:szCs w:val="22"/>
          <w:lang w:val="pl-PL"/>
        </w:rPr>
        <w:t>10</w:t>
      </w:r>
      <w:r w:rsidRPr="0055019D">
        <w:rPr>
          <w:sz w:val="22"/>
          <w:szCs w:val="22"/>
        </w:rPr>
        <w:fldChar w:fldCharType="end"/>
      </w:r>
      <w:r w:rsidRPr="0055019D">
        <w:rPr>
          <w:sz w:val="22"/>
          <w:szCs w:val="22"/>
          <w:lang w:val="pl-PL"/>
        </w:rPr>
        <w:t>. Mapa odziaływania hałasu w Olsztynie 20</w:t>
      </w:r>
      <w:r w:rsidR="0037541A">
        <w:rPr>
          <w:sz w:val="22"/>
          <w:szCs w:val="22"/>
          <w:lang w:val="pl-PL"/>
        </w:rPr>
        <w:t>16</w:t>
      </w:r>
      <w:r w:rsidRPr="0055019D">
        <w:rPr>
          <w:sz w:val="22"/>
          <w:szCs w:val="22"/>
          <w:lang w:val="pl-PL"/>
        </w:rPr>
        <w:t xml:space="preserve"> r.</w:t>
      </w:r>
      <w:bookmarkEnd w:id="105"/>
      <w:r w:rsidRPr="0055019D">
        <w:rPr>
          <w:sz w:val="22"/>
          <w:szCs w:val="22"/>
          <w:lang w:val="pl-PL"/>
        </w:rPr>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2"/>
        <w:gridCol w:w="4690"/>
      </w:tblGrid>
      <w:tr w:rsidR="00624157" w14:paraId="54858E95" w14:textId="77777777" w:rsidTr="00155FDE">
        <w:tc>
          <w:tcPr>
            <w:tcW w:w="4382" w:type="dxa"/>
          </w:tcPr>
          <w:p w14:paraId="26C9E572" w14:textId="707DAB89" w:rsidR="00624157" w:rsidRDefault="0037541A" w:rsidP="00624157">
            <w:pPr>
              <w:pStyle w:val="Legenda"/>
              <w:jc w:val="center"/>
              <w:rPr>
                <w:noProof/>
                <w:sz w:val="22"/>
                <w:szCs w:val="22"/>
                <w:lang w:val="pl-PL" w:eastAsia="pl-PL"/>
              </w:rPr>
            </w:pPr>
            <w:r>
              <w:rPr>
                <w:noProof/>
                <w:sz w:val="22"/>
                <w:szCs w:val="22"/>
                <w:lang w:val="pl-PL" w:eastAsia="pl-PL"/>
              </w:rPr>
              <w:t>h</w:t>
            </w:r>
            <w:r w:rsidR="00624157">
              <w:rPr>
                <w:noProof/>
                <w:sz w:val="22"/>
                <w:szCs w:val="22"/>
                <w:lang w:val="pl-PL" w:eastAsia="pl-PL"/>
              </w:rPr>
              <w:t>ałas drogowy</w:t>
            </w:r>
          </w:p>
          <w:p w14:paraId="39735DED" w14:textId="4C7B974A" w:rsidR="00624157" w:rsidRDefault="00624157" w:rsidP="00624157">
            <w:pPr>
              <w:pStyle w:val="Legenda"/>
              <w:jc w:val="center"/>
              <w:rPr>
                <w:sz w:val="22"/>
                <w:szCs w:val="22"/>
                <w:lang w:val="pl-PL"/>
              </w:rPr>
            </w:pPr>
            <w:r w:rsidRPr="00FE48B9">
              <w:rPr>
                <w:noProof/>
                <w:sz w:val="22"/>
                <w:szCs w:val="22"/>
                <w:lang w:val="pl-PL" w:eastAsia="pl-PL"/>
              </w:rPr>
              <w:drawing>
                <wp:inline distT="0" distB="0" distL="0" distR="0" wp14:anchorId="3C67D217" wp14:editId="6769895F">
                  <wp:extent cx="2662256" cy="3174702"/>
                  <wp:effectExtent l="0" t="0" r="5080" b="698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82622" cy="3198988"/>
                          </a:xfrm>
                          <a:prstGeom prst="rect">
                            <a:avLst/>
                          </a:prstGeom>
                          <a:noFill/>
                          <a:ln>
                            <a:noFill/>
                          </a:ln>
                        </pic:spPr>
                      </pic:pic>
                    </a:graphicData>
                  </a:graphic>
                </wp:inline>
              </w:drawing>
            </w:r>
          </w:p>
        </w:tc>
        <w:tc>
          <w:tcPr>
            <w:tcW w:w="4690" w:type="dxa"/>
          </w:tcPr>
          <w:p w14:paraId="20994FC2" w14:textId="1B2F33A8" w:rsidR="00624157" w:rsidRDefault="000158BA" w:rsidP="0037541A">
            <w:pPr>
              <w:pStyle w:val="Legenda"/>
              <w:jc w:val="center"/>
              <w:rPr>
                <w:sz w:val="22"/>
                <w:szCs w:val="22"/>
                <w:lang w:val="pl-PL"/>
              </w:rPr>
            </w:pPr>
            <w:r>
              <w:rPr>
                <w:sz w:val="22"/>
                <w:szCs w:val="22"/>
                <w:lang w:val="pl-PL"/>
              </w:rPr>
              <w:t>h</w:t>
            </w:r>
            <w:r w:rsidR="0037541A">
              <w:rPr>
                <w:sz w:val="22"/>
                <w:szCs w:val="22"/>
                <w:lang w:val="pl-PL"/>
              </w:rPr>
              <w:t>ałas kolejowy</w:t>
            </w:r>
          </w:p>
          <w:p w14:paraId="19E72BBC" w14:textId="05F2C2FE" w:rsidR="0037541A" w:rsidRDefault="0037541A" w:rsidP="0055019D">
            <w:pPr>
              <w:pStyle w:val="Legenda"/>
              <w:rPr>
                <w:sz w:val="22"/>
                <w:szCs w:val="22"/>
                <w:lang w:val="pl-PL"/>
              </w:rPr>
            </w:pPr>
            <w:r w:rsidRPr="00624157">
              <w:rPr>
                <w:noProof/>
                <w:sz w:val="22"/>
                <w:szCs w:val="22"/>
                <w:lang w:val="pl-PL" w:eastAsia="pl-PL"/>
              </w:rPr>
              <w:drawing>
                <wp:inline distT="0" distB="0" distL="0" distR="0" wp14:anchorId="4D2F3C40" wp14:editId="28274303">
                  <wp:extent cx="2864416" cy="3285181"/>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2856" cy="3306329"/>
                          </a:xfrm>
                          <a:prstGeom prst="rect">
                            <a:avLst/>
                          </a:prstGeom>
                          <a:noFill/>
                          <a:ln>
                            <a:noFill/>
                          </a:ln>
                        </pic:spPr>
                      </pic:pic>
                    </a:graphicData>
                  </a:graphic>
                </wp:inline>
              </w:drawing>
            </w:r>
          </w:p>
        </w:tc>
      </w:tr>
      <w:tr w:rsidR="00624157" w14:paraId="44EB8040" w14:textId="77777777" w:rsidTr="00155FDE">
        <w:tc>
          <w:tcPr>
            <w:tcW w:w="4382" w:type="dxa"/>
          </w:tcPr>
          <w:p w14:paraId="7E7F1392" w14:textId="7B6693DA" w:rsidR="00624157" w:rsidRDefault="0037541A" w:rsidP="0037541A">
            <w:pPr>
              <w:pStyle w:val="Legenda"/>
              <w:jc w:val="center"/>
              <w:rPr>
                <w:sz w:val="22"/>
                <w:szCs w:val="22"/>
                <w:lang w:val="pl-PL"/>
              </w:rPr>
            </w:pPr>
            <w:r>
              <w:rPr>
                <w:sz w:val="22"/>
                <w:szCs w:val="22"/>
                <w:lang w:val="pl-PL"/>
              </w:rPr>
              <w:t>h</w:t>
            </w:r>
            <w:r w:rsidR="00624157">
              <w:rPr>
                <w:sz w:val="22"/>
                <w:szCs w:val="22"/>
                <w:lang w:val="pl-PL"/>
              </w:rPr>
              <w:t>ałas tramwajowy</w:t>
            </w:r>
          </w:p>
          <w:p w14:paraId="22BBC851" w14:textId="47507ED0" w:rsidR="00624157" w:rsidRDefault="00624157" w:rsidP="0055019D">
            <w:pPr>
              <w:pStyle w:val="Legenda"/>
              <w:rPr>
                <w:sz w:val="22"/>
                <w:szCs w:val="22"/>
                <w:lang w:val="pl-PL"/>
              </w:rPr>
            </w:pPr>
            <w:r w:rsidRPr="00624157">
              <w:rPr>
                <w:noProof/>
                <w:sz w:val="22"/>
                <w:szCs w:val="22"/>
                <w:lang w:val="pl-PL" w:eastAsia="pl-PL"/>
              </w:rPr>
              <w:drawing>
                <wp:inline distT="0" distB="0" distL="0" distR="0" wp14:anchorId="7701AB59" wp14:editId="559E6090">
                  <wp:extent cx="2584807" cy="2259317"/>
                  <wp:effectExtent l="0" t="0" r="6350" b="825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07420" cy="2279082"/>
                          </a:xfrm>
                          <a:prstGeom prst="rect">
                            <a:avLst/>
                          </a:prstGeom>
                          <a:noFill/>
                          <a:ln>
                            <a:noFill/>
                          </a:ln>
                        </pic:spPr>
                      </pic:pic>
                    </a:graphicData>
                  </a:graphic>
                </wp:inline>
              </w:drawing>
            </w:r>
          </w:p>
        </w:tc>
        <w:tc>
          <w:tcPr>
            <w:tcW w:w="4690" w:type="dxa"/>
          </w:tcPr>
          <w:p w14:paraId="4B25353A" w14:textId="4426A269" w:rsidR="00624157" w:rsidRDefault="000158BA" w:rsidP="0037541A">
            <w:pPr>
              <w:pStyle w:val="Legenda"/>
              <w:jc w:val="center"/>
              <w:rPr>
                <w:sz w:val="22"/>
                <w:szCs w:val="22"/>
                <w:lang w:val="pl-PL"/>
              </w:rPr>
            </w:pPr>
            <w:r>
              <w:rPr>
                <w:sz w:val="22"/>
                <w:szCs w:val="22"/>
                <w:lang w:val="pl-PL"/>
              </w:rPr>
              <w:t>h</w:t>
            </w:r>
            <w:r w:rsidR="0037541A">
              <w:rPr>
                <w:sz w:val="22"/>
                <w:szCs w:val="22"/>
                <w:lang w:val="pl-PL"/>
              </w:rPr>
              <w:t>ałas przemysłowy</w:t>
            </w:r>
          </w:p>
          <w:p w14:paraId="19008B44" w14:textId="1B5979BA" w:rsidR="0037541A" w:rsidRDefault="0037541A" w:rsidP="0055019D">
            <w:pPr>
              <w:pStyle w:val="Legenda"/>
              <w:rPr>
                <w:sz w:val="22"/>
                <w:szCs w:val="22"/>
                <w:lang w:val="pl-PL"/>
              </w:rPr>
            </w:pPr>
            <w:r w:rsidRPr="0037541A">
              <w:rPr>
                <w:noProof/>
                <w:sz w:val="22"/>
                <w:szCs w:val="22"/>
                <w:lang w:val="pl-PL" w:eastAsia="pl-PL"/>
              </w:rPr>
              <w:drawing>
                <wp:inline distT="0" distB="0" distL="0" distR="0" wp14:anchorId="2148CE15" wp14:editId="1D917270">
                  <wp:extent cx="2661924" cy="2405970"/>
                  <wp:effectExtent l="0" t="0" r="508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75507" cy="2418247"/>
                          </a:xfrm>
                          <a:prstGeom prst="rect">
                            <a:avLst/>
                          </a:prstGeom>
                          <a:noFill/>
                          <a:ln>
                            <a:noFill/>
                          </a:ln>
                        </pic:spPr>
                      </pic:pic>
                    </a:graphicData>
                  </a:graphic>
                </wp:inline>
              </w:drawing>
            </w:r>
          </w:p>
        </w:tc>
      </w:tr>
    </w:tbl>
    <w:p w14:paraId="1346F794" w14:textId="5BD75CC6" w:rsidR="00155FDE" w:rsidRDefault="00155FDE" w:rsidP="00155FDE">
      <w:pPr>
        <w:rPr>
          <w:i/>
          <w:sz w:val="20"/>
          <w:szCs w:val="20"/>
        </w:rPr>
      </w:pPr>
      <w:r w:rsidRPr="00155FDE">
        <w:rPr>
          <w:i/>
          <w:noProof/>
          <w:sz w:val="20"/>
          <w:szCs w:val="20"/>
          <w:lang w:eastAsia="pl-PL"/>
        </w:rPr>
        <w:drawing>
          <wp:inline distT="0" distB="0" distL="0" distR="0" wp14:anchorId="14EE04CF" wp14:editId="0F36E8F3">
            <wp:extent cx="4710023" cy="478622"/>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01947" cy="487963"/>
                    </a:xfrm>
                    <a:prstGeom prst="rect">
                      <a:avLst/>
                    </a:prstGeom>
                    <a:noFill/>
                    <a:ln>
                      <a:noFill/>
                    </a:ln>
                  </pic:spPr>
                </pic:pic>
              </a:graphicData>
            </a:graphic>
          </wp:inline>
        </w:drawing>
      </w:r>
    </w:p>
    <w:p w14:paraId="7B47B0F5" w14:textId="3BBBC32B" w:rsidR="0037541A" w:rsidRPr="0055019D" w:rsidRDefault="0037541A" w:rsidP="0037541A">
      <w:pPr>
        <w:jc w:val="center"/>
        <w:rPr>
          <w:i/>
          <w:sz w:val="20"/>
          <w:szCs w:val="20"/>
        </w:rPr>
      </w:pPr>
      <w:r>
        <w:rPr>
          <w:i/>
          <w:sz w:val="20"/>
          <w:szCs w:val="20"/>
        </w:rPr>
        <w:t>ź</w:t>
      </w:r>
      <w:r w:rsidRPr="0055019D">
        <w:rPr>
          <w:i/>
          <w:sz w:val="20"/>
          <w:szCs w:val="20"/>
        </w:rPr>
        <w:t>ródło: https://msipmo.olsztyn.eu/imap/ za</w:t>
      </w:r>
      <w:r>
        <w:rPr>
          <w:i/>
          <w:sz w:val="20"/>
          <w:szCs w:val="20"/>
        </w:rPr>
        <w:t>:</w:t>
      </w:r>
      <w:r w:rsidRPr="0055019D">
        <w:rPr>
          <w:i/>
          <w:sz w:val="20"/>
          <w:szCs w:val="20"/>
        </w:rPr>
        <w:t xml:space="preserve"> Program Ochrony Środowiska dla Miasta Olsztyna do roku 202</w:t>
      </w:r>
      <w:r>
        <w:rPr>
          <w:i/>
          <w:sz w:val="20"/>
          <w:szCs w:val="20"/>
        </w:rPr>
        <w:t>4 roku z uwzględnieniem perspektywy do roku 2030, dostęp 09.11.2020 r.</w:t>
      </w:r>
      <w:r w:rsidR="00155FDE">
        <w:rPr>
          <w:i/>
          <w:sz w:val="20"/>
          <w:szCs w:val="20"/>
        </w:rPr>
        <w:t>, s. 63, 65-67</w:t>
      </w:r>
    </w:p>
    <w:p w14:paraId="1BE0F319" w14:textId="77777777" w:rsidR="00CC1906" w:rsidRDefault="00CC1906">
      <w:pPr>
        <w:rPr>
          <w:i/>
          <w:color w:val="2E74B5" w:themeColor="accent1" w:themeShade="BF"/>
        </w:rPr>
      </w:pPr>
      <w:bookmarkStart w:id="106" w:name="_Toc44656701"/>
      <w:bookmarkStart w:id="107" w:name="_Toc45279344"/>
      <w:r>
        <w:rPr>
          <w:i/>
          <w:color w:val="2E74B5" w:themeColor="accent1" w:themeShade="BF"/>
        </w:rPr>
        <w:br w:type="page"/>
      </w:r>
    </w:p>
    <w:p w14:paraId="656769A7" w14:textId="3508563B" w:rsidR="00A23DC1" w:rsidRPr="00DB295B" w:rsidRDefault="00A23DC1" w:rsidP="00DB295B">
      <w:pPr>
        <w:rPr>
          <w:i/>
          <w:color w:val="2E74B5" w:themeColor="accent1" w:themeShade="BF"/>
        </w:rPr>
      </w:pPr>
      <w:r w:rsidRPr="00DB295B">
        <w:rPr>
          <w:i/>
          <w:color w:val="2E74B5" w:themeColor="accent1" w:themeShade="BF"/>
        </w:rPr>
        <w:lastRenderedPageBreak/>
        <w:t>Hałas komunikacyjny</w:t>
      </w:r>
      <w:bookmarkEnd w:id="106"/>
      <w:bookmarkEnd w:id="107"/>
    </w:p>
    <w:p w14:paraId="4B4D1DDC" w14:textId="73528062" w:rsidR="00A23DC1" w:rsidRPr="0051542D" w:rsidRDefault="00A23DC1" w:rsidP="00A23DC1">
      <w:pPr>
        <w:jc w:val="both"/>
      </w:pPr>
      <w:r w:rsidRPr="0051542D">
        <w:t>Dostępna dokumentacja strategiczna w zakresie ochrony przed hałasem</w:t>
      </w:r>
      <w:r w:rsidR="000C3757">
        <w:t>,</w:t>
      </w:r>
      <w:r w:rsidRPr="0051542D">
        <w:t xml:space="preserve"> tj.</w:t>
      </w:r>
    </w:p>
    <w:p w14:paraId="687F53DE" w14:textId="77777777" w:rsidR="00A23DC1" w:rsidRPr="0051542D" w:rsidRDefault="00A23DC1" w:rsidP="00A23DC1">
      <w:pPr>
        <w:numPr>
          <w:ilvl w:val="0"/>
          <w:numId w:val="19"/>
        </w:numPr>
        <w:contextualSpacing/>
        <w:jc w:val="both"/>
      </w:pPr>
      <w:r w:rsidRPr="0051542D">
        <w:t>Program ochrony środowiska przed hałasem dla województwa warmińsko-mazurskiego,</w:t>
      </w:r>
    </w:p>
    <w:p w14:paraId="77C14868" w14:textId="77777777" w:rsidR="00A23DC1" w:rsidRPr="0051542D" w:rsidRDefault="00A23DC1" w:rsidP="00A23DC1">
      <w:pPr>
        <w:numPr>
          <w:ilvl w:val="0"/>
          <w:numId w:val="19"/>
        </w:numPr>
        <w:contextualSpacing/>
        <w:jc w:val="both"/>
      </w:pPr>
      <w:r w:rsidRPr="0051542D">
        <w:t>Program ochrony środowiska przed hałasem dla miasta Olsztyna,</w:t>
      </w:r>
    </w:p>
    <w:p w14:paraId="4D03B90A" w14:textId="77777777" w:rsidR="00A23DC1" w:rsidRPr="0051542D" w:rsidRDefault="00A23DC1" w:rsidP="00A23DC1">
      <w:pPr>
        <w:numPr>
          <w:ilvl w:val="0"/>
          <w:numId w:val="19"/>
        </w:numPr>
        <w:contextualSpacing/>
        <w:jc w:val="both"/>
      </w:pPr>
      <w:r w:rsidRPr="0051542D">
        <w:t>Gminne programy ochrony środowiska – dla wszystkich gmin obszaru MOF,</w:t>
      </w:r>
    </w:p>
    <w:p w14:paraId="22DE86D5" w14:textId="77777777" w:rsidR="00A23DC1" w:rsidRDefault="00A23DC1" w:rsidP="00A23DC1">
      <w:pPr>
        <w:jc w:val="both"/>
      </w:pPr>
      <w:r w:rsidRPr="0051542D">
        <w:t>wskazuje, że największym źródłem hałasu jest hałas komunikacyjny.</w:t>
      </w:r>
    </w:p>
    <w:p w14:paraId="3EFA8E08" w14:textId="16EA5973" w:rsidR="0035500B" w:rsidRPr="00206773" w:rsidRDefault="00A23DC1" w:rsidP="00206773">
      <w:pPr>
        <w:autoSpaceDE w:val="0"/>
        <w:autoSpaceDN w:val="0"/>
        <w:adjustRightInd w:val="0"/>
        <w:spacing w:after="0" w:line="240" w:lineRule="auto"/>
        <w:jc w:val="both"/>
        <w:rPr>
          <w:rFonts w:ascii="Times New Roman" w:hAnsi="Times New Roman" w:cs="Times New Roman"/>
          <w:color w:val="000000"/>
          <w:sz w:val="23"/>
          <w:szCs w:val="23"/>
        </w:rPr>
      </w:pPr>
      <w:r w:rsidRPr="0051542D">
        <w:t>Mapy akustyczne, obrazuj</w:t>
      </w:r>
      <w:r w:rsidRPr="0051542D">
        <w:rPr>
          <w:rFonts w:hint="eastAsia"/>
        </w:rPr>
        <w:t>ą</w:t>
      </w:r>
      <w:r w:rsidRPr="0051542D">
        <w:t xml:space="preserve"> zagro</w:t>
      </w:r>
      <w:r w:rsidRPr="0051542D">
        <w:rPr>
          <w:rFonts w:hint="eastAsia"/>
        </w:rPr>
        <w:t>ż</w:t>
      </w:r>
      <w:r w:rsidRPr="0051542D">
        <w:t xml:space="preserve">enie </w:t>
      </w:r>
      <w:r w:rsidRPr="0051542D">
        <w:rPr>
          <w:rFonts w:hint="eastAsia"/>
        </w:rPr>
        <w:t>ś</w:t>
      </w:r>
      <w:r w:rsidRPr="0051542D">
        <w:t>rodowiska ha</w:t>
      </w:r>
      <w:r w:rsidRPr="0051542D">
        <w:rPr>
          <w:rFonts w:hint="eastAsia"/>
        </w:rPr>
        <w:t>ł</w:t>
      </w:r>
      <w:r w:rsidRPr="0051542D">
        <w:t>asem, wykorzystuj</w:t>
      </w:r>
      <w:r w:rsidRPr="0051542D">
        <w:rPr>
          <w:rFonts w:hint="eastAsia"/>
        </w:rPr>
        <w:t>ą</w:t>
      </w:r>
      <w:r w:rsidRPr="0051542D">
        <w:t>c dla oceny dokuczliwo</w:t>
      </w:r>
      <w:r w:rsidRPr="0051542D">
        <w:rPr>
          <w:rFonts w:hint="eastAsia"/>
        </w:rPr>
        <w:t>ś</w:t>
      </w:r>
      <w:r w:rsidR="00206773">
        <w:t>ci  h</w:t>
      </w:r>
      <w:r w:rsidRPr="0051542D">
        <w:t>a</w:t>
      </w:r>
      <w:r w:rsidRPr="0051542D">
        <w:rPr>
          <w:rFonts w:hint="eastAsia"/>
        </w:rPr>
        <w:t>ł</w:t>
      </w:r>
      <w:r w:rsidRPr="0051542D">
        <w:t>asu wska</w:t>
      </w:r>
      <w:r w:rsidRPr="0051542D">
        <w:rPr>
          <w:rFonts w:hint="eastAsia"/>
        </w:rPr>
        <w:t>ź</w:t>
      </w:r>
      <w:r w:rsidRPr="0051542D">
        <w:t xml:space="preserve">nik </w:t>
      </w:r>
      <w:r w:rsidRPr="0051542D">
        <w:rPr>
          <w:b/>
        </w:rPr>
        <w:t>LDWN</w:t>
      </w:r>
      <w:r w:rsidRPr="0051542D">
        <w:t xml:space="preserve"> oraz dla oceny zak</w:t>
      </w:r>
      <w:r w:rsidRPr="0051542D">
        <w:rPr>
          <w:rFonts w:hint="eastAsia"/>
        </w:rPr>
        <w:t>ł</w:t>
      </w:r>
      <w:r w:rsidRPr="0051542D">
        <w:t>ócenia snu wska</w:t>
      </w:r>
      <w:r w:rsidRPr="0051542D">
        <w:rPr>
          <w:rFonts w:hint="eastAsia"/>
        </w:rPr>
        <w:t>ź</w:t>
      </w:r>
      <w:r w:rsidRPr="0051542D">
        <w:t xml:space="preserve">nik </w:t>
      </w:r>
      <w:r w:rsidRPr="0051542D">
        <w:rPr>
          <w:b/>
        </w:rPr>
        <w:t>LN</w:t>
      </w:r>
      <w:r w:rsidRPr="0051542D">
        <w:t>. Jednym z efektów opracowanych</w:t>
      </w:r>
      <w:r w:rsidR="00206773">
        <w:rPr>
          <w:rFonts w:ascii="Times New Roman" w:hAnsi="Times New Roman" w:cs="Times New Roman"/>
          <w:color w:val="000000"/>
          <w:sz w:val="23"/>
          <w:szCs w:val="23"/>
        </w:rPr>
        <w:br/>
      </w:r>
      <w:r w:rsidRPr="0051542D">
        <w:t>w wersji cyfrowej strategicznych map akustycznych s</w:t>
      </w:r>
      <w:r w:rsidRPr="0051542D">
        <w:rPr>
          <w:rFonts w:hint="eastAsia"/>
        </w:rPr>
        <w:t>ą</w:t>
      </w:r>
      <w:r w:rsidRPr="0051542D">
        <w:t xml:space="preserve"> tzw. mapy terenów zagro</w:t>
      </w:r>
      <w:r w:rsidRPr="0051542D">
        <w:rPr>
          <w:rFonts w:hint="eastAsia"/>
        </w:rPr>
        <w:t>ż</w:t>
      </w:r>
      <w:r w:rsidRPr="0051542D">
        <w:t>onych ha</w:t>
      </w:r>
      <w:r w:rsidRPr="0051542D">
        <w:rPr>
          <w:rFonts w:hint="eastAsia"/>
        </w:rPr>
        <w:t>ł</w:t>
      </w:r>
      <w:r w:rsidRPr="0051542D">
        <w:t>asem, na których zosta</w:t>
      </w:r>
      <w:r w:rsidRPr="0051542D">
        <w:rPr>
          <w:rFonts w:hint="eastAsia"/>
        </w:rPr>
        <w:t>ł</w:t>
      </w:r>
      <w:r w:rsidRPr="0051542D">
        <w:t>y przekroczone poziomy dopuszczalne okre</w:t>
      </w:r>
      <w:r w:rsidRPr="0051542D">
        <w:rPr>
          <w:rFonts w:hint="eastAsia"/>
        </w:rPr>
        <w:t>ś</w:t>
      </w:r>
      <w:r w:rsidRPr="0051542D">
        <w:t>lone dla wska</w:t>
      </w:r>
      <w:r w:rsidRPr="0051542D">
        <w:rPr>
          <w:rFonts w:hint="eastAsia"/>
        </w:rPr>
        <w:t>ź</w:t>
      </w:r>
      <w:r w:rsidRPr="0051542D">
        <w:t>ników d</w:t>
      </w:r>
      <w:r w:rsidRPr="0051542D">
        <w:rPr>
          <w:rFonts w:hint="eastAsia"/>
        </w:rPr>
        <w:t>ł</w:t>
      </w:r>
      <w:r w:rsidRPr="0051542D">
        <w:t xml:space="preserve">ugookresowych </w:t>
      </w:r>
      <w:r w:rsidRPr="0051542D">
        <w:rPr>
          <w:b/>
        </w:rPr>
        <w:t>LDWN i LN</w:t>
      </w:r>
      <w:r w:rsidRPr="0051542D">
        <w:t>.</w:t>
      </w:r>
    </w:p>
    <w:p w14:paraId="2D279748" w14:textId="58A45FBE" w:rsidR="00A23DC1" w:rsidRPr="0051542D" w:rsidRDefault="00227441" w:rsidP="00227441">
      <w:pPr>
        <w:pStyle w:val="Legenda"/>
      </w:pPr>
      <w:bookmarkStart w:id="108" w:name="_Toc73534977"/>
      <w:r w:rsidRPr="00227441">
        <w:rPr>
          <w:sz w:val="22"/>
          <w:szCs w:val="22"/>
        </w:rPr>
        <w:t xml:space="preserve">Tabela </w:t>
      </w:r>
      <w:r w:rsidRPr="00227441">
        <w:rPr>
          <w:sz w:val="22"/>
          <w:szCs w:val="22"/>
        </w:rPr>
        <w:fldChar w:fldCharType="begin"/>
      </w:r>
      <w:r w:rsidRPr="00227441">
        <w:rPr>
          <w:sz w:val="22"/>
          <w:szCs w:val="22"/>
        </w:rPr>
        <w:instrText xml:space="preserve"> SEQ Tabela \* ARABIC </w:instrText>
      </w:r>
      <w:r w:rsidRPr="00227441">
        <w:rPr>
          <w:sz w:val="22"/>
          <w:szCs w:val="22"/>
        </w:rPr>
        <w:fldChar w:fldCharType="separate"/>
      </w:r>
      <w:r w:rsidR="00AD58C3">
        <w:rPr>
          <w:noProof/>
          <w:sz w:val="22"/>
          <w:szCs w:val="22"/>
        </w:rPr>
        <w:t>14</w:t>
      </w:r>
      <w:r w:rsidRPr="00227441">
        <w:rPr>
          <w:sz w:val="22"/>
          <w:szCs w:val="22"/>
        </w:rPr>
        <w:fldChar w:fldCharType="end"/>
      </w:r>
      <w:r w:rsidRPr="00227441">
        <w:rPr>
          <w:sz w:val="22"/>
          <w:szCs w:val="22"/>
        </w:rPr>
        <w:t xml:space="preserve">. </w:t>
      </w:r>
      <w:r w:rsidR="00A23DC1" w:rsidRPr="00227441">
        <w:rPr>
          <w:bCs/>
          <w:sz w:val="22"/>
          <w:szCs w:val="22"/>
        </w:rPr>
        <w:t>Naruszenia dopuszczalnych poziomów ha</w:t>
      </w:r>
      <w:r w:rsidR="00A23DC1" w:rsidRPr="00227441">
        <w:rPr>
          <w:rFonts w:hint="eastAsia"/>
          <w:bCs/>
          <w:sz w:val="22"/>
          <w:szCs w:val="22"/>
        </w:rPr>
        <w:t>ł</w:t>
      </w:r>
      <w:r w:rsidR="00A23DC1" w:rsidRPr="00227441">
        <w:rPr>
          <w:bCs/>
          <w:sz w:val="22"/>
          <w:szCs w:val="22"/>
        </w:rPr>
        <w:t xml:space="preserve">asu </w:t>
      </w:r>
      <w:r w:rsidR="00A23DC1" w:rsidRPr="00227441">
        <w:rPr>
          <w:rFonts w:hint="eastAsia"/>
          <w:bCs/>
          <w:sz w:val="22"/>
          <w:szCs w:val="22"/>
        </w:rPr>
        <w:t>–</w:t>
      </w:r>
      <w:r w:rsidR="00A23DC1" w:rsidRPr="00227441">
        <w:rPr>
          <w:bCs/>
          <w:sz w:val="22"/>
          <w:szCs w:val="22"/>
        </w:rPr>
        <w:t xml:space="preserve"> ha</w:t>
      </w:r>
      <w:r w:rsidR="00A23DC1" w:rsidRPr="00227441">
        <w:rPr>
          <w:rFonts w:hint="eastAsia"/>
          <w:bCs/>
          <w:sz w:val="22"/>
          <w:szCs w:val="22"/>
        </w:rPr>
        <w:t>ł</w:t>
      </w:r>
      <w:r w:rsidR="00A23DC1" w:rsidRPr="00227441">
        <w:rPr>
          <w:bCs/>
          <w:sz w:val="22"/>
          <w:szCs w:val="22"/>
        </w:rPr>
        <w:t>as drogowy – m. Olsztyn</w:t>
      </w:r>
      <w:r w:rsidR="00A23DC1" w:rsidRPr="0051542D">
        <w:rPr>
          <w:b/>
          <w:bCs/>
          <w:vertAlign w:val="superscript"/>
        </w:rPr>
        <w:footnoteReference w:id="33"/>
      </w:r>
      <w:bookmarkEnd w:id="108"/>
    </w:p>
    <w:tbl>
      <w:tblPr>
        <w:tblStyle w:val="Tabela-Siatka1"/>
        <w:tblW w:w="9472" w:type="dxa"/>
        <w:tblLook w:val="04A0" w:firstRow="1" w:lastRow="0" w:firstColumn="1" w:lastColumn="0" w:noHBand="0" w:noVBand="1"/>
      </w:tblPr>
      <w:tblGrid>
        <w:gridCol w:w="1595"/>
        <w:gridCol w:w="3220"/>
        <w:gridCol w:w="1164"/>
        <w:gridCol w:w="1164"/>
        <w:gridCol w:w="1164"/>
        <w:gridCol w:w="1165"/>
      </w:tblGrid>
      <w:tr w:rsidR="00EF7DFE" w:rsidRPr="00EF7DFE" w14:paraId="1E45E725" w14:textId="77777777" w:rsidTr="00EF7DFE">
        <w:tc>
          <w:tcPr>
            <w:tcW w:w="1595" w:type="dxa"/>
            <w:vMerge w:val="restart"/>
            <w:shd w:val="clear" w:color="auto" w:fill="92D050"/>
            <w:vAlign w:val="center"/>
          </w:tcPr>
          <w:p w14:paraId="62E37ED8" w14:textId="77777777" w:rsidR="00A23DC1" w:rsidRPr="00EF7DFE" w:rsidRDefault="00A23DC1" w:rsidP="00EF7DFE">
            <w:pPr>
              <w:jc w:val="center"/>
              <w:rPr>
                <w:b/>
                <w:color w:val="000000" w:themeColor="text1"/>
              </w:rPr>
            </w:pPr>
            <w:r w:rsidRPr="00EF7DFE">
              <w:rPr>
                <w:b/>
                <w:color w:val="000000" w:themeColor="text1"/>
              </w:rPr>
              <w:t>Ulica</w:t>
            </w:r>
          </w:p>
        </w:tc>
        <w:tc>
          <w:tcPr>
            <w:tcW w:w="3220" w:type="dxa"/>
            <w:vMerge w:val="restart"/>
            <w:shd w:val="clear" w:color="auto" w:fill="92D050"/>
            <w:vAlign w:val="center"/>
          </w:tcPr>
          <w:p w14:paraId="4C860E91" w14:textId="77777777" w:rsidR="00A23DC1" w:rsidRPr="00EF7DFE" w:rsidRDefault="00A23DC1" w:rsidP="00EF7DFE">
            <w:pPr>
              <w:jc w:val="center"/>
              <w:rPr>
                <w:b/>
                <w:color w:val="000000" w:themeColor="text1"/>
              </w:rPr>
            </w:pPr>
            <w:r w:rsidRPr="00EF7DFE">
              <w:rPr>
                <w:b/>
                <w:color w:val="000000" w:themeColor="text1"/>
              </w:rPr>
              <w:t>Opis odcinka</w:t>
            </w:r>
          </w:p>
        </w:tc>
        <w:tc>
          <w:tcPr>
            <w:tcW w:w="2328" w:type="dxa"/>
            <w:gridSpan w:val="2"/>
            <w:shd w:val="clear" w:color="auto" w:fill="92D050"/>
            <w:vAlign w:val="center"/>
          </w:tcPr>
          <w:p w14:paraId="4DE9B24F" w14:textId="77777777" w:rsidR="00A23DC1" w:rsidRPr="00EF7DFE" w:rsidRDefault="00A23DC1" w:rsidP="00A23DC1">
            <w:pPr>
              <w:jc w:val="both"/>
              <w:rPr>
                <w:b/>
                <w:color w:val="000000" w:themeColor="text1"/>
              </w:rPr>
            </w:pPr>
            <w:r w:rsidRPr="00EF7DFE">
              <w:rPr>
                <w:b/>
                <w:color w:val="000000" w:themeColor="text1"/>
              </w:rPr>
              <w:t>Zakres przekroczeń wg. mapy akustycznej [db]</w:t>
            </w:r>
          </w:p>
        </w:tc>
        <w:tc>
          <w:tcPr>
            <w:tcW w:w="2329" w:type="dxa"/>
            <w:gridSpan w:val="2"/>
            <w:shd w:val="clear" w:color="auto" w:fill="92D050"/>
            <w:vAlign w:val="center"/>
          </w:tcPr>
          <w:p w14:paraId="196A4E2E" w14:textId="77777777" w:rsidR="00A23DC1" w:rsidRPr="00EF7DFE" w:rsidRDefault="00A23DC1" w:rsidP="0035500B">
            <w:pPr>
              <w:jc w:val="center"/>
              <w:rPr>
                <w:b/>
                <w:color w:val="000000" w:themeColor="text1"/>
              </w:rPr>
            </w:pPr>
            <w:r w:rsidRPr="00EF7DFE">
              <w:rPr>
                <w:b/>
                <w:color w:val="000000" w:themeColor="text1"/>
              </w:rPr>
              <w:t>Zakres wartości wskaźnika M</w:t>
            </w:r>
          </w:p>
        </w:tc>
      </w:tr>
      <w:tr w:rsidR="00EF7DFE" w:rsidRPr="00EF7DFE" w14:paraId="69617C51" w14:textId="77777777" w:rsidTr="00EF7DFE">
        <w:tc>
          <w:tcPr>
            <w:tcW w:w="1595" w:type="dxa"/>
            <w:vMerge/>
            <w:shd w:val="clear" w:color="auto" w:fill="92D050"/>
            <w:vAlign w:val="center"/>
          </w:tcPr>
          <w:p w14:paraId="7AC14543" w14:textId="77777777" w:rsidR="00A23DC1" w:rsidRPr="00EF7DFE" w:rsidRDefault="00A23DC1" w:rsidP="00A23DC1">
            <w:pPr>
              <w:jc w:val="both"/>
              <w:rPr>
                <w:b/>
                <w:color w:val="000000" w:themeColor="text1"/>
              </w:rPr>
            </w:pPr>
          </w:p>
        </w:tc>
        <w:tc>
          <w:tcPr>
            <w:tcW w:w="3220" w:type="dxa"/>
            <w:vMerge/>
            <w:shd w:val="clear" w:color="auto" w:fill="92D050"/>
            <w:vAlign w:val="center"/>
          </w:tcPr>
          <w:p w14:paraId="638B1ED6" w14:textId="77777777" w:rsidR="00A23DC1" w:rsidRPr="00EF7DFE" w:rsidRDefault="00A23DC1" w:rsidP="00A23DC1">
            <w:pPr>
              <w:rPr>
                <w:b/>
                <w:color w:val="000000" w:themeColor="text1"/>
              </w:rPr>
            </w:pPr>
          </w:p>
        </w:tc>
        <w:tc>
          <w:tcPr>
            <w:tcW w:w="1164" w:type="dxa"/>
            <w:shd w:val="clear" w:color="auto" w:fill="92D050"/>
            <w:vAlign w:val="center"/>
          </w:tcPr>
          <w:p w14:paraId="6B2AEF8D" w14:textId="77777777" w:rsidR="00A23DC1" w:rsidRPr="00EF7DFE" w:rsidRDefault="00A23DC1" w:rsidP="00EF7DFE">
            <w:pPr>
              <w:jc w:val="center"/>
              <w:rPr>
                <w:b/>
                <w:color w:val="000000" w:themeColor="text1"/>
              </w:rPr>
            </w:pPr>
            <w:r w:rsidRPr="00EF7DFE">
              <w:rPr>
                <w:b/>
                <w:color w:val="000000" w:themeColor="text1"/>
              </w:rPr>
              <w:t>Wskaźnik</w:t>
            </w:r>
          </w:p>
          <w:p w14:paraId="6934DF11" w14:textId="77777777" w:rsidR="00A23DC1" w:rsidRPr="00EF7DFE" w:rsidRDefault="00A23DC1" w:rsidP="00EF7DFE">
            <w:pPr>
              <w:jc w:val="center"/>
              <w:rPr>
                <w:b/>
                <w:color w:val="000000" w:themeColor="text1"/>
              </w:rPr>
            </w:pPr>
            <w:r w:rsidRPr="00EF7DFE">
              <w:rPr>
                <w:b/>
                <w:color w:val="000000" w:themeColor="text1"/>
              </w:rPr>
              <w:t>LDWN</w:t>
            </w:r>
          </w:p>
        </w:tc>
        <w:tc>
          <w:tcPr>
            <w:tcW w:w="1164" w:type="dxa"/>
            <w:shd w:val="clear" w:color="auto" w:fill="92D050"/>
            <w:vAlign w:val="center"/>
          </w:tcPr>
          <w:p w14:paraId="2C5E9047" w14:textId="77777777" w:rsidR="00A23DC1" w:rsidRPr="00EF7DFE" w:rsidRDefault="00A23DC1" w:rsidP="00EF7DFE">
            <w:pPr>
              <w:jc w:val="center"/>
              <w:rPr>
                <w:b/>
                <w:color w:val="000000" w:themeColor="text1"/>
              </w:rPr>
            </w:pPr>
            <w:r w:rsidRPr="00EF7DFE">
              <w:rPr>
                <w:b/>
                <w:color w:val="000000" w:themeColor="text1"/>
              </w:rPr>
              <w:t>Wskaźnik</w:t>
            </w:r>
          </w:p>
          <w:p w14:paraId="42D1CC5C" w14:textId="77777777" w:rsidR="00A23DC1" w:rsidRPr="00EF7DFE" w:rsidRDefault="00A23DC1" w:rsidP="00EF7DFE">
            <w:pPr>
              <w:jc w:val="center"/>
              <w:rPr>
                <w:b/>
                <w:color w:val="000000" w:themeColor="text1"/>
              </w:rPr>
            </w:pPr>
            <w:r w:rsidRPr="00EF7DFE">
              <w:rPr>
                <w:b/>
                <w:color w:val="000000" w:themeColor="text1"/>
              </w:rPr>
              <w:t>LN</w:t>
            </w:r>
          </w:p>
        </w:tc>
        <w:tc>
          <w:tcPr>
            <w:tcW w:w="1164" w:type="dxa"/>
            <w:shd w:val="clear" w:color="auto" w:fill="92D050"/>
            <w:vAlign w:val="center"/>
          </w:tcPr>
          <w:p w14:paraId="0599B3BA" w14:textId="77777777" w:rsidR="00A23DC1" w:rsidRPr="00EF7DFE" w:rsidRDefault="00A23DC1" w:rsidP="00EF7DFE">
            <w:pPr>
              <w:jc w:val="center"/>
              <w:rPr>
                <w:b/>
                <w:color w:val="000000" w:themeColor="text1"/>
              </w:rPr>
            </w:pPr>
            <w:r w:rsidRPr="00EF7DFE">
              <w:rPr>
                <w:b/>
                <w:color w:val="000000" w:themeColor="text1"/>
              </w:rPr>
              <w:t>Wskaźnik LDWN</w:t>
            </w:r>
          </w:p>
        </w:tc>
        <w:tc>
          <w:tcPr>
            <w:tcW w:w="1165" w:type="dxa"/>
            <w:shd w:val="clear" w:color="auto" w:fill="92D050"/>
            <w:vAlign w:val="center"/>
          </w:tcPr>
          <w:p w14:paraId="749092ED" w14:textId="77777777" w:rsidR="00A23DC1" w:rsidRPr="00EF7DFE" w:rsidRDefault="00A23DC1" w:rsidP="00EF7DFE">
            <w:pPr>
              <w:jc w:val="center"/>
              <w:rPr>
                <w:b/>
                <w:color w:val="000000" w:themeColor="text1"/>
              </w:rPr>
            </w:pPr>
            <w:r w:rsidRPr="00EF7DFE">
              <w:rPr>
                <w:b/>
                <w:color w:val="000000" w:themeColor="text1"/>
              </w:rPr>
              <w:t>Wskaźnik LN</w:t>
            </w:r>
          </w:p>
        </w:tc>
      </w:tr>
      <w:tr w:rsidR="00A23DC1" w:rsidRPr="0051542D" w14:paraId="31BD3F7C" w14:textId="77777777" w:rsidTr="00EF7DFE">
        <w:tc>
          <w:tcPr>
            <w:tcW w:w="1595" w:type="dxa"/>
          </w:tcPr>
          <w:p w14:paraId="5BEB10C2" w14:textId="77777777" w:rsidR="00A23DC1" w:rsidRPr="00B77310" w:rsidRDefault="00A23DC1" w:rsidP="00A23DC1">
            <w:pPr>
              <w:jc w:val="both"/>
              <w:rPr>
                <w:sz w:val="20"/>
                <w:szCs w:val="20"/>
              </w:rPr>
            </w:pPr>
            <w:r w:rsidRPr="00B77310">
              <w:rPr>
                <w:sz w:val="20"/>
                <w:szCs w:val="20"/>
              </w:rPr>
              <w:t>Sielska</w:t>
            </w:r>
          </w:p>
        </w:tc>
        <w:tc>
          <w:tcPr>
            <w:tcW w:w="3220" w:type="dxa"/>
          </w:tcPr>
          <w:p w14:paraId="63EEBA71" w14:textId="77777777" w:rsidR="00A23DC1" w:rsidRPr="00B77310" w:rsidRDefault="00A23DC1" w:rsidP="00A23DC1">
            <w:pPr>
              <w:rPr>
                <w:sz w:val="20"/>
                <w:szCs w:val="20"/>
              </w:rPr>
            </w:pPr>
            <w:r w:rsidRPr="00B77310">
              <w:rPr>
                <w:sz w:val="20"/>
                <w:szCs w:val="20"/>
              </w:rPr>
              <w:t>Na wysokości stacji Shell</w:t>
            </w:r>
          </w:p>
        </w:tc>
        <w:tc>
          <w:tcPr>
            <w:tcW w:w="1164" w:type="dxa"/>
          </w:tcPr>
          <w:p w14:paraId="58736454" w14:textId="77777777" w:rsidR="00A23DC1" w:rsidRPr="00B77310" w:rsidRDefault="00A23DC1" w:rsidP="00A23DC1">
            <w:pPr>
              <w:jc w:val="both"/>
              <w:rPr>
                <w:sz w:val="20"/>
                <w:szCs w:val="20"/>
              </w:rPr>
            </w:pPr>
            <w:r w:rsidRPr="00B77310">
              <w:rPr>
                <w:sz w:val="20"/>
                <w:szCs w:val="20"/>
              </w:rPr>
              <w:t>0-5*</w:t>
            </w:r>
          </w:p>
        </w:tc>
        <w:tc>
          <w:tcPr>
            <w:tcW w:w="1164" w:type="dxa"/>
          </w:tcPr>
          <w:p w14:paraId="5DDCDE34" w14:textId="77777777" w:rsidR="00A23DC1" w:rsidRPr="00B77310" w:rsidRDefault="00A23DC1" w:rsidP="00A23DC1">
            <w:pPr>
              <w:jc w:val="both"/>
              <w:rPr>
                <w:sz w:val="20"/>
                <w:szCs w:val="20"/>
              </w:rPr>
            </w:pPr>
            <w:r w:rsidRPr="00B77310">
              <w:rPr>
                <w:sz w:val="20"/>
                <w:szCs w:val="20"/>
              </w:rPr>
              <w:t>-</w:t>
            </w:r>
          </w:p>
        </w:tc>
        <w:tc>
          <w:tcPr>
            <w:tcW w:w="1164" w:type="dxa"/>
          </w:tcPr>
          <w:p w14:paraId="7D455C1C" w14:textId="77777777" w:rsidR="00A23DC1" w:rsidRPr="00B77310" w:rsidRDefault="00A23DC1" w:rsidP="00A23DC1">
            <w:pPr>
              <w:jc w:val="both"/>
              <w:rPr>
                <w:sz w:val="20"/>
                <w:szCs w:val="20"/>
              </w:rPr>
            </w:pPr>
            <w:r w:rsidRPr="00B77310">
              <w:rPr>
                <w:sz w:val="20"/>
                <w:szCs w:val="20"/>
              </w:rPr>
              <w:t>-</w:t>
            </w:r>
          </w:p>
        </w:tc>
        <w:tc>
          <w:tcPr>
            <w:tcW w:w="1165" w:type="dxa"/>
          </w:tcPr>
          <w:p w14:paraId="68EB9B9A" w14:textId="77777777" w:rsidR="00A23DC1" w:rsidRPr="00B77310" w:rsidRDefault="00A23DC1" w:rsidP="00A23DC1">
            <w:pPr>
              <w:jc w:val="both"/>
              <w:rPr>
                <w:sz w:val="20"/>
                <w:szCs w:val="20"/>
              </w:rPr>
            </w:pPr>
            <w:r w:rsidRPr="00B77310">
              <w:rPr>
                <w:sz w:val="20"/>
                <w:szCs w:val="20"/>
              </w:rPr>
              <w:t>-</w:t>
            </w:r>
          </w:p>
        </w:tc>
      </w:tr>
      <w:tr w:rsidR="00A23DC1" w:rsidRPr="0051542D" w14:paraId="77EC821F" w14:textId="77777777" w:rsidTr="00EF7DFE">
        <w:tc>
          <w:tcPr>
            <w:tcW w:w="1595" w:type="dxa"/>
          </w:tcPr>
          <w:p w14:paraId="44393809" w14:textId="77777777" w:rsidR="00A23DC1" w:rsidRPr="00B77310" w:rsidRDefault="00A23DC1" w:rsidP="00A23DC1">
            <w:pPr>
              <w:jc w:val="both"/>
              <w:rPr>
                <w:sz w:val="20"/>
                <w:szCs w:val="20"/>
              </w:rPr>
            </w:pPr>
            <w:r w:rsidRPr="00B77310">
              <w:rPr>
                <w:sz w:val="20"/>
                <w:szCs w:val="20"/>
              </w:rPr>
              <w:t>Sielska</w:t>
            </w:r>
          </w:p>
        </w:tc>
        <w:tc>
          <w:tcPr>
            <w:tcW w:w="3220" w:type="dxa"/>
          </w:tcPr>
          <w:p w14:paraId="62278FC1" w14:textId="77777777" w:rsidR="00A23DC1" w:rsidRPr="00B77310" w:rsidRDefault="00A23DC1" w:rsidP="00A23DC1">
            <w:pPr>
              <w:rPr>
                <w:sz w:val="20"/>
                <w:szCs w:val="20"/>
              </w:rPr>
            </w:pPr>
            <w:r w:rsidRPr="00B77310">
              <w:rPr>
                <w:sz w:val="20"/>
                <w:szCs w:val="20"/>
              </w:rPr>
              <w:t>Od Biedronki do Hotelu Omega</w:t>
            </w:r>
          </w:p>
        </w:tc>
        <w:tc>
          <w:tcPr>
            <w:tcW w:w="1164" w:type="dxa"/>
          </w:tcPr>
          <w:p w14:paraId="22C2BAD4" w14:textId="77777777" w:rsidR="00A23DC1" w:rsidRPr="00B77310" w:rsidRDefault="00A23DC1" w:rsidP="00A23DC1">
            <w:pPr>
              <w:jc w:val="both"/>
              <w:rPr>
                <w:sz w:val="20"/>
                <w:szCs w:val="20"/>
              </w:rPr>
            </w:pPr>
            <w:r w:rsidRPr="00B77310">
              <w:rPr>
                <w:sz w:val="20"/>
                <w:szCs w:val="20"/>
              </w:rPr>
              <w:t>0-10*</w:t>
            </w:r>
          </w:p>
        </w:tc>
        <w:tc>
          <w:tcPr>
            <w:tcW w:w="1164" w:type="dxa"/>
          </w:tcPr>
          <w:p w14:paraId="23861715" w14:textId="77777777" w:rsidR="00A23DC1" w:rsidRPr="00B77310" w:rsidRDefault="00A23DC1" w:rsidP="00A23DC1">
            <w:pPr>
              <w:jc w:val="both"/>
              <w:rPr>
                <w:sz w:val="20"/>
                <w:szCs w:val="20"/>
              </w:rPr>
            </w:pPr>
            <w:r w:rsidRPr="00B77310">
              <w:rPr>
                <w:sz w:val="20"/>
                <w:szCs w:val="20"/>
              </w:rPr>
              <w:t>0-5</w:t>
            </w:r>
          </w:p>
        </w:tc>
        <w:tc>
          <w:tcPr>
            <w:tcW w:w="1164" w:type="dxa"/>
          </w:tcPr>
          <w:p w14:paraId="6A303FB7" w14:textId="77777777" w:rsidR="00A23DC1" w:rsidRPr="00B77310" w:rsidRDefault="00A23DC1" w:rsidP="00A23DC1">
            <w:pPr>
              <w:jc w:val="both"/>
              <w:rPr>
                <w:sz w:val="20"/>
                <w:szCs w:val="20"/>
              </w:rPr>
            </w:pPr>
            <w:r w:rsidRPr="00B77310">
              <w:rPr>
                <w:sz w:val="20"/>
                <w:szCs w:val="20"/>
              </w:rPr>
              <w:t>0-3</w:t>
            </w:r>
          </w:p>
        </w:tc>
        <w:tc>
          <w:tcPr>
            <w:tcW w:w="1165" w:type="dxa"/>
          </w:tcPr>
          <w:p w14:paraId="58094D6F" w14:textId="77777777" w:rsidR="00A23DC1" w:rsidRPr="00B77310" w:rsidRDefault="00A23DC1" w:rsidP="00A23DC1">
            <w:pPr>
              <w:jc w:val="both"/>
              <w:rPr>
                <w:sz w:val="20"/>
                <w:szCs w:val="20"/>
              </w:rPr>
            </w:pPr>
            <w:r w:rsidRPr="00B77310">
              <w:rPr>
                <w:sz w:val="20"/>
                <w:szCs w:val="20"/>
              </w:rPr>
              <w:t>-</w:t>
            </w:r>
          </w:p>
        </w:tc>
      </w:tr>
      <w:tr w:rsidR="00A23DC1" w:rsidRPr="0051542D" w14:paraId="797BDE74" w14:textId="77777777" w:rsidTr="00EF7DFE">
        <w:tc>
          <w:tcPr>
            <w:tcW w:w="1595" w:type="dxa"/>
          </w:tcPr>
          <w:p w14:paraId="4748E78E" w14:textId="77777777" w:rsidR="00A23DC1" w:rsidRPr="00B77310" w:rsidRDefault="00A23DC1" w:rsidP="00A23DC1">
            <w:pPr>
              <w:jc w:val="both"/>
              <w:rPr>
                <w:sz w:val="20"/>
                <w:szCs w:val="20"/>
              </w:rPr>
            </w:pPr>
            <w:r w:rsidRPr="00B77310">
              <w:rPr>
                <w:sz w:val="20"/>
                <w:szCs w:val="20"/>
              </w:rPr>
              <w:t>Armii Krajowej</w:t>
            </w:r>
          </w:p>
        </w:tc>
        <w:tc>
          <w:tcPr>
            <w:tcW w:w="3220" w:type="dxa"/>
          </w:tcPr>
          <w:p w14:paraId="52E81C02" w14:textId="77777777" w:rsidR="00A23DC1" w:rsidRPr="00B77310" w:rsidRDefault="00A23DC1" w:rsidP="00A23DC1">
            <w:pPr>
              <w:rPr>
                <w:sz w:val="20"/>
                <w:szCs w:val="20"/>
              </w:rPr>
            </w:pPr>
            <w:r w:rsidRPr="00B77310">
              <w:rPr>
                <w:sz w:val="20"/>
                <w:szCs w:val="20"/>
              </w:rPr>
              <w:t>Od Szarych Szeregów do ul Warszawskiej</w:t>
            </w:r>
          </w:p>
        </w:tc>
        <w:tc>
          <w:tcPr>
            <w:tcW w:w="1164" w:type="dxa"/>
          </w:tcPr>
          <w:p w14:paraId="2D87685F" w14:textId="77777777" w:rsidR="00A23DC1" w:rsidRPr="00B77310" w:rsidRDefault="00A23DC1" w:rsidP="00A23DC1">
            <w:pPr>
              <w:jc w:val="both"/>
              <w:rPr>
                <w:sz w:val="20"/>
                <w:szCs w:val="20"/>
              </w:rPr>
            </w:pPr>
            <w:r w:rsidRPr="00B77310">
              <w:rPr>
                <w:sz w:val="20"/>
                <w:szCs w:val="20"/>
              </w:rPr>
              <w:t>0-10</w:t>
            </w:r>
          </w:p>
        </w:tc>
        <w:tc>
          <w:tcPr>
            <w:tcW w:w="1164" w:type="dxa"/>
          </w:tcPr>
          <w:p w14:paraId="3EBBD0B7" w14:textId="77777777" w:rsidR="00A23DC1" w:rsidRPr="00B77310" w:rsidRDefault="00A23DC1" w:rsidP="00A23DC1">
            <w:pPr>
              <w:jc w:val="both"/>
              <w:rPr>
                <w:sz w:val="20"/>
                <w:szCs w:val="20"/>
              </w:rPr>
            </w:pPr>
            <w:r w:rsidRPr="00B77310">
              <w:rPr>
                <w:sz w:val="20"/>
                <w:szCs w:val="20"/>
              </w:rPr>
              <w:t>0-5</w:t>
            </w:r>
          </w:p>
        </w:tc>
        <w:tc>
          <w:tcPr>
            <w:tcW w:w="1164" w:type="dxa"/>
          </w:tcPr>
          <w:p w14:paraId="4642CBE8" w14:textId="77777777" w:rsidR="00A23DC1" w:rsidRPr="00B77310" w:rsidRDefault="00A23DC1" w:rsidP="00A23DC1">
            <w:pPr>
              <w:jc w:val="both"/>
              <w:rPr>
                <w:sz w:val="20"/>
                <w:szCs w:val="20"/>
              </w:rPr>
            </w:pPr>
            <w:r w:rsidRPr="00B77310">
              <w:rPr>
                <w:sz w:val="20"/>
                <w:szCs w:val="20"/>
              </w:rPr>
              <w:t>0-3</w:t>
            </w:r>
          </w:p>
        </w:tc>
        <w:tc>
          <w:tcPr>
            <w:tcW w:w="1165" w:type="dxa"/>
          </w:tcPr>
          <w:p w14:paraId="0B954B71" w14:textId="77777777" w:rsidR="00A23DC1" w:rsidRPr="00B77310" w:rsidRDefault="00A23DC1" w:rsidP="00A23DC1">
            <w:pPr>
              <w:jc w:val="both"/>
              <w:rPr>
                <w:sz w:val="20"/>
                <w:szCs w:val="20"/>
              </w:rPr>
            </w:pPr>
            <w:r w:rsidRPr="00B77310">
              <w:rPr>
                <w:sz w:val="20"/>
                <w:szCs w:val="20"/>
              </w:rPr>
              <w:t>-</w:t>
            </w:r>
          </w:p>
        </w:tc>
      </w:tr>
      <w:tr w:rsidR="00A23DC1" w:rsidRPr="0051542D" w14:paraId="3115E78A" w14:textId="77777777" w:rsidTr="00EF7DFE">
        <w:tc>
          <w:tcPr>
            <w:tcW w:w="1595" w:type="dxa"/>
          </w:tcPr>
          <w:p w14:paraId="2011EF05" w14:textId="77777777" w:rsidR="00A23DC1" w:rsidRPr="00B77310" w:rsidRDefault="00A23DC1" w:rsidP="00A23DC1">
            <w:pPr>
              <w:jc w:val="both"/>
              <w:rPr>
                <w:sz w:val="20"/>
                <w:szCs w:val="20"/>
              </w:rPr>
            </w:pPr>
            <w:r w:rsidRPr="00B77310">
              <w:rPr>
                <w:sz w:val="20"/>
                <w:szCs w:val="20"/>
              </w:rPr>
              <w:t>Obrońców Tobruku</w:t>
            </w:r>
          </w:p>
        </w:tc>
        <w:tc>
          <w:tcPr>
            <w:tcW w:w="3220" w:type="dxa"/>
          </w:tcPr>
          <w:p w14:paraId="6B0B556D" w14:textId="77777777" w:rsidR="00A23DC1" w:rsidRPr="00B77310" w:rsidRDefault="00A23DC1" w:rsidP="00A23DC1">
            <w:pPr>
              <w:rPr>
                <w:sz w:val="20"/>
                <w:szCs w:val="20"/>
              </w:rPr>
            </w:pPr>
            <w:r w:rsidRPr="00B77310">
              <w:rPr>
                <w:sz w:val="20"/>
                <w:szCs w:val="20"/>
              </w:rPr>
              <w:t>Od rz. Łyny do ul. Kasprzaka</w:t>
            </w:r>
          </w:p>
        </w:tc>
        <w:tc>
          <w:tcPr>
            <w:tcW w:w="1164" w:type="dxa"/>
          </w:tcPr>
          <w:p w14:paraId="2CD922CC" w14:textId="77777777" w:rsidR="00A23DC1" w:rsidRPr="00B77310" w:rsidRDefault="00A23DC1" w:rsidP="00A23DC1">
            <w:pPr>
              <w:jc w:val="both"/>
              <w:rPr>
                <w:sz w:val="20"/>
                <w:szCs w:val="20"/>
              </w:rPr>
            </w:pPr>
            <w:r w:rsidRPr="00B77310">
              <w:rPr>
                <w:sz w:val="20"/>
                <w:szCs w:val="20"/>
              </w:rPr>
              <w:t>0-5</w:t>
            </w:r>
          </w:p>
        </w:tc>
        <w:tc>
          <w:tcPr>
            <w:tcW w:w="1164" w:type="dxa"/>
          </w:tcPr>
          <w:p w14:paraId="2118AAAD" w14:textId="77777777" w:rsidR="00A23DC1" w:rsidRPr="00B77310" w:rsidRDefault="00A23DC1" w:rsidP="00A23DC1">
            <w:pPr>
              <w:jc w:val="both"/>
              <w:rPr>
                <w:sz w:val="20"/>
                <w:szCs w:val="20"/>
              </w:rPr>
            </w:pPr>
            <w:r w:rsidRPr="00B77310">
              <w:rPr>
                <w:sz w:val="20"/>
                <w:szCs w:val="20"/>
              </w:rPr>
              <w:t>-</w:t>
            </w:r>
          </w:p>
        </w:tc>
        <w:tc>
          <w:tcPr>
            <w:tcW w:w="1164" w:type="dxa"/>
          </w:tcPr>
          <w:p w14:paraId="4A587C06" w14:textId="77777777" w:rsidR="00A23DC1" w:rsidRPr="00B77310" w:rsidRDefault="00A23DC1" w:rsidP="00A23DC1">
            <w:pPr>
              <w:jc w:val="both"/>
              <w:rPr>
                <w:sz w:val="20"/>
                <w:szCs w:val="20"/>
              </w:rPr>
            </w:pPr>
            <w:r w:rsidRPr="00B77310">
              <w:rPr>
                <w:sz w:val="20"/>
                <w:szCs w:val="20"/>
              </w:rPr>
              <w:t>-</w:t>
            </w:r>
          </w:p>
        </w:tc>
        <w:tc>
          <w:tcPr>
            <w:tcW w:w="1165" w:type="dxa"/>
          </w:tcPr>
          <w:p w14:paraId="3F9ACF77" w14:textId="77777777" w:rsidR="00A23DC1" w:rsidRPr="00B77310" w:rsidRDefault="00A23DC1" w:rsidP="00A23DC1">
            <w:pPr>
              <w:jc w:val="both"/>
              <w:rPr>
                <w:sz w:val="20"/>
                <w:szCs w:val="20"/>
              </w:rPr>
            </w:pPr>
            <w:r w:rsidRPr="00B77310">
              <w:rPr>
                <w:sz w:val="20"/>
                <w:szCs w:val="20"/>
              </w:rPr>
              <w:t>-</w:t>
            </w:r>
          </w:p>
        </w:tc>
      </w:tr>
      <w:tr w:rsidR="00A23DC1" w:rsidRPr="0051542D" w14:paraId="7AB65EC4" w14:textId="77777777" w:rsidTr="00EF7DFE">
        <w:tc>
          <w:tcPr>
            <w:tcW w:w="1595" w:type="dxa"/>
          </w:tcPr>
          <w:p w14:paraId="306074C5" w14:textId="77777777" w:rsidR="00A23DC1" w:rsidRPr="00B77310" w:rsidRDefault="00A23DC1" w:rsidP="00A23DC1">
            <w:pPr>
              <w:jc w:val="both"/>
              <w:rPr>
                <w:sz w:val="20"/>
                <w:szCs w:val="20"/>
              </w:rPr>
            </w:pPr>
            <w:r w:rsidRPr="00B77310">
              <w:rPr>
                <w:sz w:val="20"/>
                <w:szCs w:val="20"/>
              </w:rPr>
              <w:t>Warszawska</w:t>
            </w:r>
          </w:p>
        </w:tc>
        <w:tc>
          <w:tcPr>
            <w:tcW w:w="3220" w:type="dxa"/>
          </w:tcPr>
          <w:p w14:paraId="7F6C8906" w14:textId="77777777" w:rsidR="00A23DC1" w:rsidRPr="00B77310" w:rsidRDefault="00A23DC1" w:rsidP="00A23DC1">
            <w:pPr>
              <w:rPr>
                <w:sz w:val="20"/>
                <w:szCs w:val="20"/>
              </w:rPr>
            </w:pPr>
            <w:r w:rsidRPr="00B77310">
              <w:rPr>
                <w:sz w:val="20"/>
                <w:szCs w:val="20"/>
              </w:rPr>
              <w:t>Cały odcinek</w:t>
            </w:r>
          </w:p>
        </w:tc>
        <w:tc>
          <w:tcPr>
            <w:tcW w:w="1164" w:type="dxa"/>
          </w:tcPr>
          <w:p w14:paraId="01D194C2" w14:textId="77777777" w:rsidR="00A23DC1" w:rsidRPr="00B77310" w:rsidRDefault="00A23DC1" w:rsidP="00A23DC1">
            <w:pPr>
              <w:jc w:val="both"/>
              <w:rPr>
                <w:sz w:val="20"/>
                <w:szCs w:val="20"/>
              </w:rPr>
            </w:pPr>
            <w:r w:rsidRPr="00B77310">
              <w:rPr>
                <w:sz w:val="20"/>
                <w:szCs w:val="20"/>
              </w:rPr>
              <w:t>0-5</w:t>
            </w:r>
          </w:p>
        </w:tc>
        <w:tc>
          <w:tcPr>
            <w:tcW w:w="1164" w:type="dxa"/>
          </w:tcPr>
          <w:p w14:paraId="60448767" w14:textId="77777777" w:rsidR="00A23DC1" w:rsidRPr="00B77310" w:rsidRDefault="00A23DC1" w:rsidP="00A23DC1">
            <w:pPr>
              <w:jc w:val="both"/>
              <w:rPr>
                <w:sz w:val="20"/>
                <w:szCs w:val="20"/>
              </w:rPr>
            </w:pPr>
            <w:r w:rsidRPr="00B77310">
              <w:rPr>
                <w:sz w:val="20"/>
                <w:szCs w:val="20"/>
              </w:rPr>
              <w:t>-</w:t>
            </w:r>
          </w:p>
        </w:tc>
        <w:tc>
          <w:tcPr>
            <w:tcW w:w="1164" w:type="dxa"/>
          </w:tcPr>
          <w:p w14:paraId="400B6BB6" w14:textId="77777777" w:rsidR="00A23DC1" w:rsidRPr="00B77310" w:rsidRDefault="00A23DC1" w:rsidP="00A23DC1">
            <w:pPr>
              <w:jc w:val="both"/>
              <w:rPr>
                <w:sz w:val="20"/>
                <w:szCs w:val="20"/>
              </w:rPr>
            </w:pPr>
            <w:r w:rsidRPr="00B77310">
              <w:rPr>
                <w:sz w:val="20"/>
                <w:szCs w:val="20"/>
              </w:rPr>
              <w:t>0-1</w:t>
            </w:r>
          </w:p>
        </w:tc>
        <w:tc>
          <w:tcPr>
            <w:tcW w:w="1165" w:type="dxa"/>
          </w:tcPr>
          <w:p w14:paraId="1130082D" w14:textId="77777777" w:rsidR="00A23DC1" w:rsidRPr="00B77310" w:rsidRDefault="00A23DC1" w:rsidP="00A23DC1">
            <w:pPr>
              <w:jc w:val="both"/>
              <w:rPr>
                <w:sz w:val="20"/>
                <w:szCs w:val="20"/>
              </w:rPr>
            </w:pPr>
            <w:r w:rsidRPr="00B77310">
              <w:rPr>
                <w:sz w:val="20"/>
                <w:szCs w:val="20"/>
              </w:rPr>
              <w:t>-</w:t>
            </w:r>
          </w:p>
        </w:tc>
      </w:tr>
      <w:tr w:rsidR="00A23DC1" w:rsidRPr="0051542D" w14:paraId="2D6EA788" w14:textId="77777777" w:rsidTr="00EF7DFE">
        <w:tc>
          <w:tcPr>
            <w:tcW w:w="1595" w:type="dxa"/>
          </w:tcPr>
          <w:p w14:paraId="415E7CCA" w14:textId="77777777" w:rsidR="00A23DC1" w:rsidRPr="00B77310" w:rsidRDefault="00A23DC1" w:rsidP="00A23DC1">
            <w:pPr>
              <w:jc w:val="both"/>
              <w:rPr>
                <w:sz w:val="20"/>
                <w:szCs w:val="20"/>
              </w:rPr>
            </w:pPr>
            <w:r w:rsidRPr="00B77310">
              <w:rPr>
                <w:sz w:val="20"/>
                <w:szCs w:val="20"/>
              </w:rPr>
              <w:t>Bałtycka</w:t>
            </w:r>
          </w:p>
        </w:tc>
        <w:tc>
          <w:tcPr>
            <w:tcW w:w="3220" w:type="dxa"/>
          </w:tcPr>
          <w:p w14:paraId="60E62753" w14:textId="77777777" w:rsidR="00A23DC1" w:rsidRPr="00B77310" w:rsidRDefault="00A23DC1" w:rsidP="00A23DC1">
            <w:pPr>
              <w:rPr>
                <w:sz w:val="20"/>
                <w:szCs w:val="20"/>
              </w:rPr>
            </w:pPr>
            <w:r w:rsidRPr="00B77310">
              <w:rPr>
                <w:sz w:val="20"/>
                <w:szCs w:val="20"/>
              </w:rPr>
              <w:t>Cały odcinek</w:t>
            </w:r>
          </w:p>
        </w:tc>
        <w:tc>
          <w:tcPr>
            <w:tcW w:w="1164" w:type="dxa"/>
          </w:tcPr>
          <w:p w14:paraId="787F821A" w14:textId="77777777" w:rsidR="00A23DC1" w:rsidRPr="00B77310" w:rsidRDefault="00A23DC1" w:rsidP="00A23DC1">
            <w:pPr>
              <w:jc w:val="both"/>
              <w:rPr>
                <w:sz w:val="20"/>
                <w:szCs w:val="20"/>
              </w:rPr>
            </w:pPr>
            <w:r w:rsidRPr="00B77310">
              <w:rPr>
                <w:sz w:val="20"/>
                <w:szCs w:val="20"/>
              </w:rPr>
              <w:t>0-5*</w:t>
            </w:r>
          </w:p>
        </w:tc>
        <w:tc>
          <w:tcPr>
            <w:tcW w:w="1164" w:type="dxa"/>
          </w:tcPr>
          <w:p w14:paraId="4EAF0F50" w14:textId="77777777" w:rsidR="00A23DC1" w:rsidRPr="00B77310" w:rsidRDefault="00A23DC1" w:rsidP="00A23DC1">
            <w:pPr>
              <w:jc w:val="both"/>
              <w:rPr>
                <w:sz w:val="20"/>
                <w:szCs w:val="20"/>
              </w:rPr>
            </w:pPr>
            <w:r w:rsidRPr="00B77310">
              <w:rPr>
                <w:sz w:val="20"/>
                <w:szCs w:val="20"/>
              </w:rPr>
              <w:t>0-5</w:t>
            </w:r>
          </w:p>
        </w:tc>
        <w:tc>
          <w:tcPr>
            <w:tcW w:w="1164" w:type="dxa"/>
          </w:tcPr>
          <w:p w14:paraId="2CEB513F" w14:textId="77777777" w:rsidR="00A23DC1" w:rsidRPr="00B77310" w:rsidRDefault="00A23DC1" w:rsidP="00A23DC1">
            <w:pPr>
              <w:jc w:val="both"/>
              <w:rPr>
                <w:sz w:val="20"/>
                <w:szCs w:val="20"/>
              </w:rPr>
            </w:pPr>
            <w:r w:rsidRPr="00B77310">
              <w:rPr>
                <w:sz w:val="20"/>
                <w:szCs w:val="20"/>
              </w:rPr>
              <w:t>0-2</w:t>
            </w:r>
          </w:p>
        </w:tc>
        <w:tc>
          <w:tcPr>
            <w:tcW w:w="1165" w:type="dxa"/>
          </w:tcPr>
          <w:p w14:paraId="5A98A7EA" w14:textId="77777777" w:rsidR="00A23DC1" w:rsidRPr="00B77310" w:rsidRDefault="00A23DC1" w:rsidP="00A23DC1">
            <w:pPr>
              <w:jc w:val="both"/>
              <w:rPr>
                <w:sz w:val="20"/>
                <w:szCs w:val="20"/>
              </w:rPr>
            </w:pPr>
            <w:r w:rsidRPr="00B77310">
              <w:rPr>
                <w:sz w:val="20"/>
                <w:szCs w:val="20"/>
              </w:rPr>
              <w:t>-</w:t>
            </w:r>
          </w:p>
        </w:tc>
      </w:tr>
      <w:tr w:rsidR="00A23DC1" w:rsidRPr="0051542D" w14:paraId="1433D910" w14:textId="77777777" w:rsidTr="00EF7DFE">
        <w:tc>
          <w:tcPr>
            <w:tcW w:w="1595" w:type="dxa"/>
          </w:tcPr>
          <w:p w14:paraId="091DD8FD" w14:textId="77777777" w:rsidR="00A23DC1" w:rsidRPr="00B77310" w:rsidRDefault="00A23DC1" w:rsidP="00A23DC1">
            <w:pPr>
              <w:jc w:val="both"/>
              <w:rPr>
                <w:sz w:val="20"/>
                <w:szCs w:val="20"/>
              </w:rPr>
            </w:pPr>
            <w:r w:rsidRPr="00B77310">
              <w:rPr>
                <w:sz w:val="20"/>
                <w:szCs w:val="20"/>
              </w:rPr>
              <w:t>Wojska Polskiego</w:t>
            </w:r>
          </w:p>
        </w:tc>
        <w:tc>
          <w:tcPr>
            <w:tcW w:w="3220" w:type="dxa"/>
          </w:tcPr>
          <w:p w14:paraId="591A0773" w14:textId="77777777" w:rsidR="00A23DC1" w:rsidRPr="00B77310" w:rsidRDefault="00A23DC1" w:rsidP="00A23DC1">
            <w:pPr>
              <w:rPr>
                <w:sz w:val="20"/>
                <w:szCs w:val="20"/>
              </w:rPr>
            </w:pPr>
            <w:r w:rsidRPr="00B77310">
              <w:rPr>
                <w:sz w:val="20"/>
                <w:szCs w:val="20"/>
              </w:rPr>
              <w:t>Cały odcinek</w:t>
            </w:r>
          </w:p>
        </w:tc>
        <w:tc>
          <w:tcPr>
            <w:tcW w:w="1164" w:type="dxa"/>
          </w:tcPr>
          <w:p w14:paraId="569CA0B1" w14:textId="77777777" w:rsidR="00A23DC1" w:rsidRPr="00B77310" w:rsidRDefault="00A23DC1" w:rsidP="00A23DC1">
            <w:pPr>
              <w:jc w:val="both"/>
              <w:rPr>
                <w:sz w:val="20"/>
                <w:szCs w:val="20"/>
              </w:rPr>
            </w:pPr>
            <w:r w:rsidRPr="00B77310">
              <w:rPr>
                <w:sz w:val="20"/>
                <w:szCs w:val="20"/>
              </w:rPr>
              <w:t>0-5*</w:t>
            </w:r>
          </w:p>
        </w:tc>
        <w:tc>
          <w:tcPr>
            <w:tcW w:w="1164" w:type="dxa"/>
          </w:tcPr>
          <w:p w14:paraId="51CD7EF1" w14:textId="77777777" w:rsidR="00A23DC1" w:rsidRPr="00B77310" w:rsidRDefault="00A23DC1" w:rsidP="00A23DC1">
            <w:pPr>
              <w:jc w:val="both"/>
              <w:rPr>
                <w:sz w:val="20"/>
                <w:szCs w:val="20"/>
              </w:rPr>
            </w:pPr>
            <w:r w:rsidRPr="00B77310">
              <w:rPr>
                <w:sz w:val="20"/>
                <w:szCs w:val="20"/>
              </w:rPr>
              <w:t>0-5</w:t>
            </w:r>
          </w:p>
        </w:tc>
        <w:tc>
          <w:tcPr>
            <w:tcW w:w="1164" w:type="dxa"/>
          </w:tcPr>
          <w:p w14:paraId="538BB8D1" w14:textId="77777777" w:rsidR="00A23DC1" w:rsidRPr="00B77310" w:rsidRDefault="00A23DC1" w:rsidP="00A23DC1">
            <w:pPr>
              <w:jc w:val="both"/>
              <w:rPr>
                <w:sz w:val="20"/>
                <w:szCs w:val="20"/>
              </w:rPr>
            </w:pPr>
            <w:r w:rsidRPr="00B77310">
              <w:rPr>
                <w:sz w:val="20"/>
                <w:szCs w:val="20"/>
              </w:rPr>
              <w:t>0-6</w:t>
            </w:r>
          </w:p>
        </w:tc>
        <w:tc>
          <w:tcPr>
            <w:tcW w:w="1165" w:type="dxa"/>
          </w:tcPr>
          <w:p w14:paraId="323E1EE4" w14:textId="77777777" w:rsidR="00A23DC1" w:rsidRPr="00B77310" w:rsidRDefault="00A23DC1" w:rsidP="00A23DC1">
            <w:pPr>
              <w:jc w:val="both"/>
              <w:rPr>
                <w:sz w:val="20"/>
                <w:szCs w:val="20"/>
              </w:rPr>
            </w:pPr>
            <w:r w:rsidRPr="00B77310">
              <w:rPr>
                <w:sz w:val="20"/>
                <w:szCs w:val="20"/>
              </w:rPr>
              <w:t>0-5</w:t>
            </w:r>
          </w:p>
        </w:tc>
      </w:tr>
      <w:tr w:rsidR="00A23DC1" w:rsidRPr="0051542D" w14:paraId="58B97581" w14:textId="77777777" w:rsidTr="00EF7DFE">
        <w:tc>
          <w:tcPr>
            <w:tcW w:w="1595" w:type="dxa"/>
          </w:tcPr>
          <w:p w14:paraId="241AF230" w14:textId="77777777" w:rsidR="00A23DC1" w:rsidRPr="00B77310" w:rsidRDefault="00A23DC1" w:rsidP="00A23DC1">
            <w:pPr>
              <w:jc w:val="both"/>
              <w:rPr>
                <w:sz w:val="20"/>
                <w:szCs w:val="20"/>
              </w:rPr>
            </w:pPr>
            <w:r w:rsidRPr="00B77310">
              <w:rPr>
                <w:sz w:val="20"/>
                <w:szCs w:val="20"/>
              </w:rPr>
              <w:t>Limanowskiego</w:t>
            </w:r>
          </w:p>
        </w:tc>
        <w:tc>
          <w:tcPr>
            <w:tcW w:w="3220" w:type="dxa"/>
          </w:tcPr>
          <w:p w14:paraId="38C9D7D5" w14:textId="77777777" w:rsidR="00A23DC1" w:rsidRPr="00B77310" w:rsidRDefault="00A23DC1" w:rsidP="00A23DC1">
            <w:pPr>
              <w:rPr>
                <w:sz w:val="20"/>
                <w:szCs w:val="20"/>
              </w:rPr>
            </w:pPr>
            <w:r w:rsidRPr="00B77310">
              <w:rPr>
                <w:sz w:val="20"/>
                <w:szCs w:val="20"/>
              </w:rPr>
              <w:t>Od ul. Niedziałkowskiego do ul Jagiellońskiej</w:t>
            </w:r>
          </w:p>
        </w:tc>
        <w:tc>
          <w:tcPr>
            <w:tcW w:w="1164" w:type="dxa"/>
          </w:tcPr>
          <w:p w14:paraId="3269C94B" w14:textId="77777777" w:rsidR="00A23DC1" w:rsidRPr="00B77310" w:rsidRDefault="00A23DC1" w:rsidP="00A23DC1">
            <w:pPr>
              <w:jc w:val="both"/>
              <w:rPr>
                <w:sz w:val="20"/>
                <w:szCs w:val="20"/>
              </w:rPr>
            </w:pPr>
            <w:r w:rsidRPr="00B77310">
              <w:rPr>
                <w:sz w:val="20"/>
                <w:szCs w:val="20"/>
              </w:rPr>
              <w:t>0-5</w:t>
            </w:r>
          </w:p>
        </w:tc>
        <w:tc>
          <w:tcPr>
            <w:tcW w:w="1164" w:type="dxa"/>
          </w:tcPr>
          <w:p w14:paraId="1F5BFD97" w14:textId="77777777" w:rsidR="00A23DC1" w:rsidRPr="00B77310" w:rsidRDefault="00A23DC1" w:rsidP="00A23DC1">
            <w:pPr>
              <w:jc w:val="both"/>
              <w:rPr>
                <w:sz w:val="20"/>
                <w:szCs w:val="20"/>
              </w:rPr>
            </w:pPr>
            <w:r w:rsidRPr="00B77310">
              <w:rPr>
                <w:sz w:val="20"/>
                <w:szCs w:val="20"/>
              </w:rPr>
              <w:t>0-5</w:t>
            </w:r>
          </w:p>
        </w:tc>
        <w:tc>
          <w:tcPr>
            <w:tcW w:w="1164" w:type="dxa"/>
          </w:tcPr>
          <w:p w14:paraId="271C5E4D" w14:textId="77777777" w:rsidR="00A23DC1" w:rsidRPr="00B77310" w:rsidRDefault="00A23DC1" w:rsidP="00A23DC1">
            <w:pPr>
              <w:jc w:val="both"/>
              <w:rPr>
                <w:sz w:val="20"/>
                <w:szCs w:val="20"/>
              </w:rPr>
            </w:pPr>
            <w:r w:rsidRPr="00B77310">
              <w:rPr>
                <w:sz w:val="20"/>
                <w:szCs w:val="20"/>
              </w:rPr>
              <w:t>0-1</w:t>
            </w:r>
          </w:p>
        </w:tc>
        <w:tc>
          <w:tcPr>
            <w:tcW w:w="1165" w:type="dxa"/>
          </w:tcPr>
          <w:p w14:paraId="065A7EA7" w14:textId="77777777" w:rsidR="00A23DC1" w:rsidRPr="00B77310" w:rsidRDefault="00A23DC1" w:rsidP="00A23DC1">
            <w:pPr>
              <w:jc w:val="both"/>
              <w:rPr>
                <w:sz w:val="20"/>
                <w:szCs w:val="20"/>
              </w:rPr>
            </w:pPr>
            <w:r w:rsidRPr="00B77310">
              <w:rPr>
                <w:sz w:val="20"/>
                <w:szCs w:val="20"/>
              </w:rPr>
              <w:t>0-1</w:t>
            </w:r>
          </w:p>
        </w:tc>
      </w:tr>
      <w:tr w:rsidR="00A23DC1" w:rsidRPr="0051542D" w14:paraId="3C81305C" w14:textId="77777777" w:rsidTr="00EF7DFE">
        <w:tc>
          <w:tcPr>
            <w:tcW w:w="1595" w:type="dxa"/>
          </w:tcPr>
          <w:p w14:paraId="5DDDAF7A" w14:textId="77777777" w:rsidR="00A23DC1" w:rsidRPr="00B77310" w:rsidRDefault="00A23DC1" w:rsidP="00A23DC1">
            <w:pPr>
              <w:jc w:val="both"/>
              <w:rPr>
                <w:sz w:val="20"/>
                <w:szCs w:val="20"/>
              </w:rPr>
            </w:pPr>
            <w:r w:rsidRPr="00B77310">
              <w:rPr>
                <w:sz w:val="20"/>
                <w:szCs w:val="20"/>
              </w:rPr>
              <w:t>Malewskiej</w:t>
            </w:r>
          </w:p>
        </w:tc>
        <w:tc>
          <w:tcPr>
            <w:tcW w:w="3220" w:type="dxa"/>
          </w:tcPr>
          <w:p w14:paraId="1CA1BE74" w14:textId="77777777" w:rsidR="00A23DC1" w:rsidRPr="00B77310" w:rsidRDefault="00A23DC1" w:rsidP="00A23DC1">
            <w:pPr>
              <w:rPr>
                <w:sz w:val="20"/>
                <w:szCs w:val="20"/>
              </w:rPr>
            </w:pPr>
            <w:r w:rsidRPr="00B77310">
              <w:rPr>
                <w:sz w:val="20"/>
                <w:szCs w:val="20"/>
              </w:rPr>
              <w:t>Od ul. Poprzecznej do ul. Jeżynowej</w:t>
            </w:r>
          </w:p>
        </w:tc>
        <w:tc>
          <w:tcPr>
            <w:tcW w:w="1164" w:type="dxa"/>
          </w:tcPr>
          <w:p w14:paraId="04142789" w14:textId="77777777" w:rsidR="00A23DC1" w:rsidRPr="00B77310" w:rsidRDefault="00A23DC1" w:rsidP="00A23DC1">
            <w:pPr>
              <w:jc w:val="both"/>
              <w:rPr>
                <w:sz w:val="20"/>
                <w:szCs w:val="20"/>
              </w:rPr>
            </w:pPr>
            <w:r w:rsidRPr="00B77310">
              <w:rPr>
                <w:sz w:val="20"/>
                <w:szCs w:val="20"/>
              </w:rPr>
              <w:t>0-5</w:t>
            </w:r>
          </w:p>
        </w:tc>
        <w:tc>
          <w:tcPr>
            <w:tcW w:w="1164" w:type="dxa"/>
          </w:tcPr>
          <w:p w14:paraId="143D5983" w14:textId="77777777" w:rsidR="00A23DC1" w:rsidRPr="00B77310" w:rsidRDefault="00A23DC1" w:rsidP="00A23DC1">
            <w:pPr>
              <w:jc w:val="both"/>
              <w:rPr>
                <w:sz w:val="20"/>
                <w:szCs w:val="20"/>
              </w:rPr>
            </w:pPr>
            <w:r w:rsidRPr="00B77310">
              <w:rPr>
                <w:sz w:val="20"/>
                <w:szCs w:val="20"/>
              </w:rPr>
              <w:t>-</w:t>
            </w:r>
          </w:p>
        </w:tc>
        <w:tc>
          <w:tcPr>
            <w:tcW w:w="1164" w:type="dxa"/>
          </w:tcPr>
          <w:p w14:paraId="109FA68C" w14:textId="77777777" w:rsidR="00A23DC1" w:rsidRPr="00B77310" w:rsidRDefault="00A23DC1" w:rsidP="00A23DC1">
            <w:pPr>
              <w:jc w:val="both"/>
              <w:rPr>
                <w:sz w:val="20"/>
                <w:szCs w:val="20"/>
              </w:rPr>
            </w:pPr>
            <w:r w:rsidRPr="00B77310">
              <w:rPr>
                <w:sz w:val="20"/>
                <w:szCs w:val="20"/>
              </w:rPr>
              <w:t>-</w:t>
            </w:r>
          </w:p>
        </w:tc>
        <w:tc>
          <w:tcPr>
            <w:tcW w:w="1165" w:type="dxa"/>
          </w:tcPr>
          <w:p w14:paraId="57C505ED" w14:textId="77777777" w:rsidR="00A23DC1" w:rsidRPr="00B77310" w:rsidRDefault="00A23DC1" w:rsidP="00A23DC1">
            <w:pPr>
              <w:jc w:val="both"/>
              <w:rPr>
                <w:sz w:val="20"/>
                <w:szCs w:val="20"/>
              </w:rPr>
            </w:pPr>
            <w:r w:rsidRPr="00B77310">
              <w:rPr>
                <w:sz w:val="20"/>
                <w:szCs w:val="20"/>
              </w:rPr>
              <w:t>-</w:t>
            </w:r>
          </w:p>
        </w:tc>
      </w:tr>
      <w:tr w:rsidR="00A23DC1" w:rsidRPr="0051542D" w14:paraId="282EECA2" w14:textId="77777777" w:rsidTr="00EF7DFE">
        <w:tc>
          <w:tcPr>
            <w:tcW w:w="1595" w:type="dxa"/>
          </w:tcPr>
          <w:p w14:paraId="43291C67" w14:textId="77777777" w:rsidR="00A23DC1" w:rsidRPr="00B77310" w:rsidRDefault="00A23DC1" w:rsidP="00A23DC1">
            <w:pPr>
              <w:jc w:val="both"/>
              <w:rPr>
                <w:sz w:val="20"/>
                <w:szCs w:val="20"/>
              </w:rPr>
            </w:pPr>
            <w:r w:rsidRPr="00B77310">
              <w:rPr>
                <w:sz w:val="20"/>
                <w:szCs w:val="20"/>
              </w:rPr>
              <w:t>Jagiellońska</w:t>
            </w:r>
          </w:p>
        </w:tc>
        <w:tc>
          <w:tcPr>
            <w:tcW w:w="3220" w:type="dxa"/>
          </w:tcPr>
          <w:p w14:paraId="1B33733D" w14:textId="77777777" w:rsidR="00A23DC1" w:rsidRPr="00B77310" w:rsidRDefault="00A23DC1" w:rsidP="00A23DC1">
            <w:pPr>
              <w:rPr>
                <w:sz w:val="20"/>
                <w:szCs w:val="20"/>
              </w:rPr>
            </w:pPr>
            <w:r w:rsidRPr="00B77310">
              <w:rPr>
                <w:sz w:val="20"/>
                <w:szCs w:val="20"/>
              </w:rPr>
              <w:t>Od ul. Toruńskiej do ul. Borowej</w:t>
            </w:r>
          </w:p>
        </w:tc>
        <w:tc>
          <w:tcPr>
            <w:tcW w:w="1164" w:type="dxa"/>
          </w:tcPr>
          <w:p w14:paraId="1FD89A24" w14:textId="77777777" w:rsidR="00A23DC1" w:rsidRPr="00B77310" w:rsidRDefault="00A23DC1" w:rsidP="00A23DC1">
            <w:pPr>
              <w:jc w:val="both"/>
              <w:rPr>
                <w:sz w:val="20"/>
                <w:szCs w:val="20"/>
              </w:rPr>
            </w:pPr>
            <w:r w:rsidRPr="00B77310">
              <w:rPr>
                <w:sz w:val="20"/>
                <w:szCs w:val="20"/>
              </w:rPr>
              <w:t>0-5</w:t>
            </w:r>
          </w:p>
        </w:tc>
        <w:tc>
          <w:tcPr>
            <w:tcW w:w="1164" w:type="dxa"/>
          </w:tcPr>
          <w:p w14:paraId="539E2CA5" w14:textId="77777777" w:rsidR="00A23DC1" w:rsidRPr="00B77310" w:rsidRDefault="00A23DC1" w:rsidP="00A23DC1">
            <w:pPr>
              <w:jc w:val="both"/>
              <w:rPr>
                <w:sz w:val="20"/>
                <w:szCs w:val="20"/>
              </w:rPr>
            </w:pPr>
            <w:r w:rsidRPr="00B77310">
              <w:rPr>
                <w:sz w:val="20"/>
                <w:szCs w:val="20"/>
              </w:rPr>
              <w:t>-</w:t>
            </w:r>
          </w:p>
        </w:tc>
        <w:tc>
          <w:tcPr>
            <w:tcW w:w="1164" w:type="dxa"/>
          </w:tcPr>
          <w:p w14:paraId="7623A069" w14:textId="77777777" w:rsidR="00A23DC1" w:rsidRPr="00B77310" w:rsidRDefault="00A23DC1" w:rsidP="00A23DC1">
            <w:pPr>
              <w:jc w:val="both"/>
              <w:rPr>
                <w:sz w:val="20"/>
                <w:szCs w:val="20"/>
              </w:rPr>
            </w:pPr>
            <w:r w:rsidRPr="00B77310">
              <w:rPr>
                <w:sz w:val="20"/>
                <w:szCs w:val="20"/>
              </w:rPr>
              <w:t>0-2#</w:t>
            </w:r>
          </w:p>
        </w:tc>
        <w:tc>
          <w:tcPr>
            <w:tcW w:w="1165" w:type="dxa"/>
          </w:tcPr>
          <w:p w14:paraId="4FCDE09E" w14:textId="77777777" w:rsidR="00A23DC1" w:rsidRPr="00B77310" w:rsidRDefault="00A23DC1" w:rsidP="00A23DC1">
            <w:pPr>
              <w:jc w:val="both"/>
              <w:rPr>
                <w:sz w:val="20"/>
                <w:szCs w:val="20"/>
              </w:rPr>
            </w:pPr>
            <w:r w:rsidRPr="00B77310">
              <w:rPr>
                <w:sz w:val="20"/>
                <w:szCs w:val="20"/>
              </w:rPr>
              <w:t>-</w:t>
            </w:r>
          </w:p>
        </w:tc>
      </w:tr>
      <w:tr w:rsidR="00A23DC1" w:rsidRPr="0051542D" w14:paraId="67FB4B3B" w14:textId="77777777" w:rsidTr="00EF7DFE">
        <w:tc>
          <w:tcPr>
            <w:tcW w:w="1595" w:type="dxa"/>
          </w:tcPr>
          <w:p w14:paraId="2B38D786" w14:textId="77777777" w:rsidR="00A23DC1" w:rsidRPr="00B77310" w:rsidRDefault="00A23DC1" w:rsidP="00A23DC1">
            <w:pPr>
              <w:jc w:val="both"/>
              <w:rPr>
                <w:sz w:val="20"/>
                <w:szCs w:val="20"/>
              </w:rPr>
            </w:pPr>
            <w:r w:rsidRPr="00B77310">
              <w:rPr>
                <w:sz w:val="20"/>
                <w:szCs w:val="20"/>
              </w:rPr>
              <w:t>Jagiellońska</w:t>
            </w:r>
          </w:p>
        </w:tc>
        <w:tc>
          <w:tcPr>
            <w:tcW w:w="3220" w:type="dxa"/>
          </w:tcPr>
          <w:p w14:paraId="3EB0ECE6" w14:textId="77777777" w:rsidR="00A23DC1" w:rsidRPr="00B77310" w:rsidRDefault="00A23DC1" w:rsidP="00A23DC1">
            <w:pPr>
              <w:rPr>
                <w:sz w:val="20"/>
                <w:szCs w:val="20"/>
              </w:rPr>
            </w:pPr>
            <w:r w:rsidRPr="00B77310">
              <w:rPr>
                <w:sz w:val="20"/>
                <w:szCs w:val="20"/>
              </w:rPr>
              <w:t>Od ul. Wojska Polskiego do ul. Żeromskiego</w:t>
            </w:r>
          </w:p>
        </w:tc>
        <w:tc>
          <w:tcPr>
            <w:tcW w:w="1164" w:type="dxa"/>
          </w:tcPr>
          <w:p w14:paraId="247CF665" w14:textId="77777777" w:rsidR="00A23DC1" w:rsidRPr="00B77310" w:rsidRDefault="00A23DC1" w:rsidP="00A23DC1">
            <w:pPr>
              <w:jc w:val="both"/>
              <w:rPr>
                <w:sz w:val="20"/>
                <w:szCs w:val="20"/>
              </w:rPr>
            </w:pPr>
            <w:r w:rsidRPr="00B77310">
              <w:rPr>
                <w:sz w:val="20"/>
                <w:szCs w:val="20"/>
              </w:rPr>
              <w:t>0-5</w:t>
            </w:r>
          </w:p>
        </w:tc>
        <w:tc>
          <w:tcPr>
            <w:tcW w:w="1164" w:type="dxa"/>
          </w:tcPr>
          <w:p w14:paraId="69053510" w14:textId="77777777" w:rsidR="00A23DC1" w:rsidRPr="00B77310" w:rsidRDefault="00A23DC1" w:rsidP="00A23DC1">
            <w:pPr>
              <w:jc w:val="both"/>
              <w:rPr>
                <w:sz w:val="20"/>
                <w:szCs w:val="20"/>
              </w:rPr>
            </w:pPr>
            <w:r w:rsidRPr="00B77310">
              <w:rPr>
                <w:sz w:val="20"/>
                <w:szCs w:val="20"/>
              </w:rPr>
              <w:t>-</w:t>
            </w:r>
          </w:p>
        </w:tc>
        <w:tc>
          <w:tcPr>
            <w:tcW w:w="1164" w:type="dxa"/>
          </w:tcPr>
          <w:p w14:paraId="07D1A5BF" w14:textId="77777777" w:rsidR="00A23DC1" w:rsidRPr="00B77310" w:rsidRDefault="00A23DC1" w:rsidP="00A23DC1">
            <w:pPr>
              <w:jc w:val="both"/>
              <w:rPr>
                <w:sz w:val="20"/>
                <w:szCs w:val="20"/>
              </w:rPr>
            </w:pPr>
            <w:r w:rsidRPr="00B77310">
              <w:rPr>
                <w:sz w:val="20"/>
                <w:szCs w:val="20"/>
              </w:rPr>
              <w:t>0-2##</w:t>
            </w:r>
          </w:p>
        </w:tc>
        <w:tc>
          <w:tcPr>
            <w:tcW w:w="1165" w:type="dxa"/>
          </w:tcPr>
          <w:p w14:paraId="10D03854" w14:textId="77777777" w:rsidR="00A23DC1" w:rsidRPr="00B77310" w:rsidRDefault="00A23DC1" w:rsidP="00A23DC1">
            <w:pPr>
              <w:jc w:val="both"/>
              <w:rPr>
                <w:sz w:val="20"/>
                <w:szCs w:val="20"/>
              </w:rPr>
            </w:pPr>
            <w:r w:rsidRPr="00B77310">
              <w:rPr>
                <w:sz w:val="20"/>
                <w:szCs w:val="20"/>
              </w:rPr>
              <w:t>-</w:t>
            </w:r>
          </w:p>
          <w:p w14:paraId="1F0D9AE0" w14:textId="77777777" w:rsidR="00A23DC1" w:rsidRPr="00B77310" w:rsidRDefault="00A23DC1" w:rsidP="00A23DC1">
            <w:pPr>
              <w:jc w:val="both"/>
              <w:rPr>
                <w:sz w:val="20"/>
                <w:szCs w:val="20"/>
              </w:rPr>
            </w:pPr>
          </w:p>
        </w:tc>
      </w:tr>
      <w:tr w:rsidR="00A23DC1" w:rsidRPr="0051542D" w14:paraId="7F20AE5F" w14:textId="77777777" w:rsidTr="00EF7DFE">
        <w:tc>
          <w:tcPr>
            <w:tcW w:w="1595" w:type="dxa"/>
          </w:tcPr>
          <w:p w14:paraId="2E81F7B1" w14:textId="77777777" w:rsidR="00A23DC1" w:rsidRPr="00B77310" w:rsidRDefault="00A23DC1" w:rsidP="00A23DC1">
            <w:pPr>
              <w:jc w:val="both"/>
              <w:rPr>
                <w:sz w:val="20"/>
                <w:szCs w:val="20"/>
              </w:rPr>
            </w:pPr>
            <w:r w:rsidRPr="00B77310">
              <w:rPr>
                <w:sz w:val="20"/>
                <w:szCs w:val="20"/>
              </w:rPr>
              <w:t>Partyzantów</w:t>
            </w:r>
          </w:p>
        </w:tc>
        <w:tc>
          <w:tcPr>
            <w:tcW w:w="3220" w:type="dxa"/>
          </w:tcPr>
          <w:p w14:paraId="4B08124C" w14:textId="77777777" w:rsidR="00A23DC1" w:rsidRPr="00B77310" w:rsidRDefault="00A23DC1" w:rsidP="00A23DC1">
            <w:pPr>
              <w:rPr>
                <w:sz w:val="20"/>
                <w:szCs w:val="20"/>
              </w:rPr>
            </w:pPr>
            <w:r w:rsidRPr="00B77310">
              <w:rPr>
                <w:sz w:val="20"/>
                <w:szCs w:val="20"/>
              </w:rPr>
              <w:t>Od ul. Lanca do ul. Kajki</w:t>
            </w:r>
          </w:p>
        </w:tc>
        <w:tc>
          <w:tcPr>
            <w:tcW w:w="1164" w:type="dxa"/>
          </w:tcPr>
          <w:p w14:paraId="0FB2D504" w14:textId="77777777" w:rsidR="00A23DC1" w:rsidRPr="00B77310" w:rsidRDefault="00A23DC1" w:rsidP="00A23DC1">
            <w:pPr>
              <w:jc w:val="both"/>
              <w:rPr>
                <w:sz w:val="20"/>
                <w:szCs w:val="20"/>
              </w:rPr>
            </w:pPr>
            <w:r w:rsidRPr="00B77310">
              <w:rPr>
                <w:sz w:val="20"/>
                <w:szCs w:val="20"/>
              </w:rPr>
              <w:t>0-5</w:t>
            </w:r>
          </w:p>
        </w:tc>
        <w:tc>
          <w:tcPr>
            <w:tcW w:w="1164" w:type="dxa"/>
          </w:tcPr>
          <w:p w14:paraId="5AA2A10A" w14:textId="77777777" w:rsidR="00A23DC1" w:rsidRPr="00B77310" w:rsidRDefault="00A23DC1" w:rsidP="00A23DC1">
            <w:pPr>
              <w:jc w:val="both"/>
              <w:rPr>
                <w:sz w:val="20"/>
                <w:szCs w:val="20"/>
              </w:rPr>
            </w:pPr>
            <w:r w:rsidRPr="00B77310">
              <w:rPr>
                <w:sz w:val="20"/>
                <w:szCs w:val="20"/>
              </w:rPr>
              <w:t>0-5</w:t>
            </w:r>
          </w:p>
        </w:tc>
        <w:tc>
          <w:tcPr>
            <w:tcW w:w="1164" w:type="dxa"/>
          </w:tcPr>
          <w:p w14:paraId="2C08EB61" w14:textId="77777777" w:rsidR="00A23DC1" w:rsidRPr="00B77310" w:rsidRDefault="00A23DC1" w:rsidP="00A23DC1">
            <w:pPr>
              <w:jc w:val="both"/>
              <w:rPr>
                <w:sz w:val="20"/>
                <w:szCs w:val="20"/>
              </w:rPr>
            </w:pPr>
            <w:r w:rsidRPr="00B77310">
              <w:rPr>
                <w:sz w:val="20"/>
                <w:szCs w:val="20"/>
              </w:rPr>
              <w:t>0-5</w:t>
            </w:r>
          </w:p>
        </w:tc>
        <w:tc>
          <w:tcPr>
            <w:tcW w:w="1165" w:type="dxa"/>
          </w:tcPr>
          <w:p w14:paraId="6D3AAD8B" w14:textId="77777777" w:rsidR="00A23DC1" w:rsidRPr="00B77310" w:rsidRDefault="00A23DC1" w:rsidP="00A23DC1">
            <w:pPr>
              <w:jc w:val="both"/>
              <w:rPr>
                <w:sz w:val="20"/>
                <w:szCs w:val="20"/>
              </w:rPr>
            </w:pPr>
            <w:r w:rsidRPr="00B77310">
              <w:rPr>
                <w:sz w:val="20"/>
                <w:szCs w:val="20"/>
              </w:rPr>
              <w:t>0-3</w:t>
            </w:r>
          </w:p>
        </w:tc>
      </w:tr>
      <w:tr w:rsidR="00A23DC1" w:rsidRPr="0051542D" w14:paraId="4DAC014E" w14:textId="77777777" w:rsidTr="00EF7DFE">
        <w:tc>
          <w:tcPr>
            <w:tcW w:w="1595" w:type="dxa"/>
          </w:tcPr>
          <w:p w14:paraId="23CE5C8A" w14:textId="77777777" w:rsidR="00A23DC1" w:rsidRPr="00B77310" w:rsidRDefault="00A23DC1" w:rsidP="00A23DC1">
            <w:pPr>
              <w:jc w:val="both"/>
              <w:rPr>
                <w:sz w:val="20"/>
                <w:szCs w:val="20"/>
              </w:rPr>
            </w:pPr>
            <w:r w:rsidRPr="00B77310">
              <w:rPr>
                <w:sz w:val="20"/>
                <w:szCs w:val="20"/>
              </w:rPr>
              <w:t>Kętrzyńskiego</w:t>
            </w:r>
          </w:p>
        </w:tc>
        <w:tc>
          <w:tcPr>
            <w:tcW w:w="3220" w:type="dxa"/>
          </w:tcPr>
          <w:p w14:paraId="3EC0CE82" w14:textId="77777777" w:rsidR="00A23DC1" w:rsidRPr="00B77310" w:rsidRDefault="00A23DC1" w:rsidP="00A23DC1">
            <w:pPr>
              <w:rPr>
                <w:sz w:val="20"/>
                <w:szCs w:val="20"/>
              </w:rPr>
            </w:pPr>
            <w:r w:rsidRPr="00B77310">
              <w:rPr>
                <w:sz w:val="20"/>
                <w:szCs w:val="20"/>
              </w:rPr>
              <w:t>Od ul Partyzantów do ul. Piłsudskiego</w:t>
            </w:r>
          </w:p>
        </w:tc>
        <w:tc>
          <w:tcPr>
            <w:tcW w:w="1164" w:type="dxa"/>
          </w:tcPr>
          <w:p w14:paraId="05BF29CC" w14:textId="77777777" w:rsidR="00A23DC1" w:rsidRPr="00B77310" w:rsidRDefault="00A23DC1" w:rsidP="00A23DC1">
            <w:pPr>
              <w:jc w:val="both"/>
              <w:rPr>
                <w:sz w:val="20"/>
                <w:szCs w:val="20"/>
              </w:rPr>
            </w:pPr>
            <w:r w:rsidRPr="00B77310">
              <w:rPr>
                <w:sz w:val="20"/>
                <w:szCs w:val="20"/>
              </w:rPr>
              <w:t>0-5</w:t>
            </w:r>
          </w:p>
        </w:tc>
        <w:tc>
          <w:tcPr>
            <w:tcW w:w="1164" w:type="dxa"/>
          </w:tcPr>
          <w:p w14:paraId="11B31F0D" w14:textId="77777777" w:rsidR="00A23DC1" w:rsidRPr="00B77310" w:rsidRDefault="00A23DC1" w:rsidP="00A23DC1">
            <w:pPr>
              <w:jc w:val="both"/>
              <w:rPr>
                <w:sz w:val="20"/>
                <w:szCs w:val="20"/>
              </w:rPr>
            </w:pPr>
            <w:r w:rsidRPr="00B77310">
              <w:rPr>
                <w:sz w:val="20"/>
                <w:szCs w:val="20"/>
              </w:rPr>
              <w:t>0-5</w:t>
            </w:r>
          </w:p>
        </w:tc>
        <w:tc>
          <w:tcPr>
            <w:tcW w:w="1164" w:type="dxa"/>
          </w:tcPr>
          <w:p w14:paraId="1FBAE215" w14:textId="77777777" w:rsidR="00A23DC1" w:rsidRPr="00B77310" w:rsidRDefault="00A23DC1" w:rsidP="00A23DC1">
            <w:pPr>
              <w:jc w:val="both"/>
              <w:rPr>
                <w:sz w:val="20"/>
                <w:szCs w:val="20"/>
              </w:rPr>
            </w:pPr>
            <w:r w:rsidRPr="00B77310">
              <w:rPr>
                <w:sz w:val="20"/>
                <w:szCs w:val="20"/>
              </w:rPr>
              <w:t>0-7</w:t>
            </w:r>
          </w:p>
        </w:tc>
        <w:tc>
          <w:tcPr>
            <w:tcW w:w="1165" w:type="dxa"/>
          </w:tcPr>
          <w:p w14:paraId="5F80077C" w14:textId="77777777" w:rsidR="00A23DC1" w:rsidRPr="00B77310" w:rsidRDefault="00A23DC1" w:rsidP="00A23DC1">
            <w:pPr>
              <w:jc w:val="both"/>
              <w:rPr>
                <w:sz w:val="20"/>
                <w:szCs w:val="20"/>
              </w:rPr>
            </w:pPr>
            <w:r w:rsidRPr="00B77310">
              <w:rPr>
                <w:sz w:val="20"/>
                <w:szCs w:val="20"/>
              </w:rPr>
              <w:t>0-1</w:t>
            </w:r>
          </w:p>
        </w:tc>
      </w:tr>
      <w:tr w:rsidR="00A23DC1" w:rsidRPr="0051542D" w14:paraId="1EB8996B" w14:textId="77777777" w:rsidTr="00EF7DFE">
        <w:tc>
          <w:tcPr>
            <w:tcW w:w="1595" w:type="dxa"/>
          </w:tcPr>
          <w:p w14:paraId="5ABADE55" w14:textId="77777777" w:rsidR="00A23DC1" w:rsidRPr="00B77310" w:rsidRDefault="00A23DC1" w:rsidP="00A23DC1">
            <w:pPr>
              <w:jc w:val="both"/>
              <w:rPr>
                <w:sz w:val="20"/>
                <w:szCs w:val="20"/>
              </w:rPr>
            </w:pPr>
            <w:r w:rsidRPr="00B77310">
              <w:rPr>
                <w:sz w:val="20"/>
                <w:szCs w:val="20"/>
              </w:rPr>
              <w:t>Dworcowa</w:t>
            </w:r>
          </w:p>
        </w:tc>
        <w:tc>
          <w:tcPr>
            <w:tcW w:w="3220" w:type="dxa"/>
          </w:tcPr>
          <w:p w14:paraId="4DF04A48" w14:textId="77777777" w:rsidR="00A23DC1" w:rsidRPr="00B77310" w:rsidRDefault="00A23DC1" w:rsidP="00A23DC1">
            <w:pPr>
              <w:rPr>
                <w:sz w:val="20"/>
                <w:szCs w:val="20"/>
              </w:rPr>
            </w:pPr>
            <w:r w:rsidRPr="00B77310">
              <w:rPr>
                <w:sz w:val="20"/>
                <w:szCs w:val="20"/>
              </w:rPr>
              <w:t>Od ul. Kętrzyńskiego do ul. Piłsudskiego</w:t>
            </w:r>
          </w:p>
        </w:tc>
        <w:tc>
          <w:tcPr>
            <w:tcW w:w="1164" w:type="dxa"/>
          </w:tcPr>
          <w:p w14:paraId="165E791C" w14:textId="77777777" w:rsidR="00A23DC1" w:rsidRPr="00B77310" w:rsidRDefault="00A23DC1" w:rsidP="00A23DC1">
            <w:pPr>
              <w:jc w:val="both"/>
              <w:rPr>
                <w:sz w:val="20"/>
                <w:szCs w:val="20"/>
              </w:rPr>
            </w:pPr>
            <w:r w:rsidRPr="00B77310">
              <w:rPr>
                <w:sz w:val="20"/>
                <w:szCs w:val="20"/>
              </w:rPr>
              <w:t>0-5</w:t>
            </w:r>
          </w:p>
        </w:tc>
        <w:tc>
          <w:tcPr>
            <w:tcW w:w="1164" w:type="dxa"/>
          </w:tcPr>
          <w:p w14:paraId="4158EF8E" w14:textId="77777777" w:rsidR="00A23DC1" w:rsidRPr="00B77310" w:rsidRDefault="00A23DC1" w:rsidP="00A23DC1">
            <w:pPr>
              <w:jc w:val="both"/>
              <w:rPr>
                <w:sz w:val="20"/>
                <w:szCs w:val="20"/>
              </w:rPr>
            </w:pPr>
            <w:r w:rsidRPr="00B77310">
              <w:rPr>
                <w:sz w:val="20"/>
                <w:szCs w:val="20"/>
              </w:rPr>
              <w:t>0-5</w:t>
            </w:r>
          </w:p>
        </w:tc>
        <w:tc>
          <w:tcPr>
            <w:tcW w:w="1164" w:type="dxa"/>
          </w:tcPr>
          <w:p w14:paraId="0BEADFE6" w14:textId="77777777" w:rsidR="00A23DC1" w:rsidRPr="00B77310" w:rsidRDefault="00A23DC1" w:rsidP="00A23DC1">
            <w:pPr>
              <w:jc w:val="both"/>
              <w:rPr>
                <w:sz w:val="20"/>
                <w:szCs w:val="20"/>
              </w:rPr>
            </w:pPr>
            <w:r w:rsidRPr="00B77310">
              <w:rPr>
                <w:sz w:val="20"/>
                <w:szCs w:val="20"/>
              </w:rPr>
              <w:t>-</w:t>
            </w:r>
          </w:p>
        </w:tc>
        <w:tc>
          <w:tcPr>
            <w:tcW w:w="1165" w:type="dxa"/>
          </w:tcPr>
          <w:p w14:paraId="4C9C2EB4" w14:textId="77777777" w:rsidR="00A23DC1" w:rsidRPr="00B77310" w:rsidRDefault="00A23DC1" w:rsidP="00A23DC1">
            <w:pPr>
              <w:jc w:val="both"/>
              <w:rPr>
                <w:sz w:val="20"/>
                <w:szCs w:val="20"/>
              </w:rPr>
            </w:pPr>
            <w:r w:rsidRPr="00B77310">
              <w:rPr>
                <w:sz w:val="20"/>
                <w:szCs w:val="20"/>
              </w:rPr>
              <w:t>-</w:t>
            </w:r>
          </w:p>
        </w:tc>
      </w:tr>
      <w:tr w:rsidR="00A23DC1" w:rsidRPr="0051542D" w14:paraId="37268BA3" w14:textId="77777777" w:rsidTr="00EF7DFE">
        <w:tc>
          <w:tcPr>
            <w:tcW w:w="1595" w:type="dxa"/>
          </w:tcPr>
          <w:p w14:paraId="2AE2522C" w14:textId="77777777" w:rsidR="00A23DC1" w:rsidRPr="00B77310" w:rsidRDefault="00A23DC1" w:rsidP="00A23DC1">
            <w:pPr>
              <w:jc w:val="both"/>
              <w:rPr>
                <w:sz w:val="20"/>
                <w:szCs w:val="20"/>
              </w:rPr>
            </w:pPr>
            <w:r w:rsidRPr="00B77310">
              <w:rPr>
                <w:sz w:val="20"/>
                <w:szCs w:val="20"/>
              </w:rPr>
              <w:t>Dworcowa</w:t>
            </w:r>
          </w:p>
        </w:tc>
        <w:tc>
          <w:tcPr>
            <w:tcW w:w="3220" w:type="dxa"/>
          </w:tcPr>
          <w:p w14:paraId="47773395" w14:textId="77777777" w:rsidR="00A23DC1" w:rsidRPr="00B77310" w:rsidRDefault="00A23DC1" w:rsidP="00A23DC1">
            <w:pPr>
              <w:rPr>
                <w:sz w:val="20"/>
                <w:szCs w:val="20"/>
              </w:rPr>
            </w:pPr>
            <w:r w:rsidRPr="00B77310">
              <w:rPr>
                <w:sz w:val="20"/>
                <w:szCs w:val="20"/>
              </w:rPr>
              <w:t>Od ul. Kętrzyńskiego do ul. Żołnierskiej</w:t>
            </w:r>
          </w:p>
        </w:tc>
        <w:tc>
          <w:tcPr>
            <w:tcW w:w="1164" w:type="dxa"/>
          </w:tcPr>
          <w:p w14:paraId="4302AD8D" w14:textId="77777777" w:rsidR="00A23DC1" w:rsidRPr="00B77310" w:rsidRDefault="00A23DC1" w:rsidP="00A23DC1">
            <w:pPr>
              <w:jc w:val="both"/>
              <w:rPr>
                <w:sz w:val="20"/>
                <w:szCs w:val="20"/>
              </w:rPr>
            </w:pPr>
            <w:r w:rsidRPr="00B77310">
              <w:rPr>
                <w:sz w:val="20"/>
                <w:szCs w:val="20"/>
              </w:rPr>
              <w:t>0-5</w:t>
            </w:r>
          </w:p>
        </w:tc>
        <w:tc>
          <w:tcPr>
            <w:tcW w:w="1164" w:type="dxa"/>
          </w:tcPr>
          <w:p w14:paraId="58C8CC91" w14:textId="77777777" w:rsidR="00A23DC1" w:rsidRPr="00B77310" w:rsidRDefault="00A23DC1" w:rsidP="00A23DC1">
            <w:pPr>
              <w:jc w:val="both"/>
              <w:rPr>
                <w:sz w:val="20"/>
                <w:szCs w:val="20"/>
              </w:rPr>
            </w:pPr>
            <w:r w:rsidRPr="00B77310">
              <w:rPr>
                <w:sz w:val="20"/>
                <w:szCs w:val="20"/>
              </w:rPr>
              <w:t>0-5</w:t>
            </w:r>
          </w:p>
        </w:tc>
        <w:tc>
          <w:tcPr>
            <w:tcW w:w="1164" w:type="dxa"/>
          </w:tcPr>
          <w:p w14:paraId="2A5CC86B" w14:textId="77777777" w:rsidR="00A23DC1" w:rsidRPr="00B77310" w:rsidRDefault="00A23DC1" w:rsidP="00A23DC1">
            <w:pPr>
              <w:jc w:val="both"/>
              <w:rPr>
                <w:sz w:val="20"/>
                <w:szCs w:val="20"/>
              </w:rPr>
            </w:pPr>
            <w:r w:rsidRPr="00B77310">
              <w:rPr>
                <w:sz w:val="20"/>
                <w:szCs w:val="20"/>
              </w:rPr>
              <w:t>-</w:t>
            </w:r>
          </w:p>
        </w:tc>
        <w:tc>
          <w:tcPr>
            <w:tcW w:w="1165" w:type="dxa"/>
          </w:tcPr>
          <w:p w14:paraId="4481805F" w14:textId="77777777" w:rsidR="00A23DC1" w:rsidRPr="00B77310" w:rsidRDefault="00A23DC1" w:rsidP="00A23DC1">
            <w:pPr>
              <w:jc w:val="both"/>
              <w:rPr>
                <w:sz w:val="20"/>
                <w:szCs w:val="20"/>
              </w:rPr>
            </w:pPr>
            <w:r w:rsidRPr="00B77310">
              <w:rPr>
                <w:sz w:val="20"/>
                <w:szCs w:val="20"/>
              </w:rPr>
              <w:t>-</w:t>
            </w:r>
          </w:p>
        </w:tc>
      </w:tr>
      <w:tr w:rsidR="00A23DC1" w:rsidRPr="0051542D" w14:paraId="750B00FC" w14:textId="77777777" w:rsidTr="00EF7DFE">
        <w:tc>
          <w:tcPr>
            <w:tcW w:w="1595" w:type="dxa"/>
          </w:tcPr>
          <w:p w14:paraId="5CC7BEDC" w14:textId="77777777" w:rsidR="00A23DC1" w:rsidRPr="00B77310" w:rsidRDefault="00A23DC1" w:rsidP="00A23DC1">
            <w:pPr>
              <w:jc w:val="both"/>
              <w:rPr>
                <w:sz w:val="20"/>
                <w:szCs w:val="20"/>
              </w:rPr>
            </w:pPr>
            <w:r w:rsidRPr="00B77310">
              <w:rPr>
                <w:sz w:val="20"/>
                <w:szCs w:val="20"/>
              </w:rPr>
              <w:t>Obiegowa</w:t>
            </w:r>
          </w:p>
        </w:tc>
        <w:tc>
          <w:tcPr>
            <w:tcW w:w="3220" w:type="dxa"/>
          </w:tcPr>
          <w:p w14:paraId="75F1E52C" w14:textId="77777777" w:rsidR="00A23DC1" w:rsidRPr="00B77310" w:rsidRDefault="00A23DC1" w:rsidP="00A23DC1">
            <w:pPr>
              <w:rPr>
                <w:sz w:val="20"/>
                <w:szCs w:val="20"/>
              </w:rPr>
            </w:pPr>
            <w:r w:rsidRPr="00B77310">
              <w:rPr>
                <w:sz w:val="20"/>
                <w:szCs w:val="20"/>
              </w:rPr>
              <w:t>Na wysokości VI LO</w:t>
            </w:r>
          </w:p>
        </w:tc>
        <w:tc>
          <w:tcPr>
            <w:tcW w:w="1164" w:type="dxa"/>
          </w:tcPr>
          <w:p w14:paraId="5BF1AE5C" w14:textId="77777777" w:rsidR="00A23DC1" w:rsidRPr="00B77310" w:rsidRDefault="00A23DC1" w:rsidP="00A23DC1">
            <w:pPr>
              <w:jc w:val="both"/>
              <w:rPr>
                <w:sz w:val="20"/>
                <w:szCs w:val="20"/>
              </w:rPr>
            </w:pPr>
            <w:r w:rsidRPr="00B77310">
              <w:rPr>
                <w:sz w:val="20"/>
                <w:szCs w:val="20"/>
              </w:rPr>
              <w:t>0-5</w:t>
            </w:r>
          </w:p>
        </w:tc>
        <w:tc>
          <w:tcPr>
            <w:tcW w:w="1164" w:type="dxa"/>
          </w:tcPr>
          <w:p w14:paraId="61BAF67B" w14:textId="77777777" w:rsidR="00A23DC1" w:rsidRPr="00B77310" w:rsidRDefault="00A23DC1" w:rsidP="00A23DC1">
            <w:pPr>
              <w:jc w:val="both"/>
              <w:rPr>
                <w:sz w:val="20"/>
                <w:szCs w:val="20"/>
              </w:rPr>
            </w:pPr>
            <w:r w:rsidRPr="00B77310">
              <w:rPr>
                <w:sz w:val="20"/>
                <w:szCs w:val="20"/>
              </w:rPr>
              <w:t>-</w:t>
            </w:r>
          </w:p>
        </w:tc>
        <w:tc>
          <w:tcPr>
            <w:tcW w:w="1164" w:type="dxa"/>
          </w:tcPr>
          <w:p w14:paraId="5C8EBE93" w14:textId="77777777" w:rsidR="00A23DC1" w:rsidRPr="00B77310" w:rsidRDefault="00A23DC1" w:rsidP="00A23DC1">
            <w:pPr>
              <w:jc w:val="both"/>
              <w:rPr>
                <w:sz w:val="20"/>
                <w:szCs w:val="20"/>
              </w:rPr>
            </w:pPr>
            <w:r w:rsidRPr="00B77310">
              <w:rPr>
                <w:sz w:val="20"/>
                <w:szCs w:val="20"/>
              </w:rPr>
              <w:t>-</w:t>
            </w:r>
          </w:p>
        </w:tc>
        <w:tc>
          <w:tcPr>
            <w:tcW w:w="1165" w:type="dxa"/>
          </w:tcPr>
          <w:p w14:paraId="6B31EAD6" w14:textId="77777777" w:rsidR="00A23DC1" w:rsidRPr="00B77310" w:rsidRDefault="00A23DC1" w:rsidP="00A23DC1">
            <w:pPr>
              <w:jc w:val="both"/>
              <w:rPr>
                <w:sz w:val="20"/>
                <w:szCs w:val="20"/>
              </w:rPr>
            </w:pPr>
            <w:r w:rsidRPr="00B77310">
              <w:rPr>
                <w:sz w:val="20"/>
                <w:szCs w:val="20"/>
              </w:rPr>
              <w:t>-</w:t>
            </w:r>
          </w:p>
        </w:tc>
      </w:tr>
      <w:tr w:rsidR="00A23DC1" w:rsidRPr="0051542D" w14:paraId="2A125BEE" w14:textId="77777777" w:rsidTr="00EF7DFE">
        <w:tc>
          <w:tcPr>
            <w:tcW w:w="1595" w:type="dxa"/>
          </w:tcPr>
          <w:p w14:paraId="4231BD75" w14:textId="77777777" w:rsidR="00A23DC1" w:rsidRPr="00B77310" w:rsidRDefault="00A23DC1" w:rsidP="00A23DC1">
            <w:pPr>
              <w:jc w:val="both"/>
              <w:rPr>
                <w:sz w:val="20"/>
                <w:szCs w:val="20"/>
              </w:rPr>
            </w:pPr>
            <w:r w:rsidRPr="00B77310">
              <w:rPr>
                <w:sz w:val="20"/>
                <w:szCs w:val="20"/>
              </w:rPr>
              <w:t>Sikorskiego</w:t>
            </w:r>
          </w:p>
        </w:tc>
        <w:tc>
          <w:tcPr>
            <w:tcW w:w="3220" w:type="dxa"/>
          </w:tcPr>
          <w:p w14:paraId="093DF95D" w14:textId="77777777" w:rsidR="00A23DC1" w:rsidRPr="00B77310" w:rsidRDefault="00A23DC1" w:rsidP="00A23DC1">
            <w:pPr>
              <w:rPr>
                <w:sz w:val="20"/>
                <w:szCs w:val="20"/>
              </w:rPr>
            </w:pPr>
            <w:r w:rsidRPr="00B77310">
              <w:rPr>
                <w:sz w:val="20"/>
                <w:szCs w:val="20"/>
              </w:rPr>
              <w:t>Od ul. Pstrowskiego do ul. Dywizjonu 303</w:t>
            </w:r>
          </w:p>
        </w:tc>
        <w:tc>
          <w:tcPr>
            <w:tcW w:w="1164" w:type="dxa"/>
          </w:tcPr>
          <w:p w14:paraId="29941FAE" w14:textId="77777777" w:rsidR="00A23DC1" w:rsidRPr="00B77310" w:rsidRDefault="00A23DC1" w:rsidP="00A23DC1">
            <w:pPr>
              <w:jc w:val="both"/>
              <w:rPr>
                <w:sz w:val="20"/>
                <w:szCs w:val="20"/>
              </w:rPr>
            </w:pPr>
            <w:r w:rsidRPr="00B77310">
              <w:rPr>
                <w:sz w:val="20"/>
                <w:szCs w:val="20"/>
              </w:rPr>
              <w:t>0-5*</w:t>
            </w:r>
          </w:p>
        </w:tc>
        <w:tc>
          <w:tcPr>
            <w:tcW w:w="1164" w:type="dxa"/>
          </w:tcPr>
          <w:p w14:paraId="32902736" w14:textId="77777777" w:rsidR="00A23DC1" w:rsidRPr="00B77310" w:rsidRDefault="00A23DC1" w:rsidP="00A23DC1">
            <w:pPr>
              <w:jc w:val="both"/>
              <w:rPr>
                <w:sz w:val="20"/>
                <w:szCs w:val="20"/>
              </w:rPr>
            </w:pPr>
            <w:r w:rsidRPr="00B77310">
              <w:rPr>
                <w:sz w:val="20"/>
                <w:szCs w:val="20"/>
              </w:rPr>
              <w:t>0-5</w:t>
            </w:r>
          </w:p>
        </w:tc>
        <w:tc>
          <w:tcPr>
            <w:tcW w:w="1164" w:type="dxa"/>
          </w:tcPr>
          <w:p w14:paraId="5F3D03A7" w14:textId="77777777" w:rsidR="00A23DC1" w:rsidRPr="00B77310" w:rsidRDefault="00A23DC1" w:rsidP="00A23DC1">
            <w:pPr>
              <w:jc w:val="both"/>
              <w:rPr>
                <w:sz w:val="20"/>
                <w:szCs w:val="20"/>
              </w:rPr>
            </w:pPr>
            <w:r w:rsidRPr="00B77310">
              <w:rPr>
                <w:sz w:val="20"/>
                <w:szCs w:val="20"/>
              </w:rPr>
              <w:t>0-2</w:t>
            </w:r>
          </w:p>
        </w:tc>
        <w:tc>
          <w:tcPr>
            <w:tcW w:w="1165" w:type="dxa"/>
          </w:tcPr>
          <w:p w14:paraId="42C210FC" w14:textId="77777777" w:rsidR="00A23DC1" w:rsidRPr="00B77310" w:rsidRDefault="00A23DC1" w:rsidP="00A23DC1">
            <w:pPr>
              <w:jc w:val="both"/>
              <w:rPr>
                <w:sz w:val="20"/>
                <w:szCs w:val="20"/>
              </w:rPr>
            </w:pPr>
            <w:r w:rsidRPr="00B77310">
              <w:rPr>
                <w:sz w:val="20"/>
                <w:szCs w:val="20"/>
              </w:rPr>
              <w:t>-</w:t>
            </w:r>
          </w:p>
        </w:tc>
      </w:tr>
      <w:tr w:rsidR="00A23DC1" w:rsidRPr="0051542D" w14:paraId="38705BFC" w14:textId="77777777" w:rsidTr="00EF7DFE">
        <w:tc>
          <w:tcPr>
            <w:tcW w:w="1595" w:type="dxa"/>
          </w:tcPr>
          <w:p w14:paraId="1D5D7EC6" w14:textId="77777777" w:rsidR="00A23DC1" w:rsidRPr="00B77310" w:rsidRDefault="00A23DC1" w:rsidP="00A23DC1">
            <w:pPr>
              <w:jc w:val="both"/>
              <w:rPr>
                <w:sz w:val="20"/>
                <w:szCs w:val="20"/>
              </w:rPr>
            </w:pPr>
            <w:r w:rsidRPr="00B77310">
              <w:rPr>
                <w:sz w:val="20"/>
                <w:szCs w:val="20"/>
              </w:rPr>
              <w:t>Sikorskiego</w:t>
            </w:r>
          </w:p>
        </w:tc>
        <w:tc>
          <w:tcPr>
            <w:tcW w:w="3220" w:type="dxa"/>
          </w:tcPr>
          <w:p w14:paraId="26D52615" w14:textId="77777777" w:rsidR="00A23DC1" w:rsidRPr="00B77310" w:rsidRDefault="00A23DC1" w:rsidP="00A23DC1">
            <w:pPr>
              <w:rPr>
                <w:sz w:val="20"/>
                <w:szCs w:val="20"/>
              </w:rPr>
            </w:pPr>
            <w:r w:rsidRPr="00B77310">
              <w:rPr>
                <w:sz w:val="20"/>
                <w:szCs w:val="20"/>
              </w:rPr>
              <w:t>Od ul. Synów Pułku do ul. Wańkowicza</w:t>
            </w:r>
          </w:p>
        </w:tc>
        <w:tc>
          <w:tcPr>
            <w:tcW w:w="1164" w:type="dxa"/>
          </w:tcPr>
          <w:p w14:paraId="5A22B74A" w14:textId="77777777" w:rsidR="00A23DC1" w:rsidRPr="00B77310" w:rsidRDefault="00A23DC1" w:rsidP="00A23DC1">
            <w:pPr>
              <w:jc w:val="both"/>
              <w:rPr>
                <w:sz w:val="20"/>
                <w:szCs w:val="20"/>
              </w:rPr>
            </w:pPr>
            <w:r w:rsidRPr="00B77310">
              <w:rPr>
                <w:sz w:val="20"/>
                <w:szCs w:val="20"/>
              </w:rPr>
              <w:t>0-5</w:t>
            </w:r>
          </w:p>
        </w:tc>
        <w:tc>
          <w:tcPr>
            <w:tcW w:w="1164" w:type="dxa"/>
          </w:tcPr>
          <w:p w14:paraId="00DE6C8D" w14:textId="77777777" w:rsidR="00A23DC1" w:rsidRPr="00B77310" w:rsidRDefault="00A23DC1" w:rsidP="00A23DC1">
            <w:pPr>
              <w:jc w:val="both"/>
              <w:rPr>
                <w:sz w:val="20"/>
                <w:szCs w:val="20"/>
              </w:rPr>
            </w:pPr>
            <w:r w:rsidRPr="00B77310">
              <w:rPr>
                <w:sz w:val="20"/>
                <w:szCs w:val="20"/>
              </w:rPr>
              <w:t>-</w:t>
            </w:r>
          </w:p>
        </w:tc>
        <w:tc>
          <w:tcPr>
            <w:tcW w:w="1164" w:type="dxa"/>
          </w:tcPr>
          <w:p w14:paraId="6FF70874" w14:textId="77777777" w:rsidR="00A23DC1" w:rsidRPr="00B77310" w:rsidRDefault="00A23DC1" w:rsidP="00A23DC1">
            <w:pPr>
              <w:jc w:val="both"/>
              <w:rPr>
                <w:sz w:val="20"/>
                <w:szCs w:val="20"/>
              </w:rPr>
            </w:pPr>
            <w:r w:rsidRPr="00B77310">
              <w:rPr>
                <w:sz w:val="20"/>
                <w:szCs w:val="20"/>
              </w:rPr>
              <w:t>-</w:t>
            </w:r>
          </w:p>
        </w:tc>
        <w:tc>
          <w:tcPr>
            <w:tcW w:w="1165" w:type="dxa"/>
          </w:tcPr>
          <w:p w14:paraId="730C42EC" w14:textId="77777777" w:rsidR="00A23DC1" w:rsidRPr="00B77310" w:rsidRDefault="00A23DC1" w:rsidP="00A23DC1">
            <w:pPr>
              <w:jc w:val="both"/>
              <w:rPr>
                <w:sz w:val="20"/>
                <w:szCs w:val="20"/>
              </w:rPr>
            </w:pPr>
            <w:r w:rsidRPr="00B77310">
              <w:rPr>
                <w:sz w:val="20"/>
                <w:szCs w:val="20"/>
              </w:rPr>
              <w:t>-</w:t>
            </w:r>
          </w:p>
        </w:tc>
      </w:tr>
      <w:tr w:rsidR="00A23DC1" w:rsidRPr="0051542D" w14:paraId="5EADAE18" w14:textId="77777777" w:rsidTr="00EF7DFE">
        <w:tc>
          <w:tcPr>
            <w:tcW w:w="1595" w:type="dxa"/>
          </w:tcPr>
          <w:p w14:paraId="49859CF3" w14:textId="77777777" w:rsidR="00A23DC1" w:rsidRPr="00B77310" w:rsidRDefault="00A23DC1" w:rsidP="00A23DC1">
            <w:pPr>
              <w:jc w:val="both"/>
              <w:rPr>
                <w:sz w:val="20"/>
                <w:szCs w:val="20"/>
              </w:rPr>
            </w:pPr>
            <w:r w:rsidRPr="00B77310">
              <w:rPr>
                <w:sz w:val="20"/>
                <w:szCs w:val="20"/>
              </w:rPr>
              <w:t>Sikorskiego</w:t>
            </w:r>
          </w:p>
        </w:tc>
        <w:tc>
          <w:tcPr>
            <w:tcW w:w="3220" w:type="dxa"/>
          </w:tcPr>
          <w:p w14:paraId="25E2FE48" w14:textId="77777777" w:rsidR="00A23DC1" w:rsidRPr="00B77310" w:rsidRDefault="00A23DC1" w:rsidP="00A23DC1">
            <w:pPr>
              <w:rPr>
                <w:sz w:val="20"/>
                <w:szCs w:val="20"/>
              </w:rPr>
            </w:pPr>
            <w:r w:rsidRPr="00B77310">
              <w:rPr>
                <w:sz w:val="20"/>
                <w:szCs w:val="20"/>
              </w:rPr>
              <w:t>Od ul. Zaruskiego do ul. Minakowskiego</w:t>
            </w:r>
          </w:p>
        </w:tc>
        <w:tc>
          <w:tcPr>
            <w:tcW w:w="1164" w:type="dxa"/>
          </w:tcPr>
          <w:p w14:paraId="1041C822" w14:textId="77777777" w:rsidR="00A23DC1" w:rsidRPr="00B77310" w:rsidRDefault="00A23DC1" w:rsidP="00A23DC1">
            <w:pPr>
              <w:jc w:val="both"/>
              <w:rPr>
                <w:sz w:val="20"/>
                <w:szCs w:val="20"/>
              </w:rPr>
            </w:pPr>
            <w:r w:rsidRPr="00B77310">
              <w:rPr>
                <w:sz w:val="20"/>
                <w:szCs w:val="20"/>
              </w:rPr>
              <w:t>0-5</w:t>
            </w:r>
          </w:p>
        </w:tc>
        <w:tc>
          <w:tcPr>
            <w:tcW w:w="1164" w:type="dxa"/>
          </w:tcPr>
          <w:p w14:paraId="46A767C4" w14:textId="77777777" w:rsidR="00A23DC1" w:rsidRPr="00B77310" w:rsidRDefault="00A23DC1" w:rsidP="00A23DC1">
            <w:pPr>
              <w:jc w:val="both"/>
              <w:rPr>
                <w:sz w:val="20"/>
                <w:szCs w:val="20"/>
              </w:rPr>
            </w:pPr>
            <w:r w:rsidRPr="00B77310">
              <w:rPr>
                <w:sz w:val="20"/>
                <w:szCs w:val="20"/>
              </w:rPr>
              <w:t>-</w:t>
            </w:r>
          </w:p>
        </w:tc>
        <w:tc>
          <w:tcPr>
            <w:tcW w:w="1164" w:type="dxa"/>
          </w:tcPr>
          <w:p w14:paraId="1F449283" w14:textId="77777777" w:rsidR="00A23DC1" w:rsidRPr="00B77310" w:rsidRDefault="00A23DC1" w:rsidP="00A23DC1">
            <w:pPr>
              <w:jc w:val="both"/>
              <w:rPr>
                <w:sz w:val="20"/>
                <w:szCs w:val="20"/>
              </w:rPr>
            </w:pPr>
            <w:r w:rsidRPr="00B77310">
              <w:rPr>
                <w:sz w:val="20"/>
                <w:szCs w:val="20"/>
              </w:rPr>
              <w:t>0-1**</w:t>
            </w:r>
          </w:p>
        </w:tc>
        <w:tc>
          <w:tcPr>
            <w:tcW w:w="1165" w:type="dxa"/>
          </w:tcPr>
          <w:p w14:paraId="24B569EF" w14:textId="77777777" w:rsidR="00A23DC1" w:rsidRPr="00B77310" w:rsidRDefault="00A23DC1" w:rsidP="00A23DC1">
            <w:pPr>
              <w:jc w:val="both"/>
              <w:rPr>
                <w:sz w:val="20"/>
                <w:szCs w:val="20"/>
              </w:rPr>
            </w:pPr>
            <w:r w:rsidRPr="00B77310">
              <w:rPr>
                <w:sz w:val="20"/>
                <w:szCs w:val="20"/>
              </w:rPr>
              <w:t>-</w:t>
            </w:r>
          </w:p>
        </w:tc>
      </w:tr>
      <w:tr w:rsidR="00A23DC1" w:rsidRPr="0051542D" w14:paraId="74DECE8A" w14:textId="77777777" w:rsidTr="00EF7DFE">
        <w:tc>
          <w:tcPr>
            <w:tcW w:w="1595" w:type="dxa"/>
          </w:tcPr>
          <w:p w14:paraId="47FCB85E" w14:textId="77777777" w:rsidR="00A23DC1" w:rsidRPr="00B77310" w:rsidRDefault="00A23DC1" w:rsidP="00A23DC1">
            <w:pPr>
              <w:jc w:val="both"/>
              <w:rPr>
                <w:sz w:val="20"/>
                <w:szCs w:val="20"/>
              </w:rPr>
            </w:pPr>
            <w:r w:rsidRPr="00B77310">
              <w:rPr>
                <w:sz w:val="20"/>
                <w:szCs w:val="20"/>
              </w:rPr>
              <w:t>Sikorskiego</w:t>
            </w:r>
          </w:p>
        </w:tc>
        <w:tc>
          <w:tcPr>
            <w:tcW w:w="3220" w:type="dxa"/>
          </w:tcPr>
          <w:p w14:paraId="4539CC55" w14:textId="77777777" w:rsidR="00A23DC1" w:rsidRPr="00B77310" w:rsidRDefault="00A23DC1" w:rsidP="00A23DC1">
            <w:pPr>
              <w:rPr>
                <w:sz w:val="20"/>
                <w:szCs w:val="20"/>
              </w:rPr>
            </w:pPr>
            <w:r w:rsidRPr="00B77310">
              <w:rPr>
                <w:sz w:val="20"/>
                <w:szCs w:val="20"/>
              </w:rPr>
              <w:t>Od ul. Okólnej do ul. Wilczyńskiego</w:t>
            </w:r>
          </w:p>
        </w:tc>
        <w:tc>
          <w:tcPr>
            <w:tcW w:w="1164" w:type="dxa"/>
          </w:tcPr>
          <w:p w14:paraId="5560BF15" w14:textId="77777777" w:rsidR="00A23DC1" w:rsidRPr="00B77310" w:rsidRDefault="00A23DC1" w:rsidP="00A23DC1">
            <w:pPr>
              <w:jc w:val="both"/>
              <w:rPr>
                <w:sz w:val="20"/>
                <w:szCs w:val="20"/>
              </w:rPr>
            </w:pPr>
            <w:r w:rsidRPr="00B77310">
              <w:rPr>
                <w:sz w:val="20"/>
                <w:szCs w:val="20"/>
              </w:rPr>
              <w:t>0-5</w:t>
            </w:r>
          </w:p>
        </w:tc>
        <w:tc>
          <w:tcPr>
            <w:tcW w:w="1164" w:type="dxa"/>
          </w:tcPr>
          <w:p w14:paraId="7B8F592C" w14:textId="77777777" w:rsidR="00A23DC1" w:rsidRPr="00B77310" w:rsidRDefault="00A23DC1" w:rsidP="00A23DC1">
            <w:pPr>
              <w:jc w:val="both"/>
              <w:rPr>
                <w:sz w:val="20"/>
                <w:szCs w:val="20"/>
              </w:rPr>
            </w:pPr>
            <w:r w:rsidRPr="00B77310">
              <w:rPr>
                <w:sz w:val="20"/>
                <w:szCs w:val="20"/>
              </w:rPr>
              <w:t>-</w:t>
            </w:r>
          </w:p>
        </w:tc>
        <w:tc>
          <w:tcPr>
            <w:tcW w:w="1164" w:type="dxa"/>
          </w:tcPr>
          <w:p w14:paraId="455CF74D" w14:textId="77777777" w:rsidR="00A23DC1" w:rsidRPr="00B77310" w:rsidRDefault="00A23DC1" w:rsidP="00A23DC1">
            <w:pPr>
              <w:jc w:val="both"/>
              <w:rPr>
                <w:sz w:val="20"/>
                <w:szCs w:val="20"/>
              </w:rPr>
            </w:pPr>
            <w:r w:rsidRPr="00B77310">
              <w:rPr>
                <w:sz w:val="20"/>
                <w:szCs w:val="20"/>
              </w:rPr>
              <w:t>0-1**</w:t>
            </w:r>
          </w:p>
        </w:tc>
        <w:tc>
          <w:tcPr>
            <w:tcW w:w="1165" w:type="dxa"/>
          </w:tcPr>
          <w:p w14:paraId="1A882ACE" w14:textId="77777777" w:rsidR="00A23DC1" w:rsidRPr="00B77310" w:rsidRDefault="00A23DC1" w:rsidP="00A23DC1">
            <w:pPr>
              <w:jc w:val="both"/>
              <w:rPr>
                <w:sz w:val="20"/>
                <w:szCs w:val="20"/>
              </w:rPr>
            </w:pPr>
            <w:r w:rsidRPr="00B77310">
              <w:rPr>
                <w:sz w:val="20"/>
                <w:szCs w:val="20"/>
              </w:rPr>
              <w:t>-</w:t>
            </w:r>
          </w:p>
        </w:tc>
      </w:tr>
      <w:tr w:rsidR="00A23DC1" w:rsidRPr="0051542D" w14:paraId="4EB1F1B0" w14:textId="77777777" w:rsidTr="00EF7DFE">
        <w:tc>
          <w:tcPr>
            <w:tcW w:w="1595" w:type="dxa"/>
          </w:tcPr>
          <w:p w14:paraId="22A67CB2" w14:textId="77777777" w:rsidR="00A23DC1" w:rsidRPr="00B77310" w:rsidRDefault="00A23DC1" w:rsidP="00A23DC1">
            <w:pPr>
              <w:jc w:val="both"/>
              <w:rPr>
                <w:sz w:val="20"/>
                <w:szCs w:val="20"/>
              </w:rPr>
            </w:pPr>
            <w:r w:rsidRPr="00B77310">
              <w:rPr>
                <w:sz w:val="20"/>
                <w:szCs w:val="20"/>
              </w:rPr>
              <w:t>Synów Pułku</w:t>
            </w:r>
          </w:p>
        </w:tc>
        <w:tc>
          <w:tcPr>
            <w:tcW w:w="3220" w:type="dxa"/>
          </w:tcPr>
          <w:p w14:paraId="680A762E" w14:textId="77777777" w:rsidR="00A23DC1" w:rsidRPr="00B77310" w:rsidRDefault="00A23DC1" w:rsidP="00A23DC1">
            <w:pPr>
              <w:rPr>
                <w:sz w:val="20"/>
                <w:szCs w:val="20"/>
              </w:rPr>
            </w:pPr>
            <w:r w:rsidRPr="00B77310">
              <w:rPr>
                <w:sz w:val="20"/>
                <w:szCs w:val="20"/>
              </w:rPr>
              <w:t>do ul Pstrowskiego</w:t>
            </w:r>
          </w:p>
        </w:tc>
        <w:tc>
          <w:tcPr>
            <w:tcW w:w="1164" w:type="dxa"/>
          </w:tcPr>
          <w:p w14:paraId="7464A16B" w14:textId="77777777" w:rsidR="00A23DC1" w:rsidRPr="00B77310" w:rsidRDefault="00A23DC1" w:rsidP="00A23DC1">
            <w:pPr>
              <w:jc w:val="both"/>
              <w:rPr>
                <w:sz w:val="20"/>
                <w:szCs w:val="20"/>
              </w:rPr>
            </w:pPr>
            <w:r w:rsidRPr="00B77310">
              <w:rPr>
                <w:sz w:val="20"/>
                <w:szCs w:val="20"/>
              </w:rPr>
              <w:t>0-5</w:t>
            </w:r>
          </w:p>
        </w:tc>
        <w:tc>
          <w:tcPr>
            <w:tcW w:w="1164" w:type="dxa"/>
          </w:tcPr>
          <w:p w14:paraId="5391767D" w14:textId="77777777" w:rsidR="00A23DC1" w:rsidRPr="00B77310" w:rsidRDefault="00A23DC1" w:rsidP="00A23DC1">
            <w:pPr>
              <w:jc w:val="both"/>
              <w:rPr>
                <w:sz w:val="20"/>
                <w:szCs w:val="20"/>
              </w:rPr>
            </w:pPr>
            <w:r w:rsidRPr="00B77310">
              <w:rPr>
                <w:sz w:val="20"/>
                <w:szCs w:val="20"/>
              </w:rPr>
              <w:t>-</w:t>
            </w:r>
          </w:p>
        </w:tc>
        <w:tc>
          <w:tcPr>
            <w:tcW w:w="1164" w:type="dxa"/>
          </w:tcPr>
          <w:p w14:paraId="0E7B738D" w14:textId="77777777" w:rsidR="00A23DC1" w:rsidRPr="00B77310" w:rsidRDefault="00A23DC1" w:rsidP="00A23DC1">
            <w:pPr>
              <w:jc w:val="both"/>
              <w:rPr>
                <w:sz w:val="20"/>
                <w:szCs w:val="20"/>
              </w:rPr>
            </w:pPr>
            <w:r w:rsidRPr="00B77310">
              <w:rPr>
                <w:sz w:val="20"/>
                <w:szCs w:val="20"/>
              </w:rPr>
              <w:t>0-8</w:t>
            </w:r>
          </w:p>
        </w:tc>
        <w:tc>
          <w:tcPr>
            <w:tcW w:w="1165" w:type="dxa"/>
          </w:tcPr>
          <w:p w14:paraId="310CAF68" w14:textId="77777777" w:rsidR="00A23DC1" w:rsidRPr="00B77310" w:rsidRDefault="00A23DC1" w:rsidP="00A23DC1">
            <w:pPr>
              <w:jc w:val="both"/>
              <w:rPr>
                <w:sz w:val="20"/>
                <w:szCs w:val="20"/>
              </w:rPr>
            </w:pPr>
            <w:r w:rsidRPr="00B77310">
              <w:rPr>
                <w:sz w:val="20"/>
                <w:szCs w:val="20"/>
              </w:rPr>
              <w:t>-</w:t>
            </w:r>
          </w:p>
        </w:tc>
      </w:tr>
      <w:tr w:rsidR="00A23DC1" w:rsidRPr="0051542D" w14:paraId="4002CCD4" w14:textId="77777777" w:rsidTr="00EF7DFE">
        <w:tc>
          <w:tcPr>
            <w:tcW w:w="1595" w:type="dxa"/>
          </w:tcPr>
          <w:p w14:paraId="1B91BCAA" w14:textId="77777777" w:rsidR="00A23DC1" w:rsidRPr="00B77310" w:rsidRDefault="00A23DC1" w:rsidP="00A23DC1">
            <w:pPr>
              <w:jc w:val="both"/>
              <w:rPr>
                <w:sz w:val="20"/>
                <w:szCs w:val="20"/>
              </w:rPr>
            </w:pPr>
            <w:r w:rsidRPr="00B77310">
              <w:rPr>
                <w:sz w:val="20"/>
                <w:szCs w:val="20"/>
              </w:rPr>
              <w:lastRenderedPageBreak/>
              <w:t>Leonharda</w:t>
            </w:r>
          </w:p>
        </w:tc>
        <w:tc>
          <w:tcPr>
            <w:tcW w:w="3220" w:type="dxa"/>
          </w:tcPr>
          <w:p w14:paraId="40FF836D" w14:textId="77777777" w:rsidR="00A23DC1" w:rsidRPr="00B77310" w:rsidRDefault="00A23DC1" w:rsidP="00A23DC1">
            <w:pPr>
              <w:rPr>
                <w:sz w:val="20"/>
                <w:szCs w:val="20"/>
              </w:rPr>
            </w:pPr>
            <w:r w:rsidRPr="00B77310">
              <w:rPr>
                <w:sz w:val="20"/>
                <w:szCs w:val="20"/>
              </w:rPr>
              <w:t>Od ul. Kołobrzeskiej do Stadionu</w:t>
            </w:r>
          </w:p>
        </w:tc>
        <w:tc>
          <w:tcPr>
            <w:tcW w:w="1164" w:type="dxa"/>
          </w:tcPr>
          <w:p w14:paraId="2561B2E2" w14:textId="77777777" w:rsidR="00A23DC1" w:rsidRPr="00B77310" w:rsidRDefault="00A23DC1" w:rsidP="00A23DC1">
            <w:pPr>
              <w:jc w:val="both"/>
              <w:rPr>
                <w:sz w:val="20"/>
                <w:szCs w:val="20"/>
              </w:rPr>
            </w:pPr>
            <w:r w:rsidRPr="00B77310">
              <w:rPr>
                <w:sz w:val="20"/>
                <w:szCs w:val="20"/>
              </w:rPr>
              <w:t>0-5</w:t>
            </w:r>
          </w:p>
        </w:tc>
        <w:tc>
          <w:tcPr>
            <w:tcW w:w="1164" w:type="dxa"/>
          </w:tcPr>
          <w:p w14:paraId="30184A1D" w14:textId="77777777" w:rsidR="00A23DC1" w:rsidRPr="00B77310" w:rsidRDefault="00A23DC1" w:rsidP="00A23DC1">
            <w:pPr>
              <w:jc w:val="both"/>
              <w:rPr>
                <w:sz w:val="20"/>
                <w:szCs w:val="20"/>
              </w:rPr>
            </w:pPr>
            <w:r w:rsidRPr="00B77310">
              <w:rPr>
                <w:sz w:val="20"/>
                <w:szCs w:val="20"/>
              </w:rPr>
              <w:t>-</w:t>
            </w:r>
          </w:p>
        </w:tc>
        <w:tc>
          <w:tcPr>
            <w:tcW w:w="1164" w:type="dxa"/>
          </w:tcPr>
          <w:p w14:paraId="2EE0155A" w14:textId="77777777" w:rsidR="00A23DC1" w:rsidRPr="00B77310" w:rsidRDefault="00A23DC1" w:rsidP="00A23DC1">
            <w:pPr>
              <w:jc w:val="both"/>
              <w:rPr>
                <w:sz w:val="20"/>
                <w:szCs w:val="20"/>
              </w:rPr>
            </w:pPr>
            <w:r w:rsidRPr="00B77310">
              <w:rPr>
                <w:sz w:val="20"/>
                <w:szCs w:val="20"/>
              </w:rPr>
              <w:t>-</w:t>
            </w:r>
          </w:p>
        </w:tc>
        <w:tc>
          <w:tcPr>
            <w:tcW w:w="1165" w:type="dxa"/>
          </w:tcPr>
          <w:p w14:paraId="659FD6DD" w14:textId="77777777" w:rsidR="00A23DC1" w:rsidRPr="00B77310" w:rsidRDefault="00A23DC1" w:rsidP="00A23DC1">
            <w:pPr>
              <w:jc w:val="both"/>
              <w:rPr>
                <w:sz w:val="20"/>
                <w:szCs w:val="20"/>
              </w:rPr>
            </w:pPr>
            <w:r w:rsidRPr="00B77310">
              <w:rPr>
                <w:sz w:val="20"/>
                <w:szCs w:val="20"/>
              </w:rPr>
              <w:t>-</w:t>
            </w:r>
          </w:p>
        </w:tc>
      </w:tr>
      <w:tr w:rsidR="00A23DC1" w:rsidRPr="0051542D" w14:paraId="77EAA9BA" w14:textId="77777777" w:rsidTr="00EF7DFE">
        <w:tc>
          <w:tcPr>
            <w:tcW w:w="1595" w:type="dxa"/>
          </w:tcPr>
          <w:p w14:paraId="4678B41C" w14:textId="77777777" w:rsidR="00A23DC1" w:rsidRPr="00B77310" w:rsidRDefault="00A23DC1" w:rsidP="00A23DC1">
            <w:pPr>
              <w:jc w:val="both"/>
              <w:rPr>
                <w:sz w:val="20"/>
                <w:szCs w:val="20"/>
              </w:rPr>
            </w:pPr>
            <w:r w:rsidRPr="00B77310">
              <w:rPr>
                <w:sz w:val="20"/>
                <w:szCs w:val="20"/>
              </w:rPr>
              <w:t>Grunwaldzka</w:t>
            </w:r>
          </w:p>
        </w:tc>
        <w:tc>
          <w:tcPr>
            <w:tcW w:w="3220" w:type="dxa"/>
          </w:tcPr>
          <w:p w14:paraId="1FA280DF" w14:textId="77777777" w:rsidR="00A23DC1" w:rsidRPr="00B77310" w:rsidRDefault="00A23DC1" w:rsidP="00A23DC1">
            <w:pPr>
              <w:rPr>
                <w:sz w:val="20"/>
                <w:szCs w:val="20"/>
              </w:rPr>
            </w:pPr>
            <w:r w:rsidRPr="00B77310">
              <w:rPr>
                <w:sz w:val="20"/>
                <w:szCs w:val="20"/>
              </w:rPr>
              <w:t>Cały odcinek</w:t>
            </w:r>
          </w:p>
        </w:tc>
        <w:tc>
          <w:tcPr>
            <w:tcW w:w="1164" w:type="dxa"/>
          </w:tcPr>
          <w:p w14:paraId="3836B7AA" w14:textId="77777777" w:rsidR="00A23DC1" w:rsidRPr="00B77310" w:rsidRDefault="00A23DC1" w:rsidP="00A23DC1">
            <w:pPr>
              <w:jc w:val="both"/>
              <w:rPr>
                <w:sz w:val="20"/>
                <w:szCs w:val="20"/>
              </w:rPr>
            </w:pPr>
            <w:r w:rsidRPr="00B77310">
              <w:rPr>
                <w:sz w:val="20"/>
                <w:szCs w:val="20"/>
              </w:rPr>
              <w:t>0-5</w:t>
            </w:r>
          </w:p>
        </w:tc>
        <w:tc>
          <w:tcPr>
            <w:tcW w:w="1164" w:type="dxa"/>
          </w:tcPr>
          <w:p w14:paraId="2630C7A1" w14:textId="77777777" w:rsidR="00A23DC1" w:rsidRPr="00B77310" w:rsidRDefault="00A23DC1" w:rsidP="00A23DC1">
            <w:pPr>
              <w:jc w:val="both"/>
              <w:rPr>
                <w:sz w:val="20"/>
                <w:szCs w:val="20"/>
              </w:rPr>
            </w:pPr>
            <w:r w:rsidRPr="00B77310">
              <w:rPr>
                <w:sz w:val="20"/>
                <w:szCs w:val="20"/>
              </w:rPr>
              <w:t>0-5</w:t>
            </w:r>
          </w:p>
        </w:tc>
        <w:tc>
          <w:tcPr>
            <w:tcW w:w="1164" w:type="dxa"/>
          </w:tcPr>
          <w:p w14:paraId="38674148" w14:textId="77777777" w:rsidR="00A23DC1" w:rsidRPr="00B77310" w:rsidRDefault="00A23DC1" w:rsidP="00A23DC1">
            <w:pPr>
              <w:jc w:val="both"/>
              <w:rPr>
                <w:sz w:val="20"/>
                <w:szCs w:val="20"/>
              </w:rPr>
            </w:pPr>
            <w:r w:rsidRPr="00B77310">
              <w:rPr>
                <w:sz w:val="20"/>
                <w:szCs w:val="20"/>
              </w:rPr>
              <w:t>0-4</w:t>
            </w:r>
          </w:p>
        </w:tc>
        <w:tc>
          <w:tcPr>
            <w:tcW w:w="1165" w:type="dxa"/>
          </w:tcPr>
          <w:p w14:paraId="6C40402B" w14:textId="77777777" w:rsidR="00A23DC1" w:rsidRPr="00B77310" w:rsidRDefault="00A23DC1" w:rsidP="00A23DC1">
            <w:pPr>
              <w:jc w:val="both"/>
              <w:rPr>
                <w:sz w:val="20"/>
                <w:szCs w:val="20"/>
              </w:rPr>
            </w:pPr>
            <w:r w:rsidRPr="00B77310">
              <w:rPr>
                <w:sz w:val="20"/>
                <w:szCs w:val="20"/>
              </w:rPr>
              <w:t>0-1</w:t>
            </w:r>
          </w:p>
        </w:tc>
      </w:tr>
      <w:tr w:rsidR="00A23DC1" w:rsidRPr="0051542D" w14:paraId="24B10735" w14:textId="77777777" w:rsidTr="00EF7DFE">
        <w:tc>
          <w:tcPr>
            <w:tcW w:w="1595" w:type="dxa"/>
          </w:tcPr>
          <w:p w14:paraId="007E4B5F" w14:textId="77777777" w:rsidR="00A23DC1" w:rsidRPr="00B77310" w:rsidRDefault="00A23DC1" w:rsidP="00A23DC1">
            <w:pPr>
              <w:jc w:val="both"/>
              <w:rPr>
                <w:sz w:val="20"/>
                <w:szCs w:val="20"/>
              </w:rPr>
            </w:pPr>
            <w:r w:rsidRPr="00B77310">
              <w:rPr>
                <w:sz w:val="20"/>
                <w:szCs w:val="20"/>
              </w:rPr>
              <w:t>Niepodległości</w:t>
            </w:r>
          </w:p>
        </w:tc>
        <w:tc>
          <w:tcPr>
            <w:tcW w:w="3220" w:type="dxa"/>
          </w:tcPr>
          <w:p w14:paraId="081E264D" w14:textId="77777777" w:rsidR="00A23DC1" w:rsidRPr="00B77310" w:rsidRDefault="00A23DC1" w:rsidP="00A23DC1">
            <w:pPr>
              <w:rPr>
                <w:sz w:val="20"/>
                <w:szCs w:val="20"/>
              </w:rPr>
            </w:pPr>
            <w:r w:rsidRPr="00B77310">
              <w:rPr>
                <w:sz w:val="20"/>
                <w:szCs w:val="20"/>
              </w:rPr>
              <w:t>Od ul. Śliwy do ul. Obiegowej</w:t>
            </w:r>
          </w:p>
        </w:tc>
        <w:tc>
          <w:tcPr>
            <w:tcW w:w="1164" w:type="dxa"/>
          </w:tcPr>
          <w:p w14:paraId="07B00097" w14:textId="77777777" w:rsidR="00A23DC1" w:rsidRPr="00B77310" w:rsidRDefault="00A23DC1" w:rsidP="00A23DC1">
            <w:pPr>
              <w:jc w:val="both"/>
              <w:rPr>
                <w:sz w:val="20"/>
                <w:szCs w:val="20"/>
              </w:rPr>
            </w:pPr>
            <w:r w:rsidRPr="00B77310">
              <w:rPr>
                <w:sz w:val="20"/>
                <w:szCs w:val="20"/>
              </w:rPr>
              <w:t>0-5*</w:t>
            </w:r>
          </w:p>
        </w:tc>
        <w:tc>
          <w:tcPr>
            <w:tcW w:w="1164" w:type="dxa"/>
          </w:tcPr>
          <w:p w14:paraId="06134AB5" w14:textId="77777777" w:rsidR="00A23DC1" w:rsidRPr="00B77310" w:rsidRDefault="00A23DC1" w:rsidP="00A23DC1">
            <w:pPr>
              <w:jc w:val="both"/>
              <w:rPr>
                <w:sz w:val="20"/>
                <w:szCs w:val="20"/>
              </w:rPr>
            </w:pPr>
            <w:r w:rsidRPr="00B77310">
              <w:rPr>
                <w:sz w:val="20"/>
                <w:szCs w:val="20"/>
              </w:rPr>
              <w:t>0-5</w:t>
            </w:r>
          </w:p>
        </w:tc>
        <w:tc>
          <w:tcPr>
            <w:tcW w:w="1164" w:type="dxa"/>
          </w:tcPr>
          <w:p w14:paraId="2D25B32C" w14:textId="77777777" w:rsidR="00A23DC1" w:rsidRPr="00B77310" w:rsidRDefault="00A23DC1" w:rsidP="00A23DC1">
            <w:pPr>
              <w:jc w:val="both"/>
              <w:rPr>
                <w:sz w:val="20"/>
                <w:szCs w:val="20"/>
              </w:rPr>
            </w:pPr>
            <w:r w:rsidRPr="00B77310">
              <w:rPr>
                <w:sz w:val="20"/>
                <w:szCs w:val="20"/>
              </w:rPr>
              <w:t>0-1</w:t>
            </w:r>
          </w:p>
        </w:tc>
        <w:tc>
          <w:tcPr>
            <w:tcW w:w="1165" w:type="dxa"/>
          </w:tcPr>
          <w:p w14:paraId="1A575DAA" w14:textId="77777777" w:rsidR="00A23DC1" w:rsidRPr="00B77310" w:rsidRDefault="00A23DC1" w:rsidP="00A23DC1">
            <w:pPr>
              <w:jc w:val="both"/>
              <w:rPr>
                <w:sz w:val="20"/>
                <w:szCs w:val="20"/>
              </w:rPr>
            </w:pPr>
            <w:r w:rsidRPr="00B77310">
              <w:rPr>
                <w:sz w:val="20"/>
                <w:szCs w:val="20"/>
              </w:rPr>
              <w:t>-</w:t>
            </w:r>
          </w:p>
        </w:tc>
      </w:tr>
      <w:tr w:rsidR="00A23DC1" w:rsidRPr="0051542D" w14:paraId="587EF7BA" w14:textId="77777777" w:rsidTr="00EF7DFE">
        <w:tc>
          <w:tcPr>
            <w:tcW w:w="1595" w:type="dxa"/>
          </w:tcPr>
          <w:p w14:paraId="366E402D" w14:textId="77777777" w:rsidR="00A23DC1" w:rsidRPr="00B77310" w:rsidRDefault="00A23DC1" w:rsidP="00A23DC1">
            <w:pPr>
              <w:jc w:val="both"/>
              <w:rPr>
                <w:sz w:val="20"/>
                <w:szCs w:val="20"/>
              </w:rPr>
            </w:pPr>
            <w:r w:rsidRPr="00B77310">
              <w:rPr>
                <w:sz w:val="20"/>
                <w:szCs w:val="20"/>
              </w:rPr>
              <w:t>Pstrowskiego</w:t>
            </w:r>
          </w:p>
        </w:tc>
        <w:tc>
          <w:tcPr>
            <w:tcW w:w="3220" w:type="dxa"/>
          </w:tcPr>
          <w:p w14:paraId="3EA0DE38" w14:textId="77777777" w:rsidR="00A23DC1" w:rsidRPr="00B77310" w:rsidRDefault="00A23DC1" w:rsidP="00A23DC1">
            <w:pPr>
              <w:rPr>
                <w:sz w:val="20"/>
                <w:szCs w:val="20"/>
              </w:rPr>
            </w:pPr>
            <w:r w:rsidRPr="00B77310">
              <w:rPr>
                <w:sz w:val="20"/>
                <w:szCs w:val="20"/>
              </w:rPr>
              <w:t>Naprzeciwko CityBank</w:t>
            </w:r>
          </w:p>
        </w:tc>
        <w:tc>
          <w:tcPr>
            <w:tcW w:w="1164" w:type="dxa"/>
          </w:tcPr>
          <w:p w14:paraId="3C79E0A9" w14:textId="77777777" w:rsidR="00A23DC1" w:rsidRPr="00B77310" w:rsidRDefault="00A23DC1" w:rsidP="00A23DC1">
            <w:pPr>
              <w:jc w:val="both"/>
              <w:rPr>
                <w:sz w:val="20"/>
                <w:szCs w:val="20"/>
              </w:rPr>
            </w:pPr>
            <w:r w:rsidRPr="00B77310">
              <w:rPr>
                <w:sz w:val="20"/>
                <w:szCs w:val="20"/>
              </w:rPr>
              <w:t>0-5*</w:t>
            </w:r>
          </w:p>
        </w:tc>
        <w:tc>
          <w:tcPr>
            <w:tcW w:w="1164" w:type="dxa"/>
          </w:tcPr>
          <w:p w14:paraId="2AAC96D3" w14:textId="77777777" w:rsidR="00A23DC1" w:rsidRPr="00B77310" w:rsidRDefault="00A23DC1" w:rsidP="00A23DC1">
            <w:pPr>
              <w:jc w:val="both"/>
              <w:rPr>
                <w:sz w:val="20"/>
                <w:szCs w:val="20"/>
              </w:rPr>
            </w:pPr>
            <w:r w:rsidRPr="00B77310">
              <w:rPr>
                <w:sz w:val="20"/>
                <w:szCs w:val="20"/>
              </w:rPr>
              <w:t>0-5</w:t>
            </w:r>
          </w:p>
        </w:tc>
        <w:tc>
          <w:tcPr>
            <w:tcW w:w="1164" w:type="dxa"/>
          </w:tcPr>
          <w:p w14:paraId="3A22F7EA" w14:textId="77777777" w:rsidR="00A23DC1" w:rsidRPr="00B77310" w:rsidRDefault="00A23DC1" w:rsidP="00A23DC1">
            <w:pPr>
              <w:jc w:val="both"/>
              <w:rPr>
                <w:sz w:val="20"/>
                <w:szCs w:val="20"/>
              </w:rPr>
            </w:pPr>
            <w:r w:rsidRPr="00B77310">
              <w:rPr>
                <w:sz w:val="20"/>
                <w:szCs w:val="20"/>
              </w:rPr>
              <w:t>0-11#</w:t>
            </w:r>
          </w:p>
        </w:tc>
        <w:tc>
          <w:tcPr>
            <w:tcW w:w="1165" w:type="dxa"/>
          </w:tcPr>
          <w:p w14:paraId="6A8DAEFC" w14:textId="77777777" w:rsidR="00A23DC1" w:rsidRPr="00B77310" w:rsidRDefault="00A23DC1" w:rsidP="00A23DC1">
            <w:pPr>
              <w:jc w:val="both"/>
              <w:rPr>
                <w:sz w:val="20"/>
                <w:szCs w:val="20"/>
              </w:rPr>
            </w:pPr>
          </w:p>
        </w:tc>
      </w:tr>
      <w:tr w:rsidR="000B661B" w:rsidRPr="0051542D" w14:paraId="00C5AD3C" w14:textId="77777777" w:rsidTr="00EF7DFE">
        <w:tc>
          <w:tcPr>
            <w:tcW w:w="1595" w:type="dxa"/>
          </w:tcPr>
          <w:p w14:paraId="19F26FEB" w14:textId="77777777" w:rsidR="000B661B" w:rsidRPr="00B77310" w:rsidRDefault="000B661B" w:rsidP="00A23DC1">
            <w:pPr>
              <w:jc w:val="both"/>
              <w:rPr>
                <w:sz w:val="20"/>
                <w:szCs w:val="20"/>
              </w:rPr>
            </w:pPr>
            <w:r w:rsidRPr="00B77310">
              <w:rPr>
                <w:sz w:val="20"/>
                <w:szCs w:val="20"/>
              </w:rPr>
              <w:t>Pstrowskiego</w:t>
            </w:r>
          </w:p>
        </w:tc>
        <w:tc>
          <w:tcPr>
            <w:tcW w:w="3220" w:type="dxa"/>
          </w:tcPr>
          <w:p w14:paraId="04BC3994" w14:textId="77777777" w:rsidR="000B661B" w:rsidRPr="00B77310" w:rsidRDefault="000B661B" w:rsidP="00A23DC1">
            <w:pPr>
              <w:rPr>
                <w:sz w:val="20"/>
                <w:szCs w:val="20"/>
              </w:rPr>
            </w:pPr>
            <w:r w:rsidRPr="00B77310">
              <w:rPr>
                <w:sz w:val="20"/>
                <w:szCs w:val="20"/>
              </w:rPr>
              <w:t>Od ul. Wyszyńskiego do ul. Gdyńskiej</w:t>
            </w:r>
          </w:p>
        </w:tc>
        <w:tc>
          <w:tcPr>
            <w:tcW w:w="1164" w:type="dxa"/>
          </w:tcPr>
          <w:p w14:paraId="43F9A6E0" w14:textId="77777777" w:rsidR="000B661B" w:rsidRPr="00B77310" w:rsidRDefault="000B661B" w:rsidP="000B661B">
            <w:pPr>
              <w:jc w:val="both"/>
              <w:rPr>
                <w:sz w:val="20"/>
                <w:szCs w:val="20"/>
              </w:rPr>
            </w:pPr>
            <w:r w:rsidRPr="00B77310">
              <w:rPr>
                <w:sz w:val="20"/>
                <w:szCs w:val="20"/>
              </w:rPr>
              <w:t>0-5</w:t>
            </w:r>
          </w:p>
        </w:tc>
        <w:tc>
          <w:tcPr>
            <w:tcW w:w="1164" w:type="dxa"/>
          </w:tcPr>
          <w:p w14:paraId="5B83BD7C" w14:textId="77777777" w:rsidR="000B661B" w:rsidRPr="00B77310" w:rsidRDefault="000B661B" w:rsidP="00A23DC1">
            <w:pPr>
              <w:jc w:val="both"/>
              <w:rPr>
                <w:sz w:val="20"/>
                <w:szCs w:val="20"/>
              </w:rPr>
            </w:pPr>
            <w:r w:rsidRPr="00B77310">
              <w:rPr>
                <w:sz w:val="20"/>
                <w:szCs w:val="20"/>
              </w:rPr>
              <w:t>-</w:t>
            </w:r>
          </w:p>
        </w:tc>
        <w:tc>
          <w:tcPr>
            <w:tcW w:w="1164" w:type="dxa"/>
          </w:tcPr>
          <w:p w14:paraId="68091D47" w14:textId="77777777" w:rsidR="000B661B" w:rsidRPr="00B77310" w:rsidRDefault="000B661B" w:rsidP="00A23DC1">
            <w:pPr>
              <w:jc w:val="both"/>
              <w:rPr>
                <w:sz w:val="20"/>
                <w:szCs w:val="20"/>
              </w:rPr>
            </w:pPr>
            <w:r w:rsidRPr="00B77310">
              <w:rPr>
                <w:sz w:val="20"/>
                <w:szCs w:val="20"/>
              </w:rPr>
              <w:t>-</w:t>
            </w:r>
          </w:p>
        </w:tc>
        <w:tc>
          <w:tcPr>
            <w:tcW w:w="1165" w:type="dxa"/>
          </w:tcPr>
          <w:p w14:paraId="40B527D3" w14:textId="77777777" w:rsidR="000B661B" w:rsidRPr="00B77310" w:rsidRDefault="000B661B" w:rsidP="00A23DC1">
            <w:pPr>
              <w:jc w:val="both"/>
              <w:rPr>
                <w:sz w:val="20"/>
                <w:szCs w:val="20"/>
              </w:rPr>
            </w:pPr>
            <w:r w:rsidRPr="00B77310">
              <w:rPr>
                <w:sz w:val="20"/>
                <w:szCs w:val="20"/>
              </w:rPr>
              <w:t>-</w:t>
            </w:r>
          </w:p>
        </w:tc>
      </w:tr>
    </w:tbl>
    <w:p w14:paraId="3A9399A2" w14:textId="7AC4F809" w:rsidR="00A23DC1" w:rsidRPr="0051542D" w:rsidRDefault="00A23DC1" w:rsidP="00A23DC1">
      <w:pPr>
        <w:spacing w:after="0"/>
        <w:jc w:val="both"/>
      </w:pPr>
      <w:r w:rsidRPr="0051542D">
        <w:t>* - niewielkie przekroczenia poza podanym zakresem wyst</w:t>
      </w:r>
      <w:r w:rsidR="00206773">
        <w:t>ępują na granicy pasa drogowego</w:t>
      </w:r>
    </w:p>
    <w:p w14:paraId="4B79B697" w14:textId="5DBAE27F" w:rsidR="00A23DC1" w:rsidRPr="0051542D" w:rsidRDefault="00A23DC1" w:rsidP="00A23DC1">
      <w:pPr>
        <w:spacing w:after="0"/>
        <w:jc w:val="both"/>
      </w:pPr>
      <w:r w:rsidRPr="0051542D">
        <w:t>** - podana wartość wskaźnika M dla budynków podana jest w przedziale, rzecz</w:t>
      </w:r>
      <w:r w:rsidR="00206773">
        <w:t>ywista wartość jest bliska zeru</w:t>
      </w:r>
    </w:p>
    <w:p w14:paraId="175EA2E3" w14:textId="46C597CE" w:rsidR="00A23DC1" w:rsidRPr="0051542D" w:rsidRDefault="00A23DC1" w:rsidP="00A23DC1">
      <w:pPr>
        <w:spacing w:after="0"/>
        <w:jc w:val="both"/>
      </w:pPr>
      <w:r w:rsidRPr="0051542D">
        <w:t>#</w:t>
      </w:r>
      <w:r w:rsidR="00206773">
        <w:t xml:space="preserve"> </w:t>
      </w:r>
      <w:r w:rsidRPr="0051542D">
        <w:t>- na danym odcinku narażony na ha</w:t>
      </w:r>
      <w:r w:rsidR="00206773">
        <w:t>łas jest tylko jeden budynek</w:t>
      </w:r>
    </w:p>
    <w:p w14:paraId="249BA4C0" w14:textId="7E83EE78" w:rsidR="00A23DC1" w:rsidRDefault="00A23DC1" w:rsidP="00A23DC1">
      <w:pPr>
        <w:spacing w:after="0"/>
        <w:jc w:val="both"/>
      </w:pPr>
      <w:r w:rsidRPr="0051542D">
        <w:t>## - na danym odcinku narażonych n</w:t>
      </w:r>
      <w:r w:rsidR="00206773">
        <w:t>a hałas jest tylko 2-5 budynków</w:t>
      </w:r>
    </w:p>
    <w:p w14:paraId="020C1BC4" w14:textId="77777777" w:rsidR="00A23DC1" w:rsidRDefault="00A23DC1" w:rsidP="00A23DC1">
      <w:pPr>
        <w:spacing w:after="0"/>
        <w:jc w:val="both"/>
      </w:pPr>
    </w:p>
    <w:p w14:paraId="2591E2A8" w14:textId="59D89422" w:rsidR="009A5540" w:rsidRPr="00943109" w:rsidRDefault="009A5540" w:rsidP="00943109">
      <w:pPr>
        <w:autoSpaceDE w:val="0"/>
        <w:autoSpaceDN w:val="0"/>
        <w:adjustRightInd w:val="0"/>
        <w:spacing w:after="0" w:line="240" w:lineRule="auto"/>
        <w:jc w:val="both"/>
        <w:rPr>
          <w:color w:val="000000" w:themeColor="text1"/>
        </w:rPr>
      </w:pPr>
      <w:r w:rsidRPr="00943109">
        <w:rPr>
          <w:color w:val="000000" w:themeColor="text1"/>
        </w:rPr>
        <w:t xml:space="preserve">Na koniec 2018 roku w Olsztynie zarejestrowanych było 118 486 pojazdów samochodowych </w:t>
      </w:r>
      <w:r w:rsidR="00E20D5D" w:rsidRPr="00943109">
        <w:rPr>
          <w:color w:val="000000" w:themeColor="text1"/>
        </w:rPr>
        <w:br/>
      </w:r>
      <w:r w:rsidRPr="00943109">
        <w:rPr>
          <w:color w:val="000000" w:themeColor="text1"/>
        </w:rPr>
        <w:t>i ciągników, w tym 91 604 samochodów osobowych.</w:t>
      </w:r>
      <w:r w:rsidR="00320D41" w:rsidRPr="00943109">
        <w:rPr>
          <w:color w:val="000000" w:themeColor="text1"/>
        </w:rPr>
        <w:t xml:space="preserve"> Wskaźnik motoryzacji osiągnął poziom </w:t>
      </w:r>
      <w:r w:rsidR="00320D41" w:rsidRPr="00943109">
        <w:rPr>
          <w:rFonts w:cs="Times New Roman"/>
        </w:rPr>
        <w:t xml:space="preserve">690,0 pojazdów samochodowych i ciągników na 1000 mieszkańców oraz 531,5 samochodów osobowych na 1000 mieszkańców. </w:t>
      </w:r>
      <w:r w:rsidRPr="00943109">
        <w:rPr>
          <w:color w:val="000000" w:themeColor="text1"/>
        </w:rPr>
        <w:t xml:space="preserve">Liczba pojazdów poruszających się </w:t>
      </w:r>
      <w:r w:rsidR="00E20D5D" w:rsidRPr="00943109">
        <w:rPr>
          <w:color w:val="000000" w:themeColor="text1"/>
        </w:rPr>
        <w:t>po ols</w:t>
      </w:r>
      <w:r w:rsidR="00A86784" w:rsidRPr="00943109">
        <w:rPr>
          <w:color w:val="000000" w:themeColor="text1"/>
        </w:rPr>
        <w:t>ztyńskich drogach</w:t>
      </w:r>
      <w:r w:rsidR="0056452A">
        <w:rPr>
          <w:color w:val="000000" w:themeColor="text1"/>
        </w:rPr>
        <w:t xml:space="preserve"> stale</w:t>
      </w:r>
      <w:r w:rsidR="00A86784" w:rsidRPr="00943109">
        <w:rPr>
          <w:color w:val="000000" w:themeColor="text1"/>
        </w:rPr>
        <w:t xml:space="preserve"> </w:t>
      </w:r>
      <w:r w:rsidR="00E20D5D" w:rsidRPr="00943109">
        <w:rPr>
          <w:color w:val="000000" w:themeColor="text1"/>
        </w:rPr>
        <w:t>rośnie</w:t>
      </w:r>
      <w:r w:rsidR="0056452A">
        <w:rPr>
          <w:color w:val="000000" w:themeColor="text1"/>
        </w:rPr>
        <w:t xml:space="preserve"> </w:t>
      </w:r>
      <w:r w:rsidR="00A86784" w:rsidRPr="00943109">
        <w:rPr>
          <w:color w:val="000000" w:themeColor="text1"/>
        </w:rPr>
        <w:t xml:space="preserve">– więcej </w:t>
      </w:r>
      <w:r w:rsidR="0056452A">
        <w:rPr>
          <w:color w:val="000000" w:themeColor="text1"/>
        </w:rPr>
        <w:br/>
      </w:r>
      <w:r w:rsidR="00A86784" w:rsidRPr="00943109">
        <w:rPr>
          <w:color w:val="000000" w:themeColor="text1"/>
        </w:rPr>
        <w:t>o 19 588 pojazdów w roku 2018 w porównaniu danymi za rok 2013.</w:t>
      </w:r>
      <w:r w:rsidR="00943109" w:rsidRPr="00943109">
        <w:rPr>
          <w:color w:val="000000" w:themeColor="text1"/>
        </w:rPr>
        <w:t xml:space="preserve"> </w:t>
      </w:r>
      <w:r w:rsidR="00A86784" w:rsidRPr="00943109">
        <w:rPr>
          <w:color w:val="000000" w:themeColor="text1"/>
        </w:rPr>
        <w:t>Generowany przez nie ruch nie pozostaje bez wpływu na jakość powietrza i komfort akustyczny w mieście.</w:t>
      </w:r>
    </w:p>
    <w:p w14:paraId="68B10034" w14:textId="77777777" w:rsidR="00A86784" w:rsidRPr="009A5540" w:rsidRDefault="00A86784" w:rsidP="00A23DC1">
      <w:pPr>
        <w:spacing w:after="0"/>
        <w:jc w:val="both"/>
        <w:rPr>
          <w:color w:val="FF0000"/>
        </w:rPr>
      </w:pPr>
    </w:p>
    <w:p w14:paraId="6961AC12" w14:textId="77777777" w:rsidR="00A23DC1" w:rsidRDefault="00A23DC1" w:rsidP="00A23DC1">
      <w:pPr>
        <w:spacing w:after="0"/>
        <w:jc w:val="both"/>
      </w:pPr>
      <w:r>
        <w:t>W badanym obszarze wystąpiły pojedyncze przekroczenia na granicy pasa drogowego – 6 przypadków, w 2 przypadkach na przekroczenie hałasem narażony jest jeden budynek natomiast w 1 przypadku narażonych jest 2-5 budynków.</w:t>
      </w:r>
    </w:p>
    <w:p w14:paraId="63131EEE" w14:textId="77777777" w:rsidR="00A23DC1" w:rsidRPr="0051542D" w:rsidRDefault="00A23DC1" w:rsidP="00A23DC1">
      <w:pPr>
        <w:spacing w:after="0"/>
        <w:jc w:val="both"/>
      </w:pPr>
    </w:p>
    <w:p w14:paraId="6F967BFB" w14:textId="77777777" w:rsidR="00A23DC1" w:rsidRPr="0051542D" w:rsidRDefault="00A23DC1" w:rsidP="000B661B">
      <w:pPr>
        <w:spacing w:after="0"/>
        <w:jc w:val="both"/>
      </w:pPr>
      <w:r w:rsidRPr="0051542D">
        <w:t>Przez obszar MOF Olsztyna przebiegają liczne drogi, w tym:</w:t>
      </w:r>
    </w:p>
    <w:p w14:paraId="7B1F3F1F" w14:textId="77777777" w:rsidR="00A23DC1" w:rsidRPr="0051542D" w:rsidRDefault="00A23DC1" w:rsidP="000B661B">
      <w:pPr>
        <w:numPr>
          <w:ilvl w:val="0"/>
          <w:numId w:val="19"/>
        </w:numPr>
        <w:spacing w:after="0"/>
        <w:contextualSpacing/>
        <w:jc w:val="both"/>
      </w:pPr>
      <w:r w:rsidRPr="0051542D">
        <w:t>ekspresowe: S16, S51</w:t>
      </w:r>
    </w:p>
    <w:p w14:paraId="78C57AAD" w14:textId="77777777" w:rsidR="00A23DC1" w:rsidRPr="0051542D" w:rsidRDefault="00A23DC1" w:rsidP="000B661B">
      <w:pPr>
        <w:numPr>
          <w:ilvl w:val="0"/>
          <w:numId w:val="19"/>
        </w:numPr>
        <w:spacing w:after="0"/>
        <w:contextualSpacing/>
        <w:jc w:val="both"/>
      </w:pPr>
      <w:r w:rsidRPr="0051542D">
        <w:t>krajowe nr: 16, 51, 53,</w:t>
      </w:r>
    </w:p>
    <w:p w14:paraId="4B0026C6" w14:textId="77777777" w:rsidR="00A23DC1" w:rsidRPr="0051542D" w:rsidRDefault="00A23DC1" w:rsidP="00A23DC1">
      <w:pPr>
        <w:numPr>
          <w:ilvl w:val="0"/>
          <w:numId w:val="19"/>
        </w:numPr>
        <w:contextualSpacing/>
        <w:jc w:val="both"/>
      </w:pPr>
      <w:r w:rsidRPr="0051542D">
        <w:t>woje</w:t>
      </w:r>
      <w:r>
        <w:t>wódzkie nr: 527, 531, 595, 598.</w:t>
      </w:r>
    </w:p>
    <w:p w14:paraId="5FDC515F" w14:textId="77777777" w:rsidR="00A23DC1" w:rsidRPr="0051542D" w:rsidRDefault="00A23DC1" w:rsidP="00A23DC1">
      <w:pPr>
        <w:jc w:val="both"/>
      </w:pPr>
      <w:r w:rsidRPr="0051542D">
        <w:t>Sieć dróg województwa zapewnia dobrą komunikację wewnętrzną oraz międzywojewódzką. Szczególne znaczenie mają drogi krajowe (DK): S7 relacji Gdańsk - Olsztynek - Nidzica - Warszawa, nr 16 relacji Dolna Grupa - Olsztyn – Augustów-Ogrodniki (granica państwa) oraz nr 51 relacji Olsztynek - Olsztyn – Bezledy (przejście graniczne).</w:t>
      </w:r>
    </w:p>
    <w:p w14:paraId="222A8261" w14:textId="77777777" w:rsidR="00A23DC1" w:rsidRPr="00B77310" w:rsidRDefault="00A23DC1" w:rsidP="00B77310">
      <w:pPr>
        <w:rPr>
          <w:i/>
          <w:color w:val="2E74B5" w:themeColor="accent1" w:themeShade="BF"/>
        </w:rPr>
      </w:pPr>
      <w:bookmarkStart w:id="109" w:name="_Toc44656702"/>
      <w:bookmarkStart w:id="110" w:name="_Toc45279345"/>
      <w:r w:rsidRPr="00B77310">
        <w:rPr>
          <w:i/>
          <w:color w:val="2E74B5" w:themeColor="accent1" w:themeShade="BF"/>
        </w:rPr>
        <w:t>Hałas przemysłowy</w:t>
      </w:r>
      <w:bookmarkEnd w:id="109"/>
      <w:bookmarkEnd w:id="110"/>
      <w:r w:rsidRPr="00B77310">
        <w:rPr>
          <w:i/>
          <w:color w:val="2E74B5" w:themeColor="accent1" w:themeShade="BF"/>
        </w:rPr>
        <w:t xml:space="preserve"> </w:t>
      </w:r>
    </w:p>
    <w:p w14:paraId="53D8870C" w14:textId="77777777" w:rsidR="00A23DC1" w:rsidRDefault="00A23DC1" w:rsidP="00A23DC1">
      <w:pPr>
        <w:jc w:val="both"/>
      </w:pPr>
      <w:r w:rsidRPr="0051542D">
        <w:t xml:space="preserve">W stosunku do skali negatywnego oddziaływania, jaki powoduje hałas drogowy, istniejące nieliczne źródła hałasu przemysłowego, związanego ze świadczonymi usługami, nie mają większego znaczenia, chociaż lokalnie mogą być uciążliwe. Źródłami hałasu przemysłowego mogą być urządzenia stacjonarne oraz ręczne, sieci i urządzenia energetyczne, urządzenia wentylacyjne i klimatyzacyjne, a także obiekty działalności gastronomiczno-rozrywkowej (np. dyskoteki). Na terenie </w:t>
      </w:r>
      <w:r w:rsidR="000B661B">
        <w:t xml:space="preserve">Olsztyna i w jego otoczeniu </w:t>
      </w:r>
      <w:r w:rsidRPr="0051542D">
        <w:t xml:space="preserve">nie </w:t>
      </w:r>
      <w:r w:rsidRPr="007C0AE6">
        <w:t>istnieją duże zakłady przemysłowe będące znaczącymi źródłami hałasu.</w:t>
      </w:r>
    </w:p>
    <w:p w14:paraId="34C1BFF6" w14:textId="77777777" w:rsidR="0082472B" w:rsidRPr="0082472B" w:rsidRDefault="0082472B" w:rsidP="0082472B">
      <w:pPr>
        <w:autoSpaceDE w:val="0"/>
        <w:autoSpaceDN w:val="0"/>
        <w:adjustRightInd w:val="0"/>
        <w:spacing w:after="0" w:line="240" w:lineRule="auto"/>
        <w:rPr>
          <w:rFonts w:cs="Times New Roman"/>
        </w:rPr>
      </w:pPr>
      <w:r w:rsidRPr="0082472B">
        <w:rPr>
          <w:rFonts w:cs="Times New Roman"/>
        </w:rPr>
        <w:t>Coraz większego znaczenia na terenie miasta nabiera zagrożenie hałasem związanym</w:t>
      </w:r>
      <w:r>
        <w:rPr>
          <w:rFonts w:cs="Times New Roman"/>
        </w:rPr>
        <w:t xml:space="preserve"> </w:t>
      </w:r>
      <w:r w:rsidRPr="0082472B">
        <w:rPr>
          <w:rFonts w:cs="Times New Roman"/>
        </w:rPr>
        <w:t>z akwenami. Głównymi źródłami hałasu są:</w:t>
      </w:r>
    </w:p>
    <w:p w14:paraId="07EE09BA" w14:textId="77777777" w:rsidR="0082472B" w:rsidRPr="0082472B" w:rsidRDefault="0082472B" w:rsidP="00FB56BD">
      <w:pPr>
        <w:pStyle w:val="Akapitzlist"/>
        <w:numPr>
          <w:ilvl w:val="0"/>
          <w:numId w:val="28"/>
        </w:numPr>
        <w:autoSpaceDE w:val="0"/>
        <w:autoSpaceDN w:val="0"/>
        <w:adjustRightInd w:val="0"/>
        <w:spacing w:after="0" w:line="240" w:lineRule="auto"/>
        <w:jc w:val="both"/>
      </w:pPr>
      <w:r w:rsidRPr="0082472B">
        <w:rPr>
          <w:rFonts w:cs="Times New Roman"/>
        </w:rPr>
        <w:t>używany sprzęt motorowy: łodzie motorowe, skutery wodne i inne,</w:t>
      </w:r>
    </w:p>
    <w:p w14:paraId="51F7D160" w14:textId="77777777" w:rsidR="0082472B" w:rsidRPr="0082472B" w:rsidRDefault="0082472B" w:rsidP="00FB56BD">
      <w:pPr>
        <w:pStyle w:val="Akapitzlist"/>
        <w:numPr>
          <w:ilvl w:val="0"/>
          <w:numId w:val="28"/>
        </w:numPr>
        <w:autoSpaceDE w:val="0"/>
        <w:autoSpaceDN w:val="0"/>
        <w:adjustRightInd w:val="0"/>
        <w:spacing w:after="0" w:line="240" w:lineRule="auto"/>
        <w:jc w:val="both"/>
      </w:pPr>
      <w:r w:rsidRPr="0082472B">
        <w:rPr>
          <w:rFonts w:cs="Times New Roman"/>
        </w:rPr>
        <w:t>odbywające się na akwenach i w ich pobliżu letnie imprezy sportowe i kulturalne.</w:t>
      </w:r>
    </w:p>
    <w:p w14:paraId="2B28418B" w14:textId="40AB3E81" w:rsidR="002A466C" w:rsidRDefault="002A466C">
      <w:pPr>
        <w:rPr>
          <w:rFonts w:asciiTheme="majorHAnsi" w:eastAsiaTheme="majorEastAsia" w:hAnsiTheme="majorHAnsi" w:cstheme="majorBidi"/>
          <w:color w:val="2E74B5" w:themeColor="accent1" w:themeShade="BF"/>
          <w:sz w:val="26"/>
          <w:szCs w:val="26"/>
        </w:rPr>
      </w:pPr>
    </w:p>
    <w:p w14:paraId="42673A07" w14:textId="7EFB87F1" w:rsidR="006A1560" w:rsidRPr="006A1560" w:rsidRDefault="0067760D" w:rsidP="009F7139">
      <w:pPr>
        <w:pStyle w:val="Nagwek3"/>
      </w:pPr>
      <w:bookmarkStart w:id="111" w:name="_Toc44656707"/>
      <w:bookmarkStart w:id="112" w:name="_Toc45279350"/>
      <w:bookmarkStart w:id="113" w:name="_Toc73534906"/>
      <w:r>
        <w:t xml:space="preserve">2.1 4 </w:t>
      </w:r>
      <w:r w:rsidR="006A1560" w:rsidRPr="006A1560">
        <w:t>Klimat</w:t>
      </w:r>
      <w:bookmarkEnd w:id="111"/>
      <w:bookmarkEnd w:id="112"/>
      <w:bookmarkEnd w:id="113"/>
    </w:p>
    <w:p w14:paraId="0D29F1CB" w14:textId="77777777" w:rsidR="006A1560" w:rsidRPr="0051542D" w:rsidRDefault="006A1560" w:rsidP="006A1560">
      <w:pPr>
        <w:jc w:val="both"/>
      </w:pPr>
      <w:r w:rsidRPr="0051542D">
        <w:t xml:space="preserve">Zaczerpnięte z Instytutu Meteorologii i Gospodarki Wodnej dane wieloletnie obejmują wyłącznie dane ze stacji synoptycznej zlokalizowanej w Olsztynie. </w:t>
      </w:r>
      <w:r>
        <w:t xml:space="preserve">Wartości dla pozostałych wybranych miast Polski </w:t>
      </w:r>
      <w:r>
        <w:lastRenderedPageBreak/>
        <w:t>Wschodniej dotyczą roku 2019 i obejmują pomiary oraz obserwacje zebrane na stacjach synoptycznych: Kielce-Suków, Białystok, Rzeszów-Jasionka oraz Lublin-Radawiec.</w:t>
      </w:r>
    </w:p>
    <w:p w14:paraId="1D2DA4A8" w14:textId="7975BF21" w:rsidR="006A1560" w:rsidRDefault="006A1560" w:rsidP="006A1560">
      <w:pPr>
        <w:jc w:val="both"/>
      </w:pPr>
      <w:r w:rsidRPr="0051542D">
        <w:t>Zgodnie z publikowanym przez IMGW Biuletynem Monitoringu Klimatu</w:t>
      </w:r>
      <w:r w:rsidR="00825DE9">
        <w:t>,</w:t>
      </w:r>
      <w:r w:rsidRPr="0051542D">
        <w:t xml:space="preserve"> </w:t>
      </w:r>
      <w:r>
        <w:t xml:space="preserve">Olsztyn i jego </w:t>
      </w:r>
      <w:r w:rsidRPr="0051542D">
        <w:t>obszar</w:t>
      </w:r>
      <w:r>
        <w:t xml:space="preserve"> metropolitalny</w:t>
      </w:r>
      <w:r w:rsidRPr="0051542D">
        <w:t xml:space="preserve"> zlokalizowany jest na obszarze Pojezierza Połu</w:t>
      </w:r>
      <w:r>
        <w:t>dniowo i Wschodniobałtyckiego (klasyfikacja według</w:t>
      </w:r>
      <w:r w:rsidRPr="0051542D">
        <w:t xml:space="preserve"> region</w:t>
      </w:r>
      <w:r>
        <w:t>ów</w:t>
      </w:r>
      <w:r w:rsidRPr="0051542D">
        <w:t xml:space="preserve"> fizykogeograficzn</w:t>
      </w:r>
      <w:r>
        <w:t xml:space="preserve">ych </w:t>
      </w:r>
      <w:r w:rsidRPr="0051542D">
        <w:t>Polski</w:t>
      </w:r>
      <w:r>
        <w:t>)</w:t>
      </w:r>
      <w:r w:rsidRPr="0051542D">
        <w:t>.</w:t>
      </w:r>
    </w:p>
    <w:p w14:paraId="7B128570" w14:textId="4668487D" w:rsidR="006A1560" w:rsidRDefault="006A1560" w:rsidP="006A1560">
      <w:pPr>
        <w:jc w:val="both"/>
      </w:pPr>
      <w:r>
        <w:t>Klimat Polski charakteryzuje się dużą zmiennością pogody oraz znacznym zróżnicowaniem przebiegu pór roku w następujących po sobie latach. Najcieplejszym rejonem Polski jest część południowo</w:t>
      </w:r>
      <w:r w:rsidR="00F36294">
        <w:t>-</w:t>
      </w:r>
      <w:r>
        <w:t>zachodnia (Nizina Śląska, zachodnia część Kotliny Sandomierskiej oraz Nizina Południowo wielkopolska) natomiast najchłodniejszym – północno</w:t>
      </w:r>
      <w:r w:rsidR="00F36294">
        <w:t>-</w:t>
      </w:r>
      <w:r>
        <w:t>wschodnia część kraju i obszary górskie.</w:t>
      </w:r>
    </w:p>
    <w:p w14:paraId="07E297A1" w14:textId="01B02D4A" w:rsidR="00CD20BD" w:rsidRDefault="00CD20BD" w:rsidP="006A1560">
      <w:pPr>
        <w:jc w:val="both"/>
      </w:pPr>
      <w:r>
        <w:t xml:space="preserve">Analiza uzupełniona została o dane z </w:t>
      </w:r>
      <w:r w:rsidRPr="00371E1D">
        <w:rPr>
          <w:i/>
        </w:rPr>
        <w:t>Planu adaptacji do zmian klimatu miasta Olsztyn do roku 2030</w:t>
      </w:r>
      <w:r w:rsidR="00F15B91">
        <w:t xml:space="preserve"> m.in.</w:t>
      </w:r>
      <w:r w:rsidR="00371E1D">
        <w:rPr>
          <w:i/>
        </w:rPr>
        <w:t xml:space="preserve"> </w:t>
      </w:r>
      <w:r w:rsidR="00371E1D">
        <w:t xml:space="preserve">w zakresie </w:t>
      </w:r>
      <w:r w:rsidR="00F15B91">
        <w:t>zagrożeń</w:t>
      </w:r>
      <w:r w:rsidR="00371E1D">
        <w:t xml:space="preserve"> oraz scenariuszy zmian klimatycznych</w:t>
      </w:r>
      <w:r>
        <w:t>.</w:t>
      </w:r>
    </w:p>
    <w:p w14:paraId="1F39245F" w14:textId="1B2DD0CB" w:rsidR="003F5DFC" w:rsidRPr="00B77310" w:rsidRDefault="003F5DFC" w:rsidP="003F5DFC">
      <w:pPr>
        <w:rPr>
          <w:i/>
          <w:color w:val="2E74B5" w:themeColor="accent1" w:themeShade="BF"/>
        </w:rPr>
      </w:pPr>
      <w:r>
        <w:rPr>
          <w:i/>
          <w:color w:val="2E74B5" w:themeColor="accent1" w:themeShade="BF"/>
        </w:rPr>
        <w:t>Temperatura powietrza</w:t>
      </w:r>
    </w:p>
    <w:p w14:paraId="109613AD" w14:textId="137BCAD7" w:rsidR="006A1560" w:rsidRDefault="006A1560" w:rsidP="006A1560">
      <w:pPr>
        <w:jc w:val="both"/>
      </w:pPr>
      <w:r>
        <w:t xml:space="preserve">Rozkład temperatury w lecie ma przebieg równoleżnikowy, wartości maleją z południa na północ, </w:t>
      </w:r>
      <w:r>
        <w:br/>
        <w:t xml:space="preserve">z wyjątkiem terenów górskich, od powyżej 18,5°C na Nizinie Śląskiej, w południowej Wielkopolsce oraz Kotlinie Sandomierskiej, do 16,5°C na Pojezierzu Kaszubskim. W zimie zaznacza się wyraźny spadek temperatury z zachodu na wschód: izotermy o układzie południkowym przekraczają wartość 0°C na zachodzie, obniżając się do poniżej -3°C na wschodzie (zwł. Pojezierze Suwalskie), zaś najniższe wartości przyjmują w górach (-8,4°C na Kasprowym Wierchu, -7,3°C na Śnieżce). Amplitudy roczne średniej miesięcznej temperatury wahają się od 19°C na wybrzeżu do 23°C na krańcach wschodnich kraju. </w:t>
      </w:r>
    </w:p>
    <w:p w14:paraId="687D7C3B" w14:textId="77777777" w:rsidR="006A1560" w:rsidRDefault="006A1560" w:rsidP="006A1560">
      <w:pPr>
        <w:jc w:val="both"/>
      </w:pPr>
      <w:r>
        <w:t xml:space="preserve">Z wieloletniej analizy, poza nielicznymi wyjątkami (luty 2018), wynika iż najniższe temperatury notuje się w miesiącu styczniu. Najcieplejsze miesiące to lipiec oraz sierpień. Najcieplejszym rokiem </w:t>
      </w:r>
      <w:r>
        <w:br/>
        <w:t>w badanym okresie był rok 2019, najchłodniejszym zaś rok 2017.</w:t>
      </w:r>
    </w:p>
    <w:p w14:paraId="3113DFF7" w14:textId="77777777" w:rsidR="006A1560" w:rsidRDefault="006A1560" w:rsidP="006A1560">
      <w:r>
        <w:t>Najcieplejsze lata w Polsce od roku 1951</w:t>
      </w:r>
      <w:r>
        <w:rPr>
          <w:rStyle w:val="Odwoanieprzypisudolnego"/>
        </w:rPr>
        <w:footnoteReference w:id="34"/>
      </w:r>
      <w:r>
        <w:t>:</w:t>
      </w:r>
    </w:p>
    <w:p w14:paraId="6283DC39" w14:textId="77777777" w:rsidR="006A1560" w:rsidRDefault="006A1560" w:rsidP="006A1560">
      <w:pPr>
        <w:ind w:left="426"/>
      </w:pPr>
      <w:r>
        <w:t>2016 – ze średnią temperaturą 10,3°C</w:t>
      </w:r>
    </w:p>
    <w:p w14:paraId="77A45A35" w14:textId="06AC35C3" w:rsidR="006A1560" w:rsidRDefault="006A1560" w:rsidP="006A1560">
      <w:pPr>
        <w:ind w:left="426"/>
      </w:pPr>
      <w:r>
        <w:t xml:space="preserve">2019 </w:t>
      </w:r>
      <w:r w:rsidR="00E1675B">
        <w:t>–</w:t>
      </w:r>
      <w:r>
        <w:t xml:space="preserve"> ze średnią temperaturą 10,2°C</w:t>
      </w:r>
    </w:p>
    <w:p w14:paraId="7725ABD8" w14:textId="77777777" w:rsidR="006A1560" w:rsidRDefault="006A1560" w:rsidP="006A1560">
      <w:pPr>
        <w:ind w:left="426"/>
      </w:pPr>
      <w:r>
        <w:t>2018 – ze średnią temperaturą 9,46°C</w:t>
      </w:r>
    </w:p>
    <w:p w14:paraId="7B3E82C3" w14:textId="77777777" w:rsidR="006A1560" w:rsidRDefault="006A1560" w:rsidP="006A1560">
      <w:pPr>
        <w:ind w:left="426"/>
      </w:pPr>
      <w:r>
        <w:t>2015 – ze średnią temperaturą 9,43°C</w:t>
      </w:r>
    </w:p>
    <w:p w14:paraId="282B7870" w14:textId="77777777" w:rsidR="006A1560" w:rsidRDefault="006A1560" w:rsidP="006A1560">
      <w:pPr>
        <w:ind w:left="426"/>
      </w:pPr>
      <w:r>
        <w:t>2014 – ze średnią temperaturą 9,3°C</w:t>
      </w:r>
    </w:p>
    <w:p w14:paraId="26B8356F" w14:textId="77777777" w:rsidR="006A1560" w:rsidRDefault="006A1560" w:rsidP="006A1560">
      <w:pPr>
        <w:ind w:left="426"/>
      </w:pPr>
      <w:r>
        <w:t>2017 – ze średnią temperaturą 9,1°C.</w:t>
      </w:r>
    </w:p>
    <w:p w14:paraId="03E6A783" w14:textId="77777777" w:rsidR="006A1560" w:rsidRDefault="006A1560" w:rsidP="006A1560">
      <w:pPr>
        <w:jc w:val="both"/>
      </w:pPr>
      <w:r>
        <w:t>Średnia dobowa temperatura dla Polski na rok 2019 wyniosła aż 10,2</w:t>
      </w:r>
      <w:r>
        <w:rPr>
          <w:vertAlign w:val="superscript"/>
        </w:rPr>
        <w:t>o</w:t>
      </w:r>
      <w:r>
        <w:t>C. Rok 2019 nie był najcieplejszym rokiem w historii pomiarów temperatury w Polsce. Okazuje się, że przebił go rok 2016, który to był minimalnie cieplejszy (10,3</w:t>
      </w:r>
      <w:r>
        <w:rPr>
          <w:vertAlign w:val="superscript"/>
        </w:rPr>
        <w:t>o</w:t>
      </w:r>
      <w:r>
        <w:t>C). Jednak mijający rok był drugim w historii pomiarów najcieplejszym rokiem w Polsce.</w:t>
      </w:r>
    </w:p>
    <w:p w14:paraId="42B50B4E" w14:textId="5FE476A6" w:rsidR="006A1560" w:rsidRPr="00E63E89" w:rsidRDefault="006A1560" w:rsidP="006A1560">
      <w:pPr>
        <w:jc w:val="both"/>
      </w:pPr>
      <w:r>
        <w:t xml:space="preserve">W analizowanym okresie lat 2014-2019 najwyższą średnią roczną temperaturę powietrza dla </w:t>
      </w:r>
      <w:r w:rsidR="00206773">
        <w:br/>
      </w:r>
      <w:r>
        <w:t>m. Olsztyna zaobserwowano w roku 2019 (9,8</w:t>
      </w:r>
      <w:r>
        <w:rPr>
          <w:vertAlign w:val="superscript"/>
        </w:rPr>
        <w:t>o</w:t>
      </w:r>
      <w:r>
        <w:t>C). Najchłodniejszym rocznikiem był 2017 z temperaturą średnią roczną 8,4</w:t>
      </w:r>
      <w:r w:rsidRPr="00E63E89">
        <w:rPr>
          <w:vertAlign w:val="superscript"/>
        </w:rPr>
        <w:t xml:space="preserve"> </w:t>
      </w:r>
      <w:r>
        <w:rPr>
          <w:vertAlign w:val="superscript"/>
        </w:rPr>
        <w:t>o</w:t>
      </w:r>
      <w:r>
        <w:t>C.</w:t>
      </w:r>
    </w:p>
    <w:p w14:paraId="547D8259" w14:textId="555D9F0D" w:rsidR="006A1560" w:rsidRPr="00227441" w:rsidRDefault="00227441" w:rsidP="00227441">
      <w:pPr>
        <w:pStyle w:val="Legenda"/>
        <w:rPr>
          <w:sz w:val="22"/>
          <w:szCs w:val="22"/>
        </w:rPr>
      </w:pPr>
      <w:bookmarkStart w:id="114" w:name="_Toc73534978"/>
      <w:r w:rsidRPr="00227441">
        <w:rPr>
          <w:sz w:val="22"/>
          <w:szCs w:val="22"/>
        </w:rPr>
        <w:lastRenderedPageBreak/>
        <w:t xml:space="preserve">Tabela </w:t>
      </w:r>
      <w:r w:rsidRPr="00227441">
        <w:rPr>
          <w:sz w:val="22"/>
          <w:szCs w:val="22"/>
        </w:rPr>
        <w:fldChar w:fldCharType="begin"/>
      </w:r>
      <w:r w:rsidRPr="00227441">
        <w:rPr>
          <w:sz w:val="22"/>
          <w:szCs w:val="22"/>
        </w:rPr>
        <w:instrText xml:space="preserve"> SEQ Tabela \* ARABIC </w:instrText>
      </w:r>
      <w:r w:rsidRPr="00227441">
        <w:rPr>
          <w:sz w:val="22"/>
          <w:szCs w:val="22"/>
        </w:rPr>
        <w:fldChar w:fldCharType="separate"/>
      </w:r>
      <w:r w:rsidR="00AD58C3">
        <w:rPr>
          <w:noProof/>
          <w:sz w:val="22"/>
          <w:szCs w:val="22"/>
        </w:rPr>
        <w:t>15</w:t>
      </w:r>
      <w:r w:rsidRPr="00227441">
        <w:rPr>
          <w:sz w:val="22"/>
          <w:szCs w:val="22"/>
        </w:rPr>
        <w:fldChar w:fldCharType="end"/>
      </w:r>
      <w:r w:rsidRPr="00227441">
        <w:rPr>
          <w:sz w:val="22"/>
          <w:szCs w:val="22"/>
        </w:rPr>
        <w:t xml:space="preserve">. </w:t>
      </w:r>
      <w:r w:rsidR="006A1560" w:rsidRPr="00227441">
        <w:rPr>
          <w:sz w:val="22"/>
          <w:szCs w:val="22"/>
        </w:rPr>
        <w:t>Średnie miesięczne i roczne temperatury powietrza w Olsztynie w latach 2014-2019</w:t>
      </w:r>
      <w:bookmarkEnd w:id="114"/>
    </w:p>
    <w:tbl>
      <w:tblPr>
        <w:tblStyle w:val="Tabela-Siatka1"/>
        <w:tblW w:w="5042" w:type="pct"/>
        <w:jc w:val="center"/>
        <w:tblLook w:val="04A0" w:firstRow="1" w:lastRow="0" w:firstColumn="1" w:lastColumn="0" w:noHBand="0" w:noVBand="1"/>
      </w:tblPr>
      <w:tblGrid>
        <w:gridCol w:w="966"/>
        <w:gridCol w:w="613"/>
        <w:gridCol w:w="562"/>
        <w:gridCol w:w="562"/>
        <w:gridCol w:w="606"/>
        <w:gridCol w:w="609"/>
        <w:gridCol w:w="609"/>
        <w:gridCol w:w="609"/>
        <w:gridCol w:w="609"/>
        <w:gridCol w:w="609"/>
        <w:gridCol w:w="607"/>
        <w:gridCol w:w="609"/>
        <w:gridCol w:w="563"/>
        <w:gridCol w:w="1005"/>
      </w:tblGrid>
      <w:tr w:rsidR="006A1560" w:rsidRPr="0051542D" w14:paraId="728B7112" w14:textId="77777777" w:rsidTr="00F0383E">
        <w:trPr>
          <w:trHeight w:val="300"/>
          <w:jc w:val="center"/>
        </w:trPr>
        <w:tc>
          <w:tcPr>
            <w:tcW w:w="529" w:type="pct"/>
            <w:vMerge w:val="restart"/>
            <w:shd w:val="clear" w:color="auto" w:fill="92D050"/>
            <w:noWrap/>
            <w:vAlign w:val="center"/>
            <w:hideMark/>
          </w:tcPr>
          <w:p w14:paraId="6DFE64EC" w14:textId="77777777" w:rsidR="006A1560" w:rsidRPr="0051542D" w:rsidRDefault="006A1560" w:rsidP="00F0383E">
            <w:pPr>
              <w:rPr>
                <w:b/>
              </w:rPr>
            </w:pPr>
            <w:r w:rsidRPr="0051542D">
              <w:rPr>
                <w:b/>
              </w:rPr>
              <w:t>ROK</w:t>
            </w:r>
          </w:p>
        </w:tc>
        <w:tc>
          <w:tcPr>
            <w:tcW w:w="4471" w:type="pct"/>
            <w:gridSpan w:val="13"/>
            <w:shd w:val="clear" w:color="auto" w:fill="92D050"/>
            <w:noWrap/>
            <w:hideMark/>
          </w:tcPr>
          <w:p w14:paraId="5372B4B5" w14:textId="77777777" w:rsidR="006A1560" w:rsidRPr="0051542D" w:rsidRDefault="006A1560" w:rsidP="00F0383E">
            <w:pPr>
              <w:jc w:val="center"/>
              <w:rPr>
                <w:b/>
              </w:rPr>
            </w:pPr>
            <w:r w:rsidRPr="0051542D">
              <w:rPr>
                <w:b/>
              </w:rPr>
              <w:t>Miesiąc (</w:t>
            </w:r>
            <w:r>
              <w:rPr>
                <w:b/>
                <w:vertAlign w:val="superscript"/>
              </w:rPr>
              <w:t>o</w:t>
            </w:r>
            <w:r w:rsidRPr="0051542D">
              <w:rPr>
                <w:b/>
              </w:rPr>
              <w:t>C)</w:t>
            </w:r>
          </w:p>
        </w:tc>
      </w:tr>
      <w:tr w:rsidR="006A1560" w:rsidRPr="0051542D" w14:paraId="6F528F48" w14:textId="77777777" w:rsidTr="00F0383E">
        <w:trPr>
          <w:trHeight w:val="300"/>
          <w:jc w:val="center"/>
        </w:trPr>
        <w:tc>
          <w:tcPr>
            <w:tcW w:w="529" w:type="pct"/>
            <w:vMerge/>
            <w:shd w:val="clear" w:color="auto" w:fill="92D050"/>
            <w:noWrap/>
            <w:hideMark/>
          </w:tcPr>
          <w:p w14:paraId="6A7DC043" w14:textId="77777777" w:rsidR="006A1560" w:rsidRPr="0051542D" w:rsidRDefault="006A1560" w:rsidP="00F0383E"/>
        </w:tc>
        <w:tc>
          <w:tcPr>
            <w:tcW w:w="335" w:type="pct"/>
            <w:shd w:val="clear" w:color="auto" w:fill="92D050"/>
            <w:noWrap/>
            <w:vAlign w:val="center"/>
            <w:hideMark/>
          </w:tcPr>
          <w:p w14:paraId="7545CCF0" w14:textId="77777777" w:rsidR="006A1560" w:rsidRPr="0051542D" w:rsidRDefault="006A1560" w:rsidP="00F0383E">
            <w:pPr>
              <w:jc w:val="center"/>
            </w:pPr>
            <w:r w:rsidRPr="0051542D">
              <w:t>I</w:t>
            </w:r>
          </w:p>
        </w:tc>
        <w:tc>
          <w:tcPr>
            <w:tcW w:w="308" w:type="pct"/>
            <w:shd w:val="clear" w:color="auto" w:fill="92D050"/>
            <w:noWrap/>
            <w:vAlign w:val="center"/>
            <w:hideMark/>
          </w:tcPr>
          <w:p w14:paraId="11D40408" w14:textId="77777777" w:rsidR="006A1560" w:rsidRPr="0051542D" w:rsidRDefault="006A1560" w:rsidP="00F0383E">
            <w:pPr>
              <w:jc w:val="center"/>
            </w:pPr>
            <w:r w:rsidRPr="0051542D">
              <w:t>II</w:t>
            </w:r>
          </w:p>
        </w:tc>
        <w:tc>
          <w:tcPr>
            <w:tcW w:w="308" w:type="pct"/>
            <w:shd w:val="clear" w:color="auto" w:fill="92D050"/>
            <w:noWrap/>
            <w:vAlign w:val="center"/>
            <w:hideMark/>
          </w:tcPr>
          <w:p w14:paraId="0DAB6FAA" w14:textId="77777777" w:rsidR="006A1560" w:rsidRPr="0051542D" w:rsidRDefault="006A1560" w:rsidP="00F0383E">
            <w:pPr>
              <w:jc w:val="center"/>
            </w:pPr>
            <w:r w:rsidRPr="0051542D">
              <w:t>III</w:t>
            </w:r>
          </w:p>
        </w:tc>
        <w:tc>
          <w:tcPr>
            <w:tcW w:w="332" w:type="pct"/>
            <w:shd w:val="clear" w:color="auto" w:fill="92D050"/>
            <w:noWrap/>
            <w:vAlign w:val="center"/>
            <w:hideMark/>
          </w:tcPr>
          <w:p w14:paraId="04E78E8C" w14:textId="77777777" w:rsidR="006A1560" w:rsidRPr="0051542D" w:rsidRDefault="006A1560" w:rsidP="00F0383E">
            <w:pPr>
              <w:jc w:val="center"/>
            </w:pPr>
            <w:r w:rsidRPr="0051542D">
              <w:t>IV</w:t>
            </w:r>
          </w:p>
        </w:tc>
        <w:tc>
          <w:tcPr>
            <w:tcW w:w="333" w:type="pct"/>
            <w:shd w:val="clear" w:color="auto" w:fill="92D050"/>
            <w:noWrap/>
            <w:vAlign w:val="center"/>
            <w:hideMark/>
          </w:tcPr>
          <w:p w14:paraId="425456C5" w14:textId="77777777" w:rsidR="006A1560" w:rsidRPr="0051542D" w:rsidRDefault="006A1560" w:rsidP="00F0383E">
            <w:pPr>
              <w:jc w:val="center"/>
            </w:pPr>
            <w:r w:rsidRPr="0051542D">
              <w:t>V</w:t>
            </w:r>
          </w:p>
        </w:tc>
        <w:tc>
          <w:tcPr>
            <w:tcW w:w="333" w:type="pct"/>
            <w:shd w:val="clear" w:color="auto" w:fill="92D050"/>
            <w:noWrap/>
            <w:vAlign w:val="center"/>
            <w:hideMark/>
          </w:tcPr>
          <w:p w14:paraId="3891891A" w14:textId="77777777" w:rsidR="006A1560" w:rsidRPr="0051542D" w:rsidRDefault="006A1560" w:rsidP="00F0383E">
            <w:pPr>
              <w:jc w:val="center"/>
            </w:pPr>
            <w:r w:rsidRPr="0051542D">
              <w:t>VI</w:t>
            </w:r>
          </w:p>
        </w:tc>
        <w:tc>
          <w:tcPr>
            <w:tcW w:w="333" w:type="pct"/>
            <w:shd w:val="clear" w:color="auto" w:fill="92D050"/>
            <w:noWrap/>
            <w:vAlign w:val="center"/>
            <w:hideMark/>
          </w:tcPr>
          <w:p w14:paraId="42457380" w14:textId="77777777" w:rsidR="006A1560" w:rsidRPr="0051542D" w:rsidRDefault="006A1560" w:rsidP="00F0383E">
            <w:pPr>
              <w:jc w:val="center"/>
            </w:pPr>
            <w:r w:rsidRPr="0051542D">
              <w:t>VII</w:t>
            </w:r>
          </w:p>
        </w:tc>
        <w:tc>
          <w:tcPr>
            <w:tcW w:w="333" w:type="pct"/>
            <w:shd w:val="clear" w:color="auto" w:fill="92D050"/>
            <w:noWrap/>
            <w:vAlign w:val="center"/>
            <w:hideMark/>
          </w:tcPr>
          <w:p w14:paraId="7D6CD328" w14:textId="77777777" w:rsidR="006A1560" w:rsidRPr="0051542D" w:rsidRDefault="006A1560" w:rsidP="00F0383E">
            <w:pPr>
              <w:jc w:val="center"/>
            </w:pPr>
            <w:r w:rsidRPr="0051542D">
              <w:t>VIII</w:t>
            </w:r>
          </w:p>
        </w:tc>
        <w:tc>
          <w:tcPr>
            <w:tcW w:w="333" w:type="pct"/>
            <w:shd w:val="clear" w:color="auto" w:fill="92D050"/>
            <w:noWrap/>
            <w:vAlign w:val="center"/>
            <w:hideMark/>
          </w:tcPr>
          <w:p w14:paraId="52EDA7AE" w14:textId="77777777" w:rsidR="006A1560" w:rsidRPr="0051542D" w:rsidRDefault="006A1560" w:rsidP="00F0383E">
            <w:pPr>
              <w:jc w:val="center"/>
            </w:pPr>
            <w:r w:rsidRPr="0051542D">
              <w:t>IX</w:t>
            </w:r>
          </w:p>
        </w:tc>
        <w:tc>
          <w:tcPr>
            <w:tcW w:w="332" w:type="pct"/>
            <w:shd w:val="clear" w:color="auto" w:fill="92D050"/>
            <w:noWrap/>
            <w:vAlign w:val="center"/>
            <w:hideMark/>
          </w:tcPr>
          <w:p w14:paraId="0246ABAF" w14:textId="77777777" w:rsidR="006A1560" w:rsidRPr="0051542D" w:rsidRDefault="006A1560" w:rsidP="00F0383E">
            <w:pPr>
              <w:jc w:val="center"/>
            </w:pPr>
            <w:r w:rsidRPr="0051542D">
              <w:t>X</w:t>
            </w:r>
          </w:p>
        </w:tc>
        <w:tc>
          <w:tcPr>
            <w:tcW w:w="333" w:type="pct"/>
            <w:shd w:val="clear" w:color="auto" w:fill="92D050"/>
            <w:noWrap/>
            <w:vAlign w:val="center"/>
            <w:hideMark/>
          </w:tcPr>
          <w:p w14:paraId="6C351A82" w14:textId="77777777" w:rsidR="006A1560" w:rsidRPr="0051542D" w:rsidRDefault="006A1560" w:rsidP="00F0383E">
            <w:pPr>
              <w:jc w:val="center"/>
            </w:pPr>
            <w:r w:rsidRPr="0051542D">
              <w:t>XI</w:t>
            </w:r>
          </w:p>
        </w:tc>
        <w:tc>
          <w:tcPr>
            <w:tcW w:w="308" w:type="pct"/>
            <w:shd w:val="clear" w:color="auto" w:fill="92D050"/>
            <w:noWrap/>
            <w:vAlign w:val="center"/>
            <w:hideMark/>
          </w:tcPr>
          <w:p w14:paraId="4C46E770" w14:textId="77777777" w:rsidR="006A1560" w:rsidRPr="0051542D" w:rsidRDefault="006A1560" w:rsidP="00F0383E">
            <w:pPr>
              <w:jc w:val="center"/>
            </w:pPr>
            <w:r w:rsidRPr="0051542D">
              <w:t>XII</w:t>
            </w:r>
          </w:p>
        </w:tc>
        <w:tc>
          <w:tcPr>
            <w:tcW w:w="550" w:type="pct"/>
            <w:shd w:val="clear" w:color="auto" w:fill="92D050"/>
            <w:noWrap/>
            <w:hideMark/>
          </w:tcPr>
          <w:p w14:paraId="572987FB" w14:textId="77777777" w:rsidR="006A1560" w:rsidRPr="0051542D" w:rsidRDefault="006A1560" w:rsidP="00F0383E">
            <w:pPr>
              <w:rPr>
                <w:b/>
              </w:rPr>
            </w:pPr>
            <w:r w:rsidRPr="0051542D">
              <w:rPr>
                <w:b/>
              </w:rPr>
              <w:t>średnia</w:t>
            </w:r>
          </w:p>
        </w:tc>
      </w:tr>
      <w:tr w:rsidR="006A1560" w:rsidRPr="0051542D" w14:paraId="24677821" w14:textId="77777777" w:rsidTr="00F0383E">
        <w:trPr>
          <w:trHeight w:val="300"/>
          <w:jc w:val="center"/>
        </w:trPr>
        <w:tc>
          <w:tcPr>
            <w:tcW w:w="529" w:type="pct"/>
            <w:shd w:val="clear" w:color="auto" w:fill="92D050"/>
            <w:noWrap/>
            <w:hideMark/>
          </w:tcPr>
          <w:p w14:paraId="4D4FBAF6" w14:textId="77777777" w:rsidR="006A1560" w:rsidRPr="0051542D" w:rsidRDefault="006A1560" w:rsidP="00F0383E">
            <w:r w:rsidRPr="0051542D">
              <w:t>2014</w:t>
            </w:r>
          </w:p>
        </w:tc>
        <w:tc>
          <w:tcPr>
            <w:tcW w:w="335" w:type="pct"/>
            <w:noWrap/>
            <w:hideMark/>
          </w:tcPr>
          <w:p w14:paraId="06C44850" w14:textId="77777777" w:rsidR="006A1560" w:rsidRPr="0051542D" w:rsidRDefault="006A1560" w:rsidP="00F0383E">
            <w:r w:rsidRPr="0051542D">
              <w:t>-3,7</w:t>
            </w:r>
          </w:p>
        </w:tc>
        <w:tc>
          <w:tcPr>
            <w:tcW w:w="308" w:type="pct"/>
            <w:noWrap/>
            <w:hideMark/>
          </w:tcPr>
          <w:p w14:paraId="3316C97B" w14:textId="77777777" w:rsidR="006A1560" w:rsidRPr="0051542D" w:rsidRDefault="006A1560" w:rsidP="00F0383E">
            <w:r w:rsidRPr="0051542D">
              <w:t>1,8</w:t>
            </w:r>
          </w:p>
        </w:tc>
        <w:tc>
          <w:tcPr>
            <w:tcW w:w="308" w:type="pct"/>
            <w:noWrap/>
            <w:hideMark/>
          </w:tcPr>
          <w:p w14:paraId="0C3C31CD" w14:textId="77777777" w:rsidR="006A1560" w:rsidRPr="0051542D" w:rsidRDefault="006A1560" w:rsidP="00F0383E">
            <w:r w:rsidRPr="0051542D">
              <w:t>5,7</w:t>
            </w:r>
          </w:p>
        </w:tc>
        <w:tc>
          <w:tcPr>
            <w:tcW w:w="332" w:type="pct"/>
            <w:noWrap/>
            <w:hideMark/>
          </w:tcPr>
          <w:p w14:paraId="7C4F4F33" w14:textId="77777777" w:rsidR="006A1560" w:rsidRPr="0051542D" w:rsidRDefault="006A1560" w:rsidP="00F0383E">
            <w:r w:rsidRPr="0051542D">
              <w:t>9,7</w:t>
            </w:r>
          </w:p>
        </w:tc>
        <w:tc>
          <w:tcPr>
            <w:tcW w:w="333" w:type="pct"/>
            <w:noWrap/>
            <w:hideMark/>
          </w:tcPr>
          <w:p w14:paraId="099E4D8B" w14:textId="77777777" w:rsidR="006A1560" w:rsidRPr="0051542D" w:rsidRDefault="006A1560" w:rsidP="00F0383E">
            <w:r w:rsidRPr="0051542D">
              <w:t>13,7</w:t>
            </w:r>
          </w:p>
        </w:tc>
        <w:tc>
          <w:tcPr>
            <w:tcW w:w="333" w:type="pct"/>
            <w:noWrap/>
            <w:hideMark/>
          </w:tcPr>
          <w:p w14:paraId="19118445" w14:textId="77777777" w:rsidR="006A1560" w:rsidRPr="0051542D" w:rsidRDefault="006A1560" w:rsidP="00F0383E">
            <w:r w:rsidRPr="0051542D">
              <w:t>15</w:t>
            </w:r>
            <w:r>
              <w:t>,0</w:t>
            </w:r>
          </w:p>
        </w:tc>
        <w:tc>
          <w:tcPr>
            <w:tcW w:w="333" w:type="pct"/>
            <w:noWrap/>
            <w:hideMark/>
          </w:tcPr>
          <w:p w14:paraId="500C1C70" w14:textId="77777777" w:rsidR="006A1560" w:rsidRPr="0051542D" w:rsidRDefault="006A1560" w:rsidP="00F0383E">
            <w:r w:rsidRPr="0051542D">
              <w:t>21,3</w:t>
            </w:r>
          </w:p>
        </w:tc>
        <w:tc>
          <w:tcPr>
            <w:tcW w:w="333" w:type="pct"/>
            <w:noWrap/>
            <w:hideMark/>
          </w:tcPr>
          <w:p w14:paraId="7BABD890" w14:textId="77777777" w:rsidR="006A1560" w:rsidRPr="0051542D" w:rsidRDefault="006A1560" w:rsidP="00F0383E">
            <w:r w:rsidRPr="0051542D">
              <w:t>18</w:t>
            </w:r>
            <w:r>
              <w:t>,0</w:t>
            </w:r>
          </w:p>
        </w:tc>
        <w:tc>
          <w:tcPr>
            <w:tcW w:w="333" w:type="pct"/>
            <w:noWrap/>
            <w:hideMark/>
          </w:tcPr>
          <w:p w14:paraId="0AA01164" w14:textId="77777777" w:rsidR="006A1560" w:rsidRPr="0051542D" w:rsidRDefault="006A1560" w:rsidP="00F0383E">
            <w:r w:rsidRPr="0051542D">
              <w:t>14,6</w:t>
            </w:r>
          </w:p>
        </w:tc>
        <w:tc>
          <w:tcPr>
            <w:tcW w:w="332" w:type="pct"/>
            <w:noWrap/>
            <w:hideMark/>
          </w:tcPr>
          <w:p w14:paraId="39C7CD38" w14:textId="77777777" w:rsidR="006A1560" w:rsidRPr="0051542D" w:rsidRDefault="006A1560" w:rsidP="00F0383E">
            <w:r w:rsidRPr="0051542D">
              <w:t>9,5</w:t>
            </w:r>
          </w:p>
        </w:tc>
        <w:tc>
          <w:tcPr>
            <w:tcW w:w="333" w:type="pct"/>
            <w:noWrap/>
            <w:hideMark/>
          </w:tcPr>
          <w:p w14:paraId="4118B768" w14:textId="77777777" w:rsidR="006A1560" w:rsidRPr="0051542D" w:rsidRDefault="006A1560" w:rsidP="00F0383E">
            <w:r w:rsidRPr="0051542D">
              <w:t>3,9</w:t>
            </w:r>
          </w:p>
        </w:tc>
        <w:tc>
          <w:tcPr>
            <w:tcW w:w="308" w:type="pct"/>
            <w:noWrap/>
            <w:hideMark/>
          </w:tcPr>
          <w:p w14:paraId="6C40F75B" w14:textId="77777777" w:rsidR="006A1560" w:rsidRPr="0051542D" w:rsidRDefault="006A1560" w:rsidP="00F0383E">
            <w:r w:rsidRPr="0051542D">
              <w:t>-0,1</w:t>
            </w:r>
          </w:p>
        </w:tc>
        <w:tc>
          <w:tcPr>
            <w:tcW w:w="550" w:type="pct"/>
            <w:noWrap/>
            <w:hideMark/>
          </w:tcPr>
          <w:p w14:paraId="135E5174" w14:textId="77777777" w:rsidR="006A1560" w:rsidRPr="00FA5B86" w:rsidRDefault="006A1560" w:rsidP="00F0383E">
            <w:pPr>
              <w:jc w:val="center"/>
              <w:rPr>
                <w:b/>
              </w:rPr>
            </w:pPr>
            <w:r w:rsidRPr="00FA5B86">
              <w:rPr>
                <w:b/>
              </w:rPr>
              <w:t>9,1</w:t>
            </w:r>
          </w:p>
        </w:tc>
      </w:tr>
      <w:tr w:rsidR="006A1560" w:rsidRPr="0051542D" w14:paraId="4CF4BA6A" w14:textId="77777777" w:rsidTr="00F0383E">
        <w:trPr>
          <w:trHeight w:val="300"/>
          <w:jc w:val="center"/>
        </w:trPr>
        <w:tc>
          <w:tcPr>
            <w:tcW w:w="529" w:type="pct"/>
            <w:shd w:val="clear" w:color="auto" w:fill="92D050"/>
            <w:noWrap/>
            <w:hideMark/>
          </w:tcPr>
          <w:p w14:paraId="30784B2D" w14:textId="77777777" w:rsidR="006A1560" w:rsidRPr="0051542D" w:rsidRDefault="006A1560" w:rsidP="00F0383E">
            <w:r w:rsidRPr="0051542D">
              <w:t>2015</w:t>
            </w:r>
          </w:p>
        </w:tc>
        <w:tc>
          <w:tcPr>
            <w:tcW w:w="335" w:type="pct"/>
            <w:noWrap/>
            <w:hideMark/>
          </w:tcPr>
          <w:p w14:paraId="11E8D83D" w14:textId="77777777" w:rsidR="006A1560" w:rsidRPr="0051542D" w:rsidRDefault="006A1560" w:rsidP="00F0383E">
            <w:r w:rsidRPr="0051542D">
              <w:t>0,4</w:t>
            </w:r>
          </w:p>
        </w:tc>
        <w:tc>
          <w:tcPr>
            <w:tcW w:w="308" w:type="pct"/>
            <w:noWrap/>
            <w:hideMark/>
          </w:tcPr>
          <w:p w14:paraId="2CBC5C4D" w14:textId="77777777" w:rsidR="006A1560" w:rsidRPr="0051542D" w:rsidRDefault="006A1560" w:rsidP="00F0383E">
            <w:r w:rsidRPr="0051542D">
              <w:t>0,6</w:t>
            </w:r>
          </w:p>
        </w:tc>
        <w:tc>
          <w:tcPr>
            <w:tcW w:w="308" w:type="pct"/>
            <w:noWrap/>
            <w:hideMark/>
          </w:tcPr>
          <w:p w14:paraId="512DBC08" w14:textId="77777777" w:rsidR="006A1560" w:rsidRPr="0051542D" w:rsidRDefault="006A1560" w:rsidP="00F0383E">
            <w:r w:rsidRPr="0051542D">
              <w:t>5</w:t>
            </w:r>
            <w:r>
              <w:t>,0</w:t>
            </w:r>
          </w:p>
        </w:tc>
        <w:tc>
          <w:tcPr>
            <w:tcW w:w="332" w:type="pct"/>
            <w:noWrap/>
            <w:hideMark/>
          </w:tcPr>
          <w:p w14:paraId="62935260" w14:textId="77777777" w:rsidR="006A1560" w:rsidRPr="0051542D" w:rsidRDefault="006A1560" w:rsidP="00F0383E">
            <w:r w:rsidRPr="0051542D">
              <w:t>8</w:t>
            </w:r>
            <w:r>
              <w:t>,0</w:t>
            </w:r>
          </w:p>
        </w:tc>
        <w:tc>
          <w:tcPr>
            <w:tcW w:w="333" w:type="pct"/>
            <w:noWrap/>
            <w:hideMark/>
          </w:tcPr>
          <w:p w14:paraId="48CC140D" w14:textId="77777777" w:rsidR="006A1560" w:rsidRPr="0051542D" w:rsidRDefault="006A1560" w:rsidP="00F0383E">
            <w:r w:rsidRPr="0051542D">
              <w:t>12</w:t>
            </w:r>
            <w:r>
              <w:t>,0</w:t>
            </w:r>
          </w:p>
        </w:tc>
        <w:tc>
          <w:tcPr>
            <w:tcW w:w="333" w:type="pct"/>
            <w:noWrap/>
            <w:hideMark/>
          </w:tcPr>
          <w:p w14:paraId="582A1522" w14:textId="77777777" w:rsidR="006A1560" w:rsidRPr="0051542D" w:rsidRDefault="006A1560" w:rsidP="00F0383E">
            <w:r w:rsidRPr="0051542D">
              <w:t>15,5</w:t>
            </w:r>
          </w:p>
        </w:tc>
        <w:tc>
          <w:tcPr>
            <w:tcW w:w="333" w:type="pct"/>
            <w:noWrap/>
            <w:hideMark/>
          </w:tcPr>
          <w:p w14:paraId="61798E18" w14:textId="77777777" w:rsidR="006A1560" w:rsidRPr="0051542D" w:rsidRDefault="006A1560" w:rsidP="00F0383E">
            <w:r w:rsidRPr="0051542D">
              <w:t>17,7</w:t>
            </w:r>
          </w:p>
        </w:tc>
        <w:tc>
          <w:tcPr>
            <w:tcW w:w="333" w:type="pct"/>
            <w:noWrap/>
            <w:hideMark/>
          </w:tcPr>
          <w:p w14:paraId="0F4D1945" w14:textId="77777777" w:rsidR="006A1560" w:rsidRPr="0051542D" w:rsidRDefault="006A1560" w:rsidP="00F0383E">
            <w:r w:rsidRPr="0051542D">
              <w:t>20,3</w:t>
            </w:r>
          </w:p>
        </w:tc>
        <w:tc>
          <w:tcPr>
            <w:tcW w:w="333" w:type="pct"/>
            <w:noWrap/>
            <w:hideMark/>
          </w:tcPr>
          <w:p w14:paraId="1BCF2AC9" w14:textId="77777777" w:rsidR="006A1560" w:rsidRPr="0051542D" w:rsidRDefault="006A1560" w:rsidP="00F0383E">
            <w:r w:rsidRPr="0051542D">
              <w:t>14,5</w:t>
            </w:r>
          </w:p>
        </w:tc>
        <w:tc>
          <w:tcPr>
            <w:tcW w:w="332" w:type="pct"/>
            <w:noWrap/>
            <w:hideMark/>
          </w:tcPr>
          <w:p w14:paraId="75A915C4" w14:textId="77777777" w:rsidR="006A1560" w:rsidRPr="0051542D" w:rsidRDefault="006A1560" w:rsidP="00F0383E">
            <w:r w:rsidRPr="0051542D">
              <w:t>7</w:t>
            </w:r>
            <w:r>
              <w:t>,0</w:t>
            </w:r>
          </w:p>
        </w:tc>
        <w:tc>
          <w:tcPr>
            <w:tcW w:w="333" w:type="pct"/>
            <w:noWrap/>
            <w:hideMark/>
          </w:tcPr>
          <w:p w14:paraId="72B4FB9B" w14:textId="77777777" w:rsidR="006A1560" w:rsidRPr="0051542D" w:rsidRDefault="006A1560" w:rsidP="00F0383E">
            <w:r w:rsidRPr="0051542D">
              <w:t>4,9</w:t>
            </w:r>
          </w:p>
        </w:tc>
        <w:tc>
          <w:tcPr>
            <w:tcW w:w="308" w:type="pct"/>
            <w:noWrap/>
            <w:hideMark/>
          </w:tcPr>
          <w:p w14:paraId="24256FCF" w14:textId="77777777" w:rsidR="006A1560" w:rsidRPr="0051542D" w:rsidRDefault="006A1560" w:rsidP="00F0383E">
            <w:r w:rsidRPr="0051542D">
              <w:t>4,1</w:t>
            </w:r>
          </w:p>
        </w:tc>
        <w:tc>
          <w:tcPr>
            <w:tcW w:w="550" w:type="pct"/>
            <w:noWrap/>
            <w:hideMark/>
          </w:tcPr>
          <w:p w14:paraId="4B3F0D79" w14:textId="77777777" w:rsidR="006A1560" w:rsidRPr="00FA5B86" w:rsidRDefault="006A1560" w:rsidP="00F0383E">
            <w:pPr>
              <w:jc w:val="center"/>
              <w:rPr>
                <w:b/>
              </w:rPr>
            </w:pPr>
            <w:r w:rsidRPr="00FA5B86">
              <w:rPr>
                <w:b/>
              </w:rPr>
              <w:t>9,2</w:t>
            </w:r>
          </w:p>
        </w:tc>
      </w:tr>
      <w:tr w:rsidR="006A1560" w:rsidRPr="0051542D" w14:paraId="0AEFA849" w14:textId="77777777" w:rsidTr="00F0383E">
        <w:trPr>
          <w:trHeight w:val="300"/>
          <w:jc w:val="center"/>
        </w:trPr>
        <w:tc>
          <w:tcPr>
            <w:tcW w:w="529" w:type="pct"/>
            <w:shd w:val="clear" w:color="auto" w:fill="92D050"/>
            <w:noWrap/>
            <w:hideMark/>
          </w:tcPr>
          <w:p w14:paraId="63A05E14" w14:textId="77777777" w:rsidR="006A1560" w:rsidRPr="0051542D" w:rsidRDefault="006A1560" w:rsidP="00F0383E">
            <w:r w:rsidRPr="0051542D">
              <w:t>2016</w:t>
            </w:r>
          </w:p>
        </w:tc>
        <w:tc>
          <w:tcPr>
            <w:tcW w:w="335" w:type="pct"/>
            <w:noWrap/>
            <w:hideMark/>
          </w:tcPr>
          <w:p w14:paraId="1A4622D9" w14:textId="77777777" w:rsidR="006A1560" w:rsidRPr="0051542D" w:rsidRDefault="006A1560" w:rsidP="00F0383E">
            <w:r w:rsidRPr="0051542D">
              <w:t>-4</w:t>
            </w:r>
            <w:r>
              <w:t>,0</w:t>
            </w:r>
          </w:p>
        </w:tc>
        <w:tc>
          <w:tcPr>
            <w:tcW w:w="308" w:type="pct"/>
            <w:noWrap/>
            <w:hideMark/>
          </w:tcPr>
          <w:p w14:paraId="0FB3A2CC" w14:textId="77777777" w:rsidR="006A1560" w:rsidRPr="0051542D" w:rsidRDefault="006A1560" w:rsidP="00F0383E">
            <w:r w:rsidRPr="0051542D">
              <w:t>2,8</w:t>
            </w:r>
          </w:p>
        </w:tc>
        <w:tc>
          <w:tcPr>
            <w:tcW w:w="308" w:type="pct"/>
            <w:noWrap/>
            <w:hideMark/>
          </w:tcPr>
          <w:p w14:paraId="797915EB" w14:textId="77777777" w:rsidR="006A1560" w:rsidRPr="0051542D" w:rsidRDefault="006A1560" w:rsidP="00F0383E">
            <w:r w:rsidRPr="0051542D">
              <w:t>3,5</w:t>
            </w:r>
          </w:p>
        </w:tc>
        <w:tc>
          <w:tcPr>
            <w:tcW w:w="332" w:type="pct"/>
            <w:noWrap/>
            <w:hideMark/>
          </w:tcPr>
          <w:p w14:paraId="354ABFD9" w14:textId="77777777" w:rsidR="006A1560" w:rsidRPr="0051542D" w:rsidRDefault="006A1560" w:rsidP="00F0383E">
            <w:r w:rsidRPr="0051542D">
              <w:t>8,4</w:t>
            </w:r>
          </w:p>
        </w:tc>
        <w:tc>
          <w:tcPr>
            <w:tcW w:w="333" w:type="pct"/>
            <w:noWrap/>
            <w:hideMark/>
          </w:tcPr>
          <w:p w14:paraId="0FAEBBD4" w14:textId="77777777" w:rsidR="006A1560" w:rsidRPr="0051542D" w:rsidRDefault="006A1560" w:rsidP="00F0383E">
            <w:r w:rsidRPr="0051542D">
              <w:t>14,5</w:t>
            </w:r>
          </w:p>
        </w:tc>
        <w:tc>
          <w:tcPr>
            <w:tcW w:w="333" w:type="pct"/>
            <w:noWrap/>
            <w:hideMark/>
          </w:tcPr>
          <w:p w14:paraId="3D687F3E" w14:textId="77777777" w:rsidR="006A1560" w:rsidRPr="0051542D" w:rsidRDefault="006A1560" w:rsidP="00F0383E">
            <w:r w:rsidRPr="0051542D">
              <w:t>17,9</w:t>
            </w:r>
          </w:p>
        </w:tc>
        <w:tc>
          <w:tcPr>
            <w:tcW w:w="333" w:type="pct"/>
            <w:noWrap/>
            <w:hideMark/>
          </w:tcPr>
          <w:p w14:paraId="6CE65572" w14:textId="77777777" w:rsidR="006A1560" w:rsidRPr="0051542D" w:rsidRDefault="006A1560" w:rsidP="00F0383E">
            <w:r w:rsidRPr="0051542D">
              <w:t>18,7</w:t>
            </w:r>
          </w:p>
        </w:tc>
        <w:tc>
          <w:tcPr>
            <w:tcW w:w="333" w:type="pct"/>
            <w:noWrap/>
            <w:hideMark/>
          </w:tcPr>
          <w:p w14:paraId="5B68F424" w14:textId="77777777" w:rsidR="006A1560" w:rsidRPr="0051542D" w:rsidRDefault="006A1560" w:rsidP="00F0383E">
            <w:r w:rsidRPr="0051542D">
              <w:t>17,7</w:t>
            </w:r>
          </w:p>
        </w:tc>
        <w:tc>
          <w:tcPr>
            <w:tcW w:w="333" w:type="pct"/>
            <w:noWrap/>
            <w:hideMark/>
          </w:tcPr>
          <w:p w14:paraId="646B017C" w14:textId="77777777" w:rsidR="006A1560" w:rsidRPr="0051542D" w:rsidRDefault="006A1560" w:rsidP="00F0383E">
            <w:r w:rsidRPr="0051542D">
              <w:t>14,7</w:t>
            </w:r>
          </w:p>
        </w:tc>
        <w:tc>
          <w:tcPr>
            <w:tcW w:w="332" w:type="pct"/>
            <w:noWrap/>
            <w:hideMark/>
          </w:tcPr>
          <w:p w14:paraId="7824EE46" w14:textId="77777777" w:rsidR="006A1560" w:rsidRPr="0051542D" w:rsidRDefault="006A1560" w:rsidP="00F0383E">
            <w:r w:rsidRPr="0051542D">
              <w:t>6,7</w:t>
            </w:r>
          </w:p>
        </w:tc>
        <w:tc>
          <w:tcPr>
            <w:tcW w:w="333" w:type="pct"/>
            <w:noWrap/>
            <w:hideMark/>
          </w:tcPr>
          <w:p w14:paraId="3BD5F9C7" w14:textId="77777777" w:rsidR="006A1560" w:rsidRPr="0051542D" w:rsidRDefault="006A1560" w:rsidP="00F0383E">
            <w:r w:rsidRPr="0051542D">
              <w:t>2,8</w:t>
            </w:r>
          </w:p>
        </w:tc>
        <w:tc>
          <w:tcPr>
            <w:tcW w:w="308" w:type="pct"/>
            <w:noWrap/>
            <w:hideMark/>
          </w:tcPr>
          <w:p w14:paraId="1ADC14FF" w14:textId="77777777" w:rsidR="006A1560" w:rsidRPr="0051542D" w:rsidRDefault="006A1560" w:rsidP="00F0383E">
            <w:r w:rsidRPr="0051542D">
              <w:t>1,2</w:t>
            </w:r>
          </w:p>
        </w:tc>
        <w:tc>
          <w:tcPr>
            <w:tcW w:w="550" w:type="pct"/>
            <w:noWrap/>
            <w:hideMark/>
          </w:tcPr>
          <w:p w14:paraId="081E3BFA" w14:textId="77777777" w:rsidR="006A1560" w:rsidRPr="00FA5B86" w:rsidRDefault="006A1560" w:rsidP="00F0383E">
            <w:pPr>
              <w:jc w:val="center"/>
              <w:rPr>
                <w:b/>
              </w:rPr>
            </w:pPr>
            <w:r w:rsidRPr="00FA5B86">
              <w:rPr>
                <w:b/>
              </w:rPr>
              <w:t>8,7</w:t>
            </w:r>
          </w:p>
        </w:tc>
      </w:tr>
      <w:tr w:rsidR="006A1560" w:rsidRPr="0051542D" w14:paraId="4B82DFBF" w14:textId="77777777" w:rsidTr="00F0383E">
        <w:trPr>
          <w:trHeight w:val="300"/>
          <w:jc w:val="center"/>
        </w:trPr>
        <w:tc>
          <w:tcPr>
            <w:tcW w:w="529" w:type="pct"/>
            <w:shd w:val="clear" w:color="auto" w:fill="92D050"/>
            <w:noWrap/>
            <w:hideMark/>
          </w:tcPr>
          <w:p w14:paraId="2717B06B" w14:textId="77777777" w:rsidR="006A1560" w:rsidRPr="0051542D" w:rsidRDefault="006A1560" w:rsidP="00F0383E">
            <w:r w:rsidRPr="0051542D">
              <w:t>2017</w:t>
            </w:r>
          </w:p>
        </w:tc>
        <w:tc>
          <w:tcPr>
            <w:tcW w:w="335" w:type="pct"/>
            <w:noWrap/>
            <w:hideMark/>
          </w:tcPr>
          <w:p w14:paraId="52D7BFAD" w14:textId="77777777" w:rsidR="006A1560" w:rsidRPr="0051542D" w:rsidRDefault="006A1560" w:rsidP="00F0383E">
            <w:r w:rsidRPr="0051542D">
              <w:t>-3,1</w:t>
            </w:r>
          </w:p>
        </w:tc>
        <w:tc>
          <w:tcPr>
            <w:tcW w:w="308" w:type="pct"/>
            <w:noWrap/>
            <w:hideMark/>
          </w:tcPr>
          <w:p w14:paraId="39E142A3" w14:textId="77777777" w:rsidR="006A1560" w:rsidRPr="0051542D" w:rsidRDefault="006A1560" w:rsidP="00F0383E">
            <w:r w:rsidRPr="0051542D">
              <w:t>-0,8</w:t>
            </w:r>
          </w:p>
        </w:tc>
        <w:tc>
          <w:tcPr>
            <w:tcW w:w="308" w:type="pct"/>
            <w:noWrap/>
            <w:hideMark/>
          </w:tcPr>
          <w:p w14:paraId="11C64B8C" w14:textId="77777777" w:rsidR="006A1560" w:rsidRPr="0051542D" w:rsidRDefault="006A1560" w:rsidP="00F0383E">
            <w:r w:rsidRPr="0051542D">
              <w:t>4,7</w:t>
            </w:r>
          </w:p>
        </w:tc>
        <w:tc>
          <w:tcPr>
            <w:tcW w:w="332" w:type="pct"/>
            <w:noWrap/>
            <w:hideMark/>
          </w:tcPr>
          <w:p w14:paraId="7F4CF5A6" w14:textId="77777777" w:rsidR="006A1560" w:rsidRPr="0051542D" w:rsidRDefault="006A1560" w:rsidP="00F0383E">
            <w:r w:rsidRPr="0051542D">
              <w:t>6,6</w:t>
            </w:r>
          </w:p>
        </w:tc>
        <w:tc>
          <w:tcPr>
            <w:tcW w:w="333" w:type="pct"/>
            <w:noWrap/>
            <w:hideMark/>
          </w:tcPr>
          <w:p w14:paraId="4678DF8F" w14:textId="77777777" w:rsidR="006A1560" w:rsidRPr="0051542D" w:rsidRDefault="006A1560" w:rsidP="00F0383E">
            <w:r w:rsidRPr="0051542D">
              <w:t>13</w:t>
            </w:r>
            <w:r>
              <w:t>,0</w:t>
            </w:r>
          </w:p>
        </w:tc>
        <w:tc>
          <w:tcPr>
            <w:tcW w:w="333" w:type="pct"/>
            <w:noWrap/>
            <w:hideMark/>
          </w:tcPr>
          <w:p w14:paraId="26254D56" w14:textId="77777777" w:rsidR="006A1560" w:rsidRPr="0051542D" w:rsidRDefault="006A1560" w:rsidP="00F0383E">
            <w:r w:rsidRPr="0051542D">
              <w:t>16,5</w:t>
            </w:r>
          </w:p>
        </w:tc>
        <w:tc>
          <w:tcPr>
            <w:tcW w:w="333" w:type="pct"/>
            <w:noWrap/>
            <w:hideMark/>
          </w:tcPr>
          <w:p w14:paraId="0014B4A9" w14:textId="77777777" w:rsidR="006A1560" w:rsidRPr="0051542D" w:rsidRDefault="006A1560" w:rsidP="00F0383E">
            <w:r w:rsidRPr="0051542D">
              <w:t>17,2</w:t>
            </w:r>
          </w:p>
        </w:tc>
        <w:tc>
          <w:tcPr>
            <w:tcW w:w="333" w:type="pct"/>
            <w:noWrap/>
            <w:hideMark/>
          </w:tcPr>
          <w:p w14:paraId="356377C2" w14:textId="77777777" w:rsidR="006A1560" w:rsidRPr="0051542D" w:rsidRDefault="006A1560" w:rsidP="00F0383E">
            <w:r w:rsidRPr="0051542D">
              <w:t>18,2</w:t>
            </w:r>
          </w:p>
        </w:tc>
        <w:tc>
          <w:tcPr>
            <w:tcW w:w="333" w:type="pct"/>
            <w:noWrap/>
            <w:hideMark/>
          </w:tcPr>
          <w:p w14:paraId="43F62871" w14:textId="77777777" w:rsidR="006A1560" w:rsidRPr="0051542D" w:rsidRDefault="006A1560" w:rsidP="00F0383E">
            <w:r w:rsidRPr="0051542D">
              <w:t>13,7</w:t>
            </w:r>
          </w:p>
        </w:tc>
        <w:tc>
          <w:tcPr>
            <w:tcW w:w="332" w:type="pct"/>
            <w:noWrap/>
            <w:hideMark/>
          </w:tcPr>
          <w:p w14:paraId="557A4BCB" w14:textId="77777777" w:rsidR="006A1560" w:rsidRPr="0051542D" w:rsidRDefault="006A1560" w:rsidP="00F0383E">
            <w:r w:rsidRPr="0051542D">
              <w:t>9,4</w:t>
            </w:r>
          </w:p>
        </w:tc>
        <w:tc>
          <w:tcPr>
            <w:tcW w:w="333" w:type="pct"/>
            <w:noWrap/>
            <w:hideMark/>
          </w:tcPr>
          <w:p w14:paraId="4FBA954B" w14:textId="77777777" w:rsidR="006A1560" w:rsidRPr="0051542D" w:rsidRDefault="006A1560" w:rsidP="00F0383E">
            <w:r w:rsidRPr="0051542D">
              <w:t>4,2</w:t>
            </w:r>
          </w:p>
        </w:tc>
        <w:tc>
          <w:tcPr>
            <w:tcW w:w="308" w:type="pct"/>
            <w:noWrap/>
            <w:hideMark/>
          </w:tcPr>
          <w:p w14:paraId="43FE4353" w14:textId="77777777" w:rsidR="006A1560" w:rsidRPr="0051542D" w:rsidRDefault="006A1560" w:rsidP="00F0383E">
            <w:r w:rsidRPr="0051542D">
              <w:t>1,9</w:t>
            </w:r>
          </w:p>
        </w:tc>
        <w:tc>
          <w:tcPr>
            <w:tcW w:w="550" w:type="pct"/>
            <w:noWrap/>
            <w:hideMark/>
          </w:tcPr>
          <w:p w14:paraId="0C69A245" w14:textId="77777777" w:rsidR="006A1560" w:rsidRPr="00FA5B86" w:rsidRDefault="006A1560" w:rsidP="00F0383E">
            <w:pPr>
              <w:jc w:val="center"/>
              <w:rPr>
                <w:b/>
              </w:rPr>
            </w:pPr>
            <w:r w:rsidRPr="00FA5B86">
              <w:rPr>
                <w:b/>
              </w:rPr>
              <w:t>8,4</w:t>
            </w:r>
          </w:p>
        </w:tc>
      </w:tr>
      <w:tr w:rsidR="006A1560" w:rsidRPr="0051542D" w14:paraId="2EA35416" w14:textId="77777777" w:rsidTr="00F0383E">
        <w:trPr>
          <w:trHeight w:val="300"/>
          <w:jc w:val="center"/>
        </w:trPr>
        <w:tc>
          <w:tcPr>
            <w:tcW w:w="529" w:type="pct"/>
            <w:shd w:val="clear" w:color="auto" w:fill="92D050"/>
            <w:noWrap/>
            <w:hideMark/>
          </w:tcPr>
          <w:p w14:paraId="76CE8271" w14:textId="77777777" w:rsidR="006A1560" w:rsidRPr="0051542D" w:rsidRDefault="006A1560" w:rsidP="00F0383E">
            <w:r w:rsidRPr="0051542D">
              <w:t>2018</w:t>
            </w:r>
          </w:p>
        </w:tc>
        <w:tc>
          <w:tcPr>
            <w:tcW w:w="335" w:type="pct"/>
            <w:noWrap/>
            <w:hideMark/>
          </w:tcPr>
          <w:p w14:paraId="6B6F2401" w14:textId="77777777" w:rsidR="006A1560" w:rsidRPr="0051542D" w:rsidRDefault="006A1560" w:rsidP="00F0383E">
            <w:r w:rsidRPr="0051542D">
              <w:t>-0,2</w:t>
            </w:r>
          </w:p>
        </w:tc>
        <w:tc>
          <w:tcPr>
            <w:tcW w:w="308" w:type="pct"/>
            <w:noWrap/>
            <w:hideMark/>
          </w:tcPr>
          <w:p w14:paraId="21C53D6A" w14:textId="77777777" w:rsidR="006A1560" w:rsidRPr="0051542D" w:rsidRDefault="006A1560" w:rsidP="00F0383E">
            <w:r w:rsidRPr="0051542D">
              <w:t>-4,2</w:t>
            </w:r>
          </w:p>
        </w:tc>
        <w:tc>
          <w:tcPr>
            <w:tcW w:w="308" w:type="pct"/>
            <w:noWrap/>
            <w:hideMark/>
          </w:tcPr>
          <w:p w14:paraId="26D1D983" w14:textId="77777777" w:rsidR="006A1560" w:rsidRPr="0051542D" w:rsidRDefault="006A1560" w:rsidP="00F0383E">
            <w:r w:rsidRPr="0051542D">
              <w:t>-0,7</w:t>
            </w:r>
          </w:p>
        </w:tc>
        <w:tc>
          <w:tcPr>
            <w:tcW w:w="332" w:type="pct"/>
            <w:noWrap/>
            <w:hideMark/>
          </w:tcPr>
          <w:p w14:paraId="5B922D70" w14:textId="77777777" w:rsidR="006A1560" w:rsidRPr="0051542D" w:rsidRDefault="006A1560" w:rsidP="00F0383E">
            <w:r w:rsidRPr="0051542D">
              <w:t>11,7</w:t>
            </w:r>
          </w:p>
        </w:tc>
        <w:tc>
          <w:tcPr>
            <w:tcW w:w="333" w:type="pct"/>
            <w:noWrap/>
            <w:hideMark/>
          </w:tcPr>
          <w:p w14:paraId="11E5FA08" w14:textId="77777777" w:rsidR="006A1560" w:rsidRPr="0051542D" w:rsidRDefault="006A1560" w:rsidP="00F0383E">
            <w:r w:rsidRPr="0051542D">
              <w:t>16,2</w:t>
            </w:r>
          </w:p>
        </w:tc>
        <w:tc>
          <w:tcPr>
            <w:tcW w:w="333" w:type="pct"/>
            <w:noWrap/>
            <w:hideMark/>
          </w:tcPr>
          <w:p w14:paraId="3EB5BE4D" w14:textId="77777777" w:rsidR="006A1560" w:rsidRPr="0051542D" w:rsidRDefault="006A1560" w:rsidP="00F0383E">
            <w:r w:rsidRPr="0051542D">
              <w:t>17,8</w:t>
            </w:r>
          </w:p>
        </w:tc>
        <w:tc>
          <w:tcPr>
            <w:tcW w:w="333" w:type="pct"/>
            <w:noWrap/>
            <w:hideMark/>
          </w:tcPr>
          <w:p w14:paraId="5D526F0E" w14:textId="77777777" w:rsidR="006A1560" w:rsidRPr="0051542D" w:rsidRDefault="006A1560" w:rsidP="00F0383E">
            <w:r w:rsidRPr="0051542D">
              <w:t>20,3</w:t>
            </w:r>
          </w:p>
        </w:tc>
        <w:tc>
          <w:tcPr>
            <w:tcW w:w="333" w:type="pct"/>
            <w:noWrap/>
            <w:hideMark/>
          </w:tcPr>
          <w:p w14:paraId="3E7B592F" w14:textId="77777777" w:rsidR="006A1560" w:rsidRPr="0051542D" w:rsidRDefault="006A1560" w:rsidP="00F0383E">
            <w:r w:rsidRPr="0051542D">
              <w:t>19,6</w:t>
            </w:r>
          </w:p>
        </w:tc>
        <w:tc>
          <w:tcPr>
            <w:tcW w:w="333" w:type="pct"/>
            <w:noWrap/>
            <w:hideMark/>
          </w:tcPr>
          <w:p w14:paraId="1D192589" w14:textId="77777777" w:rsidR="006A1560" w:rsidRPr="0051542D" w:rsidRDefault="006A1560" w:rsidP="00F0383E">
            <w:r w:rsidRPr="0051542D">
              <w:t>15,4</w:t>
            </w:r>
          </w:p>
        </w:tc>
        <w:tc>
          <w:tcPr>
            <w:tcW w:w="332" w:type="pct"/>
            <w:noWrap/>
            <w:hideMark/>
          </w:tcPr>
          <w:p w14:paraId="68C1BADB" w14:textId="77777777" w:rsidR="006A1560" w:rsidRPr="0051542D" w:rsidRDefault="006A1560" w:rsidP="00F0383E">
            <w:r w:rsidRPr="0051542D">
              <w:t>9,6</w:t>
            </w:r>
          </w:p>
        </w:tc>
        <w:tc>
          <w:tcPr>
            <w:tcW w:w="333" w:type="pct"/>
            <w:noWrap/>
            <w:hideMark/>
          </w:tcPr>
          <w:p w14:paraId="6B2A4556" w14:textId="77777777" w:rsidR="006A1560" w:rsidRPr="0051542D" w:rsidRDefault="006A1560" w:rsidP="00F0383E">
            <w:r w:rsidRPr="0051542D">
              <w:t>4,1</w:t>
            </w:r>
          </w:p>
        </w:tc>
        <w:tc>
          <w:tcPr>
            <w:tcW w:w="308" w:type="pct"/>
            <w:noWrap/>
            <w:hideMark/>
          </w:tcPr>
          <w:p w14:paraId="4FB2F604" w14:textId="77777777" w:rsidR="006A1560" w:rsidRPr="0051542D" w:rsidRDefault="006A1560" w:rsidP="00F0383E">
            <w:r w:rsidRPr="0051542D">
              <w:t>1,1</w:t>
            </w:r>
          </w:p>
        </w:tc>
        <w:tc>
          <w:tcPr>
            <w:tcW w:w="550" w:type="pct"/>
            <w:noWrap/>
            <w:hideMark/>
          </w:tcPr>
          <w:p w14:paraId="1F94E85F" w14:textId="77777777" w:rsidR="006A1560" w:rsidRPr="00FA5B86" w:rsidRDefault="006A1560" w:rsidP="00F0383E">
            <w:pPr>
              <w:jc w:val="center"/>
              <w:rPr>
                <w:b/>
              </w:rPr>
            </w:pPr>
            <w:r w:rsidRPr="00FA5B86">
              <w:rPr>
                <w:b/>
              </w:rPr>
              <w:t>9,2</w:t>
            </w:r>
          </w:p>
        </w:tc>
      </w:tr>
      <w:tr w:rsidR="006A1560" w:rsidRPr="0051542D" w14:paraId="00452826" w14:textId="77777777" w:rsidTr="00F0383E">
        <w:trPr>
          <w:trHeight w:val="300"/>
          <w:jc w:val="center"/>
        </w:trPr>
        <w:tc>
          <w:tcPr>
            <w:tcW w:w="529" w:type="pct"/>
            <w:shd w:val="clear" w:color="auto" w:fill="92D050"/>
            <w:noWrap/>
            <w:hideMark/>
          </w:tcPr>
          <w:p w14:paraId="4ADDA616" w14:textId="77777777" w:rsidR="006A1560" w:rsidRPr="0051542D" w:rsidRDefault="006A1560" w:rsidP="00F0383E">
            <w:r w:rsidRPr="0051542D">
              <w:t>2019</w:t>
            </w:r>
          </w:p>
        </w:tc>
        <w:tc>
          <w:tcPr>
            <w:tcW w:w="335" w:type="pct"/>
            <w:noWrap/>
            <w:hideMark/>
          </w:tcPr>
          <w:p w14:paraId="34396885" w14:textId="77777777" w:rsidR="006A1560" w:rsidRPr="0051542D" w:rsidRDefault="006A1560" w:rsidP="00F0383E">
            <w:r w:rsidRPr="0051542D">
              <w:t>-2,3</w:t>
            </w:r>
          </w:p>
        </w:tc>
        <w:tc>
          <w:tcPr>
            <w:tcW w:w="308" w:type="pct"/>
            <w:noWrap/>
            <w:hideMark/>
          </w:tcPr>
          <w:p w14:paraId="196B7795" w14:textId="77777777" w:rsidR="006A1560" w:rsidRPr="0051542D" w:rsidRDefault="006A1560" w:rsidP="00F0383E">
            <w:r w:rsidRPr="0051542D">
              <w:t>2,7</w:t>
            </w:r>
          </w:p>
        </w:tc>
        <w:tc>
          <w:tcPr>
            <w:tcW w:w="308" w:type="pct"/>
            <w:noWrap/>
            <w:hideMark/>
          </w:tcPr>
          <w:p w14:paraId="4AD74A9F" w14:textId="77777777" w:rsidR="006A1560" w:rsidRPr="0051542D" w:rsidRDefault="006A1560" w:rsidP="00F0383E">
            <w:r w:rsidRPr="0051542D">
              <w:t>5,5</w:t>
            </w:r>
          </w:p>
        </w:tc>
        <w:tc>
          <w:tcPr>
            <w:tcW w:w="332" w:type="pct"/>
            <w:noWrap/>
            <w:hideMark/>
          </w:tcPr>
          <w:p w14:paraId="40569825" w14:textId="77777777" w:rsidR="006A1560" w:rsidRPr="0051542D" w:rsidRDefault="006A1560" w:rsidP="00F0383E">
            <w:r w:rsidRPr="0051542D">
              <w:t>9,2</w:t>
            </w:r>
          </w:p>
        </w:tc>
        <w:tc>
          <w:tcPr>
            <w:tcW w:w="333" w:type="pct"/>
            <w:noWrap/>
            <w:hideMark/>
          </w:tcPr>
          <w:p w14:paraId="551789DF" w14:textId="77777777" w:rsidR="006A1560" w:rsidRPr="0051542D" w:rsidRDefault="006A1560" w:rsidP="00F0383E">
            <w:r w:rsidRPr="0051542D">
              <w:t>12,1</w:t>
            </w:r>
          </w:p>
        </w:tc>
        <w:tc>
          <w:tcPr>
            <w:tcW w:w="333" w:type="pct"/>
            <w:noWrap/>
            <w:hideMark/>
          </w:tcPr>
          <w:p w14:paraId="03112654" w14:textId="77777777" w:rsidR="006A1560" w:rsidRPr="0051542D" w:rsidRDefault="006A1560" w:rsidP="00F0383E">
            <w:r w:rsidRPr="0051542D">
              <w:t>21</w:t>
            </w:r>
            <w:r>
              <w:t>,0</w:t>
            </w:r>
          </w:p>
        </w:tc>
        <w:tc>
          <w:tcPr>
            <w:tcW w:w="333" w:type="pct"/>
            <w:noWrap/>
            <w:hideMark/>
          </w:tcPr>
          <w:p w14:paraId="43F810B9" w14:textId="77777777" w:rsidR="006A1560" w:rsidRPr="0051542D" w:rsidRDefault="006A1560" w:rsidP="00F0383E">
            <w:r w:rsidRPr="0051542D">
              <w:t>17,8</w:t>
            </w:r>
          </w:p>
        </w:tc>
        <w:tc>
          <w:tcPr>
            <w:tcW w:w="333" w:type="pct"/>
            <w:noWrap/>
            <w:hideMark/>
          </w:tcPr>
          <w:p w14:paraId="1EA6697F" w14:textId="77777777" w:rsidR="006A1560" w:rsidRPr="0051542D" w:rsidRDefault="006A1560" w:rsidP="00F0383E">
            <w:r w:rsidRPr="0051542D">
              <w:t>18,9</w:t>
            </w:r>
          </w:p>
        </w:tc>
        <w:tc>
          <w:tcPr>
            <w:tcW w:w="333" w:type="pct"/>
            <w:noWrap/>
            <w:hideMark/>
          </w:tcPr>
          <w:p w14:paraId="7129E0E9" w14:textId="77777777" w:rsidR="006A1560" w:rsidRPr="0051542D" w:rsidRDefault="006A1560" w:rsidP="00F0383E">
            <w:r w:rsidRPr="0051542D">
              <w:t>14,3</w:t>
            </w:r>
          </w:p>
        </w:tc>
        <w:tc>
          <w:tcPr>
            <w:tcW w:w="332" w:type="pct"/>
            <w:noWrap/>
            <w:hideMark/>
          </w:tcPr>
          <w:p w14:paraId="6EA63830" w14:textId="77777777" w:rsidR="006A1560" w:rsidRPr="0051542D" w:rsidRDefault="006A1560" w:rsidP="00F0383E">
            <w:r w:rsidRPr="0051542D">
              <w:t>10,4</w:t>
            </w:r>
          </w:p>
        </w:tc>
        <w:tc>
          <w:tcPr>
            <w:tcW w:w="333" w:type="pct"/>
            <w:noWrap/>
            <w:hideMark/>
          </w:tcPr>
          <w:p w14:paraId="79C678DA" w14:textId="77777777" w:rsidR="006A1560" w:rsidRPr="0051542D" w:rsidRDefault="006A1560" w:rsidP="00F0383E">
            <w:r w:rsidRPr="0051542D">
              <w:t>5,5</w:t>
            </w:r>
          </w:p>
        </w:tc>
        <w:tc>
          <w:tcPr>
            <w:tcW w:w="308" w:type="pct"/>
            <w:noWrap/>
            <w:hideMark/>
          </w:tcPr>
          <w:p w14:paraId="4E17474B" w14:textId="77777777" w:rsidR="006A1560" w:rsidRPr="0051542D" w:rsidRDefault="006A1560" w:rsidP="00F0383E">
            <w:r w:rsidRPr="0051542D">
              <w:t>2,8</w:t>
            </w:r>
          </w:p>
        </w:tc>
        <w:tc>
          <w:tcPr>
            <w:tcW w:w="550" w:type="pct"/>
            <w:noWrap/>
            <w:hideMark/>
          </w:tcPr>
          <w:p w14:paraId="6E16EB13" w14:textId="77777777" w:rsidR="006A1560" w:rsidRPr="00FA5B86" w:rsidRDefault="006A1560" w:rsidP="00F0383E">
            <w:pPr>
              <w:jc w:val="center"/>
              <w:rPr>
                <w:b/>
              </w:rPr>
            </w:pPr>
            <w:r w:rsidRPr="00FA5B86">
              <w:rPr>
                <w:b/>
              </w:rPr>
              <w:t>9,8</w:t>
            </w:r>
          </w:p>
        </w:tc>
      </w:tr>
      <w:tr w:rsidR="006A1560" w:rsidRPr="0051542D" w14:paraId="198DBEBB" w14:textId="77777777" w:rsidTr="00F0383E">
        <w:trPr>
          <w:trHeight w:val="300"/>
          <w:jc w:val="center"/>
        </w:trPr>
        <w:tc>
          <w:tcPr>
            <w:tcW w:w="529" w:type="pct"/>
            <w:shd w:val="clear" w:color="auto" w:fill="92D050"/>
            <w:noWrap/>
          </w:tcPr>
          <w:p w14:paraId="7821F12C" w14:textId="77777777" w:rsidR="006A1560" w:rsidRPr="00732029" w:rsidRDefault="006A1560" w:rsidP="00F0383E">
            <w:pPr>
              <w:rPr>
                <w:b/>
              </w:rPr>
            </w:pPr>
            <w:r>
              <w:rPr>
                <w:b/>
              </w:rPr>
              <w:t>Śr. m</w:t>
            </w:r>
            <w:r w:rsidRPr="00732029">
              <w:rPr>
                <w:b/>
              </w:rPr>
              <w:t>-ca</w:t>
            </w:r>
          </w:p>
        </w:tc>
        <w:tc>
          <w:tcPr>
            <w:tcW w:w="335" w:type="pct"/>
            <w:noWrap/>
          </w:tcPr>
          <w:p w14:paraId="492E2E1B" w14:textId="77777777" w:rsidR="006A1560" w:rsidRPr="00732029" w:rsidRDefault="006A1560" w:rsidP="00F0383E">
            <w:pPr>
              <w:rPr>
                <w:b/>
              </w:rPr>
            </w:pPr>
            <w:r>
              <w:rPr>
                <w:b/>
              </w:rPr>
              <w:t>- 2,1</w:t>
            </w:r>
          </w:p>
        </w:tc>
        <w:tc>
          <w:tcPr>
            <w:tcW w:w="308" w:type="pct"/>
            <w:noWrap/>
          </w:tcPr>
          <w:p w14:paraId="0BAB931C" w14:textId="77777777" w:rsidR="006A1560" w:rsidRPr="00732029" w:rsidRDefault="006A1560" w:rsidP="00F0383E">
            <w:pPr>
              <w:rPr>
                <w:b/>
              </w:rPr>
            </w:pPr>
            <w:r>
              <w:rPr>
                <w:b/>
              </w:rPr>
              <w:t>0,4</w:t>
            </w:r>
          </w:p>
        </w:tc>
        <w:tc>
          <w:tcPr>
            <w:tcW w:w="308" w:type="pct"/>
            <w:noWrap/>
          </w:tcPr>
          <w:p w14:paraId="50374FB8" w14:textId="77777777" w:rsidR="006A1560" w:rsidRPr="00732029" w:rsidRDefault="006A1560" w:rsidP="00F0383E">
            <w:pPr>
              <w:rPr>
                <w:b/>
              </w:rPr>
            </w:pPr>
            <w:r>
              <w:rPr>
                <w:b/>
              </w:rPr>
              <w:t>3,9</w:t>
            </w:r>
          </w:p>
        </w:tc>
        <w:tc>
          <w:tcPr>
            <w:tcW w:w="332" w:type="pct"/>
            <w:noWrap/>
          </w:tcPr>
          <w:p w14:paraId="74FA28AC" w14:textId="77777777" w:rsidR="006A1560" w:rsidRPr="00732029" w:rsidRDefault="006A1560" w:rsidP="00F0383E">
            <w:pPr>
              <w:rPr>
                <w:b/>
              </w:rPr>
            </w:pPr>
            <w:r>
              <w:rPr>
                <w:b/>
              </w:rPr>
              <w:t>8,9</w:t>
            </w:r>
          </w:p>
        </w:tc>
        <w:tc>
          <w:tcPr>
            <w:tcW w:w="333" w:type="pct"/>
            <w:noWrap/>
          </w:tcPr>
          <w:p w14:paraId="3BF73EBA" w14:textId="77777777" w:rsidR="006A1560" w:rsidRPr="00732029" w:rsidRDefault="006A1560" w:rsidP="00F0383E">
            <w:pPr>
              <w:rPr>
                <w:b/>
              </w:rPr>
            </w:pPr>
            <w:r>
              <w:rPr>
                <w:b/>
              </w:rPr>
              <w:t>13,5</w:t>
            </w:r>
          </w:p>
        </w:tc>
        <w:tc>
          <w:tcPr>
            <w:tcW w:w="333" w:type="pct"/>
            <w:noWrap/>
          </w:tcPr>
          <w:p w14:paraId="172E434F" w14:textId="77777777" w:rsidR="006A1560" w:rsidRPr="00732029" w:rsidRDefault="006A1560" w:rsidP="00F0383E">
            <w:pPr>
              <w:rPr>
                <w:b/>
              </w:rPr>
            </w:pPr>
            <w:r>
              <w:rPr>
                <w:b/>
              </w:rPr>
              <w:t>17,2</w:t>
            </w:r>
          </w:p>
        </w:tc>
        <w:tc>
          <w:tcPr>
            <w:tcW w:w="333" w:type="pct"/>
            <w:noWrap/>
          </w:tcPr>
          <w:p w14:paraId="64D8EA17" w14:textId="77777777" w:rsidR="006A1560" w:rsidRPr="00732029" w:rsidRDefault="006A1560" w:rsidP="00F0383E">
            <w:pPr>
              <w:rPr>
                <w:b/>
              </w:rPr>
            </w:pPr>
            <w:r>
              <w:rPr>
                <w:b/>
              </w:rPr>
              <w:t>18,8</w:t>
            </w:r>
          </w:p>
        </w:tc>
        <w:tc>
          <w:tcPr>
            <w:tcW w:w="333" w:type="pct"/>
            <w:noWrap/>
          </w:tcPr>
          <w:p w14:paraId="70995DA1" w14:textId="77777777" w:rsidR="006A1560" w:rsidRPr="00732029" w:rsidRDefault="006A1560" w:rsidP="00F0383E">
            <w:pPr>
              <w:rPr>
                <w:b/>
              </w:rPr>
            </w:pPr>
            <w:r>
              <w:rPr>
                <w:b/>
              </w:rPr>
              <w:t>18,7</w:t>
            </w:r>
          </w:p>
        </w:tc>
        <w:tc>
          <w:tcPr>
            <w:tcW w:w="333" w:type="pct"/>
            <w:noWrap/>
          </w:tcPr>
          <w:p w14:paraId="46A9CB32" w14:textId="77777777" w:rsidR="006A1560" w:rsidRPr="00732029" w:rsidRDefault="006A1560" w:rsidP="00F0383E">
            <w:pPr>
              <w:rPr>
                <w:b/>
              </w:rPr>
            </w:pPr>
            <w:r>
              <w:rPr>
                <w:b/>
              </w:rPr>
              <w:t>14,5</w:t>
            </w:r>
          </w:p>
        </w:tc>
        <w:tc>
          <w:tcPr>
            <w:tcW w:w="332" w:type="pct"/>
            <w:noWrap/>
          </w:tcPr>
          <w:p w14:paraId="7AE5119B" w14:textId="77777777" w:rsidR="006A1560" w:rsidRPr="00732029" w:rsidRDefault="006A1560" w:rsidP="00F0383E">
            <w:pPr>
              <w:rPr>
                <w:b/>
              </w:rPr>
            </w:pPr>
            <w:r w:rsidRPr="00732029">
              <w:rPr>
                <w:b/>
              </w:rPr>
              <w:t>8,7</w:t>
            </w:r>
          </w:p>
        </w:tc>
        <w:tc>
          <w:tcPr>
            <w:tcW w:w="333" w:type="pct"/>
            <w:noWrap/>
          </w:tcPr>
          <w:p w14:paraId="40E15C59" w14:textId="77777777" w:rsidR="006A1560" w:rsidRPr="00732029" w:rsidRDefault="006A1560" w:rsidP="00F0383E">
            <w:pPr>
              <w:rPr>
                <w:b/>
              </w:rPr>
            </w:pPr>
            <w:r w:rsidRPr="00732029">
              <w:rPr>
                <w:b/>
              </w:rPr>
              <w:t>4,23</w:t>
            </w:r>
          </w:p>
        </w:tc>
        <w:tc>
          <w:tcPr>
            <w:tcW w:w="308" w:type="pct"/>
            <w:noWrap/>
          </w:tcPr>
          <w:p w14:paraId="20A091AF" w14:textId="77777777" w:rsidR="006A1560" w:rsidRPr="00732029" w:rsidRDefault="006A1560" w:rsidP="00F0383E">
            <w:pPr>
              <w:rPr>
                <w:b/>
              </w:rPr>
            </w:pPr>
            <w:r>
              <w:rPr>
                <w:b/>
              </w:rPr>
              <w:t>1,8</w:t>
            </w:r>
          </w:p>
        </w:tc>
        <w:tc>
          <w:tcPr>
            <w:tcW w:w="550" w:type="pct"/>
            <w:noWrap/>
          </w:tcPr>
          <w:p w14:paraId="4B01A7C3" w14:textId="77777777" w:rsidR="006A1560" w:rsidRPr="0051542D" w:rsidRDefault="006A1560" w:rsidP="00F0383E">
            <w:pPr>
              <w:jc w:val="center"/>
            </w:pPr>
          </w:p>
        </w:tc>
      </w:tr>
    </w:tbl>
    <w:p w14:paraId="6DDACC12" w14:textId="77777777" w:rsidR="006A1560" w:rsidRPr="00DB1EDA" w:rsidRDefault="006A1560" w:rsidP="006A1560">
      <w:pPr>
        <w:jc w:val="center"/>
        <w:rPr>
          <w:i/>
          <w:sz w:val="20"/>
          <w:szCs w:val="20"/>
        </w:rPr>
      </w:pPr>
      <w:r>
        <w:rPr>
          <w:i/>
          <w:sz w:val="20"/>
          <w:szCs w:val="20"/>
        </w:rPr>
        <w:t>ź</w:t>
      </w:r>
      <w:r w:rsidRPr="00DB1EDA">
        <w:rPr>
          <w:i/>
          <w:sz w:val="20"/>
          <w:szCs w:val="20"/>
        </w:rPr>
        <w:t>ródło: opracowanie własne na podstawie danych IMGW Biuletyn Monitoringu Klimatu roczniki 2014-2019</w:t>
      </w:r>
    </w:p>
    <w:p w14:paraId="7DD3BAF5" w14:textId="5CF0EDB6" w:rsidR="006A1560" w:rsidRDefault="003F5DFC" w:rsidP="006A1560">
      <w:pPr>
        <w:jc w:val="both"/>
        <w:rPr>
          <w:lang w:val="pl"/>
        </w:rPr>
      </w:pPr>
      <w:r w:rsidRPr="003F5DFC">
        <w:rPr>
          <w:lang w:val="pl"/>
        </w:rPr>
        <w:t>Pomimo wzrostu średniej dobowej temperatury powietrza</w:t>
      </w:r>
      <w:r>
        <w:rPr>
          <w:lang w:val="pl"/>
        </w:rPr>
        <w:t xml:space="preserve"> od 1981 r</w:t>
      </w:r>
      <w:r w:rsidR="00500FB1">
        <w:rPr>
          <w:lang w:val="pl"/>
        </w:rPr>
        <w:t>oku,</w:t>
      </w:r>
      <w:r w:rsidRPr="003F5DFC">
        <w:rPr>
          <w:lang w:val="pl"/>
        </w:rPr>
        <w:t xml:space="preserve"> prognozy wynikające </w:t>
      </w:r>
      <w:r w:rsidR="00206773">
        <w:rPr>
          <w:lang w:val="pl"/>
        </w:rPr>
        <w:br/>
      </w:r>
      <w:r w:rsidRPr="003F5DFC">
        <w:rPr>
          <w:lang w:val="pl"/>
        </w:rPr>
        <w:t>z przeprowadzonych dwóch scenariuszy RCP4.5</w:t>
      </w:r>
      <w:r w:rsidRPr="003F5DFC">
        <w:rPr>
          <w:vertAlign w:val="superscript"/>
          <w:lang w:val="pl"/>
        </w:rPr>
        <w:footnoteReference w:id="35"/>
      </w:r>
      <w:r w:rsidRPr="003F5DFC">
        <w:rPr>
          <w:lang w:val="pl"/>
        </w:rPr>
        <w:t xml:space="preserve"> i RCP8.5</w:t>
      </w:r>
      <w:r w:rsidRPr="003F5DFC">
        <w:rPr>
          <w:vertAlign w:val="superscript"/>
          <w:lang w:val="pl"/>
        </w:rPr>
        <w:footnoteReference w:id="36"/>
      </w:r>
      <w:r w:rsidRPr="003F5DFC">
        <w:rPr>
          <w:lang w:val="pl"/>
        </w:rPr>
        <w:t xml:space="preserve">, nie przewidują znacznego zagrożenia </w:t>
      </w:r>
      <w:r w:rsidR="00E84F5A">
        <w:rPr>
          <w:lang w:val="pl"/>
        </w:rPr>
        <w:t>klima</w:t>
      </w:r>
      <w:r w:rsidR="00D56D64">
        <w:rPr>
          <w:lang w:val="pl"/>
        </w:rPr>
        <w:t>tycznego</w:t>
      </w:r>
      <w:r w:rsidR="00EF2362">
        <w:rPr>
          <w:lang w:val="pl"/>
        </w:rPr>
        <w:t xml:space="preserve"> dla Olsztyna</w:t>
      </w:r>
      <w:r w:rsidR="005E2F66">
        <w:rPr>
          <w:rStyle w:val="Odwoanieprzypisudolnego"/>
          <w:lang w:val="pl"/>
        </w:rPr>
        <w:footnoteReference w:id="37"/>
      </w:r>
      <w:r w:rsidRPr="003F5DFC">
        <w:rPr>
          <w:lang w:val="pl"/>
        </w:rPr>
        <w:t xml:space="preserve">. </w:t>
      </w:r>
    </w:p>
    <w:p w14:paraId="3EB842EA" w14:textId="19030AF3" w:rsidR="006A1560" w:rsidRDefault="006A1560" w:rsidP="006A1560">
      <w:pPr>
        <w:jc w:val="both"/>
      </w:pPr>
      <w:bookmarkStart w:id="115" w:name="_3znysh7" w:colFirst="0" w:colLast="0"/>
      <w:bookmarkEnd w:id="115"/>
      <w:r>
        <w:t>Najwyższą średnią roczną temperaturę powietrza w roku 2019 zanotowano w Rzeszowie (10,5</w:t>
      </w:r>
      <w:r>
        <w:rPr>
          <w:vertAlign w:val="superscript"/>
        </w:rPr>
        <w:t>o</w:t>
      </w:r>
      <w:r>
        <w:t>C), zaś najniższą w Białymstoku (9,2</w:t>
      </w:r>
      <w:r>
        <w:rPr>
          <w:vertAlign w:val="superscript"/>
        </w:rPr>
        <w:t>o</w:t>
      </w:r>
      <w:r>
        <w:t xml:space="preserve">C). Najcieplejszym miesiącem był czerwiec 2019 z temperaturami kształtującymi </w:t>
      </w:r>
      <w:r w:rsidR="0084055A">
        <w:t xml:space="preserve">się </w:t>
      </w:r>
      <w:r>
        <w:t>na poziomie od 27,1</w:t>
      </w:r>
      <w:r>
        <w:rPr>
          <w:vertAlign w:val="superscript"/>
        </w:rPr>
        <w:t>o</w:t>
      </w:r>
      <w:r>
        <w:t>C - w Olsztynie do 27,8</w:t>
      </w:r>
      <w:r>
        <w:rPr>
          <w:vertAlign w:val="superscript"/>
        </w:rPr>
        <w:t>o</w:t>
      </w:r>
      <w:r>
        <w:t>C – w Kielcach (średnia miesięczna temperatura powietrza). Natomiast najchłodniejszym miesiącem, we wszystkich miastach, był styczeń 2019. Najniższą średnią miesięczną temperaturę powietrza zanotowano w Kielcach (-13,5</w:t>
      </w:r>
      <w:r>
        <w:rPr>
          <w:vertAlign w:val="superscript"/>
        </w:rPr>
        <w:t>o</w:t>
      </w:r>
      <w:r>
        <w:t>C), najwyższą – w Olsztynie (-4,7</w:t>
      </w:r>
      <w:r w:rsidRPr="005F620D">
        <w:rPr>
          <w:vertAlign w:val="superscript"/>
        </w:rPr>
        <w:t xml:space="preserve"> </w:t>
      </w:r>
      <w:r>
        <w:rPr>
          <w:vertAlign w:val="superscript"/>
        </w:rPr>
        <w:t>o</w:t>
      </w:r>
      <w:r>
        <w:t>C).</w:t>
      </w:r>
    </w:p>
    <w:p w14:paraId="01871E02" w14:textId="7CD3FFC0" w:rsidR="00227441" w:rsidRPr="00227441" w:rsidRDefault="00227441" w:rsidP="00227441">
      <w:pPr>
        <w:pStyle w:val="Legenda"/>
        <w:rPr>
          <w:sz w:val="22"/>
          <w:szCs w:val="22"/>
          <w:lang w:val="pl-PL"/>
        </w:rPr>
      </w:pPr>
      <w:bookmarkStart w:id="116" w:name="_Toc73516104"/>
      <w:r w:rsidRPr="00227441">
        <w:rPr>
          <w:sz w:val="22"/>
          <w:szCs w:val="22"/>
        </w:rPr>
        <w:t xml:space="preserve">Wykres </w:t>
      </w:r>
      <w:r w:rsidRPr="00227441">
        <w:rPr>
          <w:sz w:val="22"/>
          <w:szCs w:val="22"/>
        </w:rPr>
        <w:fldChar w:fldCharType="begin"/>
      </w:r>
      <w:r w:rsidRPr="00227441">
        <w:rPr>
          <w:sz w:val="22"/>
          <w:szCs w:val="22"/>
        </w:rPr>
        <w:instrText xml:space="preserve"> SEQ Wykres \* ARABIC </w:instrText>
      </w:r>
      <w:r w:rsidRPr="00227441">
        <w:rPr>
          <w:sz w:val="22"/>
          <w:szCs w:val="22"/>
        </w:rPr>
        <w:fldChar w:fldCharType="separate"/>
      </w:r>
      <w:r w:rsidR="00AD58C3">
        <w:rPr>
          <w:noProof/>
          <w:sz w:val="22"/>
          <w:szCs w:val="22"/>
        </w:rPr>
        <w:t>42</w:t>
      </w:r>
      <w:r w:rsidRPr="00227441">
        <w:rPr>
          <w:sz w:val="22"/>
          <w:szCs w:val="22"/>
        </w:rPr>
        <w:fldChar w:fldCharType="end"/>
      </w:r>
      <w:r w:rsidRPr="00227441">
        <w:rPr>
          <w:sz w:val="22"/>
          <w:szCs w:val="22"/>
        </w:rPr>
        <w:t xml:space="preserve">. </w:t>
      </w:r>
      <w:r w:rsidRPr="00227441">
        <w:rPr>
          <w:bCs/>
          <w:sz w:val="22"/>
          <w:szCs w:val="22"/>
          <w:lang w:val="pl-PL"/>
        </w:rPr>
        <w:t>Średnia roczna temperatura powietrza w roku 2019 (</w:t>
      </w:r>
      <w:r w:rsidRPr="00227441">
        <w:rPr>
          <w:bCs/>
          <w:sz w:val="22"/>
          <w:szCs w:val="22"/>
          <w:vertAlign w:val="superscript"/>
          <w:lang w:val="pl-PL"/>
        </w:rPr>
        <w:t>o</w:t>
      </w:r>
      <w:r w:rsidRPr="00227441">
        <w:rPr>
          <w:bCs/>
          <w:sz w:val="22"/>
          <w:szCs w:val="22"/>
          <w:lang w:val="pl-PL"/>
        </w:rPr>
        <w:t>C)</w:t>
      </w:r>
      <w:bookmarkEnd w:id="116"/>
    </w:p>
    <w:p w14:paraId="3DEBD2DD" w14:textId="77777777" w:rsidR="006A1560" w:rsidRDefault="006A1560" w:rsidP="006A1560">
      <w:pPr>
        <w:spacing w:after="0"/>
        <w:jc w:val="center"/>
      </w:pPr>
      <w:r>
        <w:rPr>
          <w:noProof/>
          <w:lang w:eastAsia="pl-PL"/>
        </w:rPr>
        <w:drawing>
          <wp:inline distT="0" distB="0" distL="0" distR="0" wp14:anchorId="0B9C9D7A" wp14:editId="73A88888">
            <wp:extent cx="3697356" cy="1804946"/>
            <wp:effectExtent l="0" t="0" r="17780" b="5080"/>
            <wp:docPr id="72" name="Wykres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B05498B" w14:textId="77777777" w:rsidR="006A1560" w:rsidRDefault="006A1560" w:rsidP="006A1560">
      <w:pPr>
        <w:spacing w:after="0"/>
        <w:jc w:val="center"/>
      </w:pPr>
      <w:r>
        <w:rPr>
          <w:i/>
          <w:sz w:val="20"/>
          <w:szCs w:val="20"/>
        </w:rPr>
        <w:t>ź</w:t>
      </w:r>
      <w:r w:rsidRPr="00DB1EDA">
        <w:rPr>
          <w:i/>
          <w:sz w:val="20"/>
          <w:szCs w:val="20"/>
        </w:rPr>
        <w:t>ródło: opracowanie własne na podstawie danych IMGW PIB</w:t>
      </w:r>
      <w:r>
        <w:rPr>
          <w:rStyle w:val="Odwoanieprzypisudolnego"/>
        </w:rPr>
        <w:footnoteReference w:id="38"/>
      </w:r>
    </w:p>
    <w:p w14:paraId="5AA8A9F4" w14:textId="77777777" w:rsidR="006A1560" w:rsidRDefault="006A1560" w:rsidP="007C55C4">
      <w:pPr>
        <w:jc w:val="both"/>
        <w:rPr>
          <w:i/>
          <w:color w:val="2E74B5" w:themeColor="accent1" w:themeShade="BF"/>
        </w:rPr>
      </w:pPr>
    </w:p>
    <w:p w14:paraId="655139F8" w14:textId="59528063" w:rsidR="008C3AC3" w:rsidRPr="008C3AC3" w:rsidRDefault="008C3AC3" w:rsidP="007C55C4">
      <w:pPr>
        <w:jc w:val="both"/>
        <w:rPr>
          <w:lang w:val="pl"/>
        </w:rPr>
      </w:pPr>
      <w:r w:rsidRPr="008C3AC3">
        <w:rPr>
          <w:lang w:val="pl"/>
        </w:rPr>
        <w:t>Anal</w:t>
      </w:r>
      <w:r w:rsidR="007834E8">
        <w:rPr>
          <w:lang w:val="pl"/>
        </w:rPr>
        <w:t>iza scenariuszy RCP4.5 i RCP8.5, przygotowanych</w:t>
      </w:r>
      <w:r w:rsidRPr="008C3AC3">
        <w:rPr>
          <w:lang w:val="pl"/>
        </w:rPr>
        <w:t xml:space="preserve"> w </w:t>
      </w:r>
      <w:r w:rsidR="007834E8">
        <w:rPr>
          <w:lang w:val="pl"/>
        </w:rPr>
        <w:t xml:space="preserve">ramach </w:t>
      </w:r>
      <w:r w:rsidR="007834E8">
        <w:rPr>
          <w:i/>
          <w:lang w:val="pl"/>
        </w:rPr>
        <w:t>Planu</w:t>
      </w:r>
      <w:r w:rsidR="000C342C">
        <w:rPr>
          <w:i/>
          <w:lang w:val="pl"/>
        </w:rPr>
        <w:t xml:space="preserve"> adaptacji do zmian klimatu miasta </w:t>
      </w:r>
      <w:r w:rsidR="000C342C" w:rsidRPr="007834E8">
        <w:rPr>
          <w:i/>
          <w:lang w:val="pl"/>
        </w:rPr>
        <w:t>Olsztyn</w:t>
      </w:r>
      <w:r w:rsidR="007834E8">
        <w:rPr>
          <w:lang w:val="pl"/>
        </w:rPr>
        <w:t>,</w:t>
      </w:r>
      <w:r w:rsidRPr="008C3AC3">
        <w:rPr>
          <w:lang w:val="pl"/>
        </w:rPr>
        <w:t xml:space="preserve"> dla wskaźnika liczby okresów z co najmniej </w:t>
      </w:r>
      <w:r w:rsidR="00AA29D9">
        <w:rPr>
          <w:lang w:val="pl"/>
        </w:rPr>
        <w:t>trzema</w:t>
      </w:r>
      <w:r w:rsidRPr="008C3AC3">
        <w:rPr>
          <w:lang w:val="pl"/>
        </w:rPr>
        <w:t xml:space="preserve"> dniami z temperaturą maksymalną powyżej 30°C w roku wskazuje, że w obu przypadkach t</w:t>
      </w:r>
      <w:r w:rsidR="007C55C4">
        <w:rPr>
          <w:lang w:val="pl"/>
        </w:rPr>
        <w:t>endencja będzie rosnąca</w:t>
      </w:r>
      <w:r w:rsidRPr="008C3AC3">
        <w:rPr>
          <w:lang w:val="pl"/>
        </w:rPr>
        <w:t xml:space="preserve">. Scenariusze te nie są natomiast zgodne w przypadku </w:t>
      </w:r>
      <w:r w:rsidR="006C64A9" w:rsidRPr="006C64A9">
        <w:rPr>
          <w:lang w:val="pl"/>
        </w:rPr>
        <w:t>czasu</w:t>
      </w:r>
      <w:r w:rsidRPr="008C3AC3">
        <w:rPr>
          <w:lang w:val="pl"/>
        </w:rPr>
        <w:t xml:space="preserve"> trwania tego okresu. Pierwszy z nich zakłada, że liczba dni będzie stopniowo wzrastać, drugi natomiast przyjmuje, że liczba ta będzie się zmniejszać w 2030 roku, </w:t>
      </w:r>
      <w:r w:rsidR="00206773">
        <w:rPr>
          <w:lang w:val="pl"/>
        </w:rPr>
        <w:br/>
      </w:r>
      <w:r w:rsidRPr="008C3AC3">
        <w:rPr>
          <w:lang w:val="pl"/>
        </w:rPr>
        <w:t>a następnie zwiększać w perspektywie 2050 roku. W obu scenariuszach zakłada się znaczny wzrost liczby dni z temperaturami maksymalnymi powyżej 30°C. Według pierwszego z nich w 2030 roku nastąpi gwałtowny wzrost, a następnie wartość ta się utrzyma. Drugi z kolei przewiduje, że w drugim okresie liczba ta wzrośnie prawie trzykrotnie w porównaniu z pierwszym</w:t>
      </w:r>
      <w:r w:rsidR="006C64A9">
        <w:rPr>
          <w:rStyle w:val="Odwoanieprzypisudolnego"/>
          <w:lang w:val="pl"/>
        </w:rPr>
        <w:footnoteReference w:id="39"/>
      </w:r>
      <w:r w:rsidRPr="008C3AC3">
        <w:rPr>
          <w:lang w:val="pl"/>
        </w:rPr>
        <w:t>.</w:t>
      </w:r>
    </w:p>
    <w:p w14:paraId="76564BE6" w14:textId="20F4BFE0" w:rsidR="007C55C4" w:rsidRPr="00B77310" w:rsidRDefault="007C55C4" w:rsidP="007C55C4">
      <w:pPr>
        <w:rPr>
          <w:i/>
          <w:color w:val="2E74B5" w:themeColor="accent1" w:themeShade="BF"/>
        </w:rPr>
      </w:pPr>
      <w:r>
        <w:rPr>
          <w:i/>
          <w:color w:val="2E74B5" w:themeColor="accent1" w:themeShade="BF"/>
        </w:rPr>
        <w:t>Fale mrozów</w:t>
      </w:r>
    </w:p>
    <w:p w14:paraId="278B5729" w14:textId="3C0396B1" w:rsidR="00780AAA" w:rsidRDefault="00780AAA" w:rsidP="00780AAA">
      <w:pPr>
        <w:jc w:val="both"/>
      </w:pPr>
      <w:r>
        <w:t>Charakterystyczną cechą klimatu Polski jest także zróżnicowana liczba dni mroźnych (Tmax &lt; 0°C) występujących od listopada do marca (najwięcej w styczniu), która wzrasta z zachodu (poniżej 20 dni w roku nad dolną Odrą i wzdłuż wybrzeża) na północny wschód (do ponad 50 dni na Pojezierzu Suwalskim), a w górach od 129 na Śnieżce do 146 na Kasprowym Wierchu.</w:t>
      </w:r>
    </w:p>
    <w:p w14:paraId="70B8CACE" w14:textId="529397B6" w:rsidR="00036B4F" w:rsidRPr="00036B4F" w:rsidRDefault="00036B4F" w:rsidP="00036B4F">
      <w:pPr>
        <w:pStyle w:val="Legenda"/>
        <w:rPr>
          <w:sz w:val="22"/>
          <w:szCs w:val="22"/>
        </w:rPr>
      </w:pPr>
      <w:bookmarkStart w:id="117" w:name="_Toc73516105"/>
      <w:r w:rsidRPr="00036B4F">
        <w:rPr>
          <w:sz w:val="22"/>
          <w:szCs w:val="22"/>
        </w:rPr>
        <w:t xml:space="preserve">Wykres </w:t>
      </w:r>
      <w:r w:rsidRPr="00036B4F">
        <w:rPr>
          <w:sz w:val="22"/>
          <w:szCs w:val="22"/>
        </w:rPr>
        <w:fldChar w:fldCharType="begin"/>
      </w:r>
      <w:r w:rsidRPr="00036B4F">
        <w:rPr>
          <w:sz w:val="22"/>
          <w:szCs w:val="22"/>
        </w:rPr>
        <w:instrText xml:space="preserve"> SEQ Wykres \* ARABIC </w:instrText>
      </w:r>
      <w:r w:rsidRPr="00036B4F">
        <w:rPr>
          <w:sz w:val="22"/>
          <w:szCs w:val="22"/>
        </w:rPr>
        <w:fldChar w:fldCharType="separate"/>
      </w:r>
      <w:r w:rsidR="00AD58C3">
        <w:rPr>
          <w:noProof/>
          <w:sz w:val="22"/>
          <w:szCs w:val="22"/>
        </w:rPr>
        <w:t>43</w:t>
      </w:r>
      <w:r w:rsidRPr="00036B4F">
        <w:rPr>
          <w:sz w:val="22"/>
          <w:szCs w:val="22"/>
        </w:rPr>
        <w:fldChar w:fldCharType="end"/>
      </w:r>
      <w:r w:rsidRPr="00036B4F">
        <w:rPr>
          <w:sz w:val="22"/>
          <w:szCs w:val="22"/>
        </w:rPr>
        <w:t>. Zima w Olsztynie (2014-2019)</w:t>
      </w:r>
      <w:bookmarkEnd w:id="117"/>
    </w:p>
    <w:tbl>
      <w:tblPr>
        <w:tblStyle w:val="Tabela-Siatka"/>
        <w:tblW w:w="0" w:type="auto"/>
        <w:tblLook w:val="04A0" w:firstRow="1" w:lastRow="0" w:firstColumn="1" w:lastColumn="0" w:noHBand="0" w:noVBand="1"/>
      </w:tblPr>
      <w:tblGrid>
        <w:gridCol w:w="702"/>
        <w:gridCol w:w="2977"/>
        <w:gridCol w:w="2410"/>
        <w:gridCol w:w="2971"/>
      </w:tblGrid>
      <w:tr w:rsidR="00780AAA" w:rsidRPr="00B165DC" w14:paraId="3F350703" w14:textId="77777777" w:rsidTr="0069744B">
        <w:trPr>
          <w:trHeight w:val="300"/>
        </w:trPr>
        <w:tc>
          <w:tcPr>
            <w:tcW w:w="702" w:type="dxa"/>
            <w:shd w:val="clear" w:color="auto" w:fill="92D050"/>
            <w:vAlign w:val="center"/>
          </w:tcPr>
          <w:p w14:paraId="279B90F8" w14:textId="77777777" w:rsidR="00780AAA" w:rsidRPr="00B165DC" w:rsidRDefault="00780AAA" w:rsidP="0069744B">
            <w:pPr>
              <w:jc w:val="both"/>
              <w:rPr>
                <w:b/>
              </w:rPr>
            </w:pPr>
            <w:r w:rsidRPr="00B165DC">
              <w:rPr>
                <w:b/>
              </w:rPr>
              <w:t>Rok</w:t>
            </w:r>
          </w:p>
        </w:tc>
        <w:tc>
          <w:tcPr>
            <w:tcW w:w="2977" w:type="dxa"/>
            <w:shd w:val="clear" w:color="auto" w:fill="92D050"/>
            <w:noWrap/>
            <w:vAlign w:val="center"/>
            <w:hideMark/>
          </w:tcPr>
          <w:p w14:paraId="1615421A" w14:textId="77777777" w:rsidR="00780AAA" w:rsidRPr="00B165DC" w:rsidRDefault="00780AAA" w:rsidP="0069744B">
            <w:pPr>
              <w:jc w:val="center"/>
              <w:rPr>
                <w:b/>
              </w:rPr>
            </w:pPr>
            <w:r w:rsidRPr="00B165DC">
              <w:rPr>
                <w:b/>
              </w:rPr>
              <w:t>maks. grubość pokrywy śnieżnej w cm</w:t>
            </w:r>
          </w:p>
        </w:tc>
        <w:tc>
          <w:tcPr>
            <w:tcW w:w="2410" w:type="dxa"/>
            <w:shd w:val="clear" w:color="auto" w:fill="92D050"/>
            <w:noWrap/>
            <w:vAlign w:val="center"/>
            <w:hideMark/>
          </w:tcPr>
          <w:p w14:paraId="4895A847" w14:textId="77777777" w:rsidR="00780AAA" w:rsidRPr="00B165DC" w:rsidRDefault="00780AAA" w:rsidP="0069744B">
            <w:pPr>
              <w:jc w:val="center"/>
              <w:rPr>
                <w:b/>
              </w:rPr>
            </w:pPr>
            <w:r w:rsidRPr="00B165DC">
              <w:rPr>
                <w:b/>
              </w:rPr>
              <w:t>dni mroźne</w:t>
            </w:r>
          </w:p>
        </w:tc>
        <w:tc>
          <w:tcPr>
            <w:tcW w:w="2971" w:type="dxa"/>
            <w:shd w:val="clear" w:color="auto" w:fill="92D050"/>
            <w:noWrap/>
            <w:vAlign w:val="center"/>
            <w:hideMark/>
          </w:tcPr>
          <w:p w14:paraId="3065748D" w14:textId="77777777" w:rsidR="00780AAA" w:rsidRPr="00B165DC" w:rsidRDefault="00780AAA" w:rsidP="0069744B">
            <w:pPr>
              <w:jc w:val="center"/>
              <w:rPr>
                <w:b/>
              </w:rPr>
            </w:pPr>
            <w:r w:rsidRPr="00B165DC">
              <w:rPr>
                <w:b/>
              </w:rPr>
              <w:t>liczba dni z pokrywą śnieżną</w:t>
            </w:r>
          </w:p>
        </w:tc>
      </w:tr>
      <w:tr w:rsidR="00780AAA" w:rsidRPr="0051542D" w14:paraId="48FF91D9" w14:textId="77777777" w:rsidTr="0069744B">
        <w:trPr>
          <w:trHeight w:val="258"/>
        </w:trPr>
        <w:tc>
          <w:tcPr>
            <w:tcW w:w="702" w:type="dxa"/>
            <w:shd w:val="clear" w:color="auto" w:fill="92D050"/>
            <w:vAlign w:val="center"/>
          </w:tcPr>
          <w:p w14:paraId="705AC3FF" w14:textId="77777777" w:rsidR="00780AAA" w:rsidRPr="0051542D" w:rsidRDefault="00780AAA" w:rsidP="0069744B">
            <w:pPr>
              <w:jc w:val="center"/>
            </w:pPr>
            <w:r w:rsidRPr="0051542D">
              <w:t>2014</w:t>
            </w:r>
          </w:p>
        </w:tc>
        <w:tc>
          <w:tcPr>
            <w:tcW w:w="2977" w:type="dxa"/>
            <w:noWrap/>
            <w:vAlign w:val="center"/>
            <w:hideMark/>
          </w:tcPr>
          <w:p w14:paraId="651DF988" w14:textId="77777777" w:rsidR="00780AAA" w:rsidRPr="0051542D" w:rsidRDefault="00780AAA" w:rsidP="0069744B">
            <w:pPr>
              <w:jc w:val="center"/>
            </w:pPr>
            <w:r w:rsidRPr="0051542D">
              <w:t>28</w:t>
            </w:r>
          </w:p>
        </w:tc>
        <w:tc>
          <w:tcPr>
            <w:tcW w:w="2410" w:type="dxa"/>
            <w:noWrap/>
            <w:vAlign w:val="center"/>
            <w:hideMark/>
          </w:tcPr>
          <w:p w14:paraId="49FAC5D3" w14:textId="77777777" w:rsidR="00780AAA" w:rsidRPr="0051542D" w:rsidRDefault="00780AAA" w:rsidP="0069744B">
            <w:pPr>
              <w:jc w:val="center"/>
            </w:pPr>
            <w:r w:rsidRPr="0051542D">
              <w:t>35</w:t>
            </w:r>
          </w:p>
        </w:tc>
        <w:tc>
          <w:tcPr>
            <w:tcW w:w="2971" w:type="dxa"/>
            <w:noWrap/>
            <w:vAlign w:val="center"/>
            <w:hideMark/>
          </w:tcPr>
          <w:p w14:paraId="34840D50" w14:textId="77777777" w:rsidR="00780AAA" w:rsidRPr="0051542D" w:rsidRDefault="00780AAA" w:rsidP="0069744B">
            <w:pPr>
              <w:jc w:val="center"/>
            </w:pPr>
            <w:r w:rsidRPr="0051542D">
              <w:t>27</w:t>
            </w:r>
          </w:p>
        </w:tc>
      </w:tr>
      <w:tr w:rsidR="00780AAA" w:rsidRPr="0051542D" w14:paraId="70069D6D" w14:textId="77777777" w:rsidTr="0069744B">
        <w:trPr>
          <w:trHeight w:val="300"/>
        </w:trPr>
        <w:tc>
          <w:tcPr>
            <w:tcW w:w="702" w:type="dxa"/>
            <w:shd w:val="clear" w:color="auto" w:fill="92D050"/>
            <w:vAlign w:val="center"/>
          </w:tcPr>
          <w:p w14:paraId="0F8B1F3B" w14:textId="77777777" w:rsidR="00780AAA" w:rsidRPr="0051542D" w:rsidRDefault="00780AAA" w:rsidP="0069744B">
            <w:pPr>
              <w:jc w:val="center"/>
            </w:pPr>
            <w:r w:rsidRPr="0051542D">
              <w:t>2015</w:t>
            </w:r>
          </w:p>
        </w:tc>
        <w:tc>
          <w:tcPr>
            <w:tcW w:w="2977" w:type="dxa"/>
            <w:noWrap/>
            <w:vAlign w:val="center"/>
            <w:hideMark/>
          </w:tcPr>
          <w:p w14:paraId="6739D566" w14:textId="77777777" w:rsidR="00780AAA" w:rsidRPr="0051542D" w:rsidRDefault="00780AAA" w:rsidP="0069744B">
            <w:pPr>
              <w:jc w:val="center"/>
            </w:pPr>
            <w:r w:rsidRPr="0051542D">
              <w:t>8</w:t>
            </w:r>
          </w:p>
        </w:tc>
        <w:tc>
          <w:tcPr>
            <w:tcW w:w="2410" w:type="dxa"/>
            <w:noWrap/>
            <w:vAlign w:val="center"/>
            <w:hideMark/>
          </w:tcPr>
          <w:p w14:paraId="30BCA863" w14:textId="77777777" w:rsidR="00780AAA" w:rsidRPr="0051542D" w:rsidRDefault="00780AAA" w:rsidP="0069744B">
            <w:pPr>
              <w:jc w:val="center"/>
            </w:pPr>
            <w:r w:rsidRPr="0051542D">
              <w:t>16</w:t>
            </w:r>
          </w:p>
        </w:tc>
        <w:tc>
          <w:tcPr>
            <w:tcW w:w="2971" w:type="dxa"/>
            <w:noWrap/>
            <w:vAlign w:val="center"/>
            <w:hideMark/>
          </w:tcPr>
          <w:p w14:paraId="50949AE2" w14:textId="77777777" w:rsidR="00780AAA" w:rsidRPr="0051542D" w:rsidRDefault="00780AAA" w:rsidP="0069744B">
            <w:pPr>
              <w:jc w:val="center"/>
            </w:pPr>
            <w:r w:rsidRPr="0051542D">
              <w:t>12</w:t>
            </w:r>
          </w:p>
        </w:tc>
      </w:tr>
      <w:tr w:rsidR="00780AAA" w:rsidRPr="0051542D" w14:paraId="73B8F004" w14:textId="77777777" w:rsidTr="0069744B">
        <w:trPr>
          <w:trHeight w:val="300"/>
        </w:trPr>
        <w:tc>
          <w:tcPr>
            <w:tcW w:w="702" w:type="dxa"/>
            <w:shd w:val="clear" w:color="auto" w:fill="92D050"/>
            <w:vAlign w:val="center"/>
          </w:tcPr>
          <w:p w14:paraId="48D249D2" w14:textId="77777777" w:rsidR="00780AAA" w:rsidRPr="0051542D" w:rsidRDefault="00780AAA" w:rsidP="0069744B">
            <w:pPr>
              <w:jc w:val="center"/>
            </w:pPr>
            <w:r w:rsidRPr="0051542D">
              <w:t>2016</w:t>
            </w:r>
          </w:p>
        </w:tc>
        <w:tc>
          <w:tcPr>
            <w:tcW w:w="2977" w:type="dxa"/>
            <w:noWrap/>
            <w:vAlign w:val="center"/>
            <w:hideMark/>
          </w:tcPr>
          <w:p w14:paraId="4666D46E" w14:textId="77777777" w:rsidR="00780AAA" w:rsidRPr="0051542D" w:rsidRDefault="00780AAA" w:rsidP="0069744B">
            <w:pPr>
              <w:jc w:val="center"/>
            </w:pPr>
            <w:r w:rsidRPr="0051542D">
              <w:t>8,5</w:t>
            </w:r>
          </w:p>
        </w:tc>
        <w:tc>
          <w:tcPr>
            <w:tcW w:w="2410" w:type="dxa"/>
            <w:noWrap/>
            <w:vAlign w:val="center"/>
            <w:hideMark/>
          </w:tcPr>
          <w:p w14:paraId="71F06350" w14:textId="77777777" w:rsidR="00780AAA" w:rsidRPr="0051542D" w:rsidRDefault="00780AAA" w:rsidP="0069744B">
            <w:pPr>
              <w:jc w:val="center"/>
            </w:pPr>
            <w:r w:rsidRPr="0051542D">
              <w:t>24</w:t>
            </w:r>
          </w:p>
        </w:tc>
        <w:tc>
          <w:tcPr>
            <w:tcW w:w="2971" w:type="dxa"/>
            <w:noWrap/>
            <w:vAlign w:val="center"/>
            <w:hideMark/>
          </w:tcPr>
          <w:p w14:paraId="2E1EEEB9" w14:textId="77777777" w:rsidR="00780AAA" w:rsidRPr="0051542D" w:rsidRDefault="00780AAA" w:rsidP="0069744B">
            <w:pPr>
              <w:jc w:val="center"/>
            </w:pPr>
            <w:r w:rsidRPr="0051542D">
              <w:t>37</w:t>
            </w:r>
          </w:p>
        </w:tc>
      </w:tr>
      <w:tr w:rsidR="00780AAA" w:rsidRPr="0051542D" w14:paraId="1F0ADA5D" w14:textId="77777777" w:rsidTr="0069744B">
        <w:trPr>
          <w:trHeight w:val="300"/>
        </w:trPr>
        <w:tc>
          <w:tcPr>
            <w:tcW w:w="702" w:type="dxa"/>
            <w:shd w:val="clear" w:color="auto" w:fill="92D050"/>
            <w:vAlign w:val="center"/>
          </w:tcPr>
          <w:p w14:paraId="18DCCE3B" w14:textId="77777777" w:rsidR="00780AAA" w:rsidRPr="0051542D" w:rsidRDefault="00780AAA" w:rsidP="0069744B">
            <w:pPr>
              <w:jc w:val="center"/>
            </w:pPr>
            <w:r w:rsidRPr="0051542D">
              <w:t>2017</w:t>
            </w:r>
          </w:p>
        </w:tc>
        <w:tc>
          <w:tcPr>
            <w:tcW w:w="2977" w:type="dxa"/>
            <w:noWrap/>
            <w:vAlign w:val="center"/>
            <w:hideMark/>
          </w:tcPr>
          <w:p w14:paraId="69E05BD0" w14:textId="77777777" w:rsidR="00780AAA" w:rsidRPr="0051542D" w:rsidRDefault="00780AAA" w:rsidP="0069744B">
            <w:pPr>
              <w:jc w:val="center"/>
            </w:pPr>
            <w:r w:rsidRPr="0051542D">
              <w:t>8,2</w:t>
            </w:r>
          </w:p>
        </w:tc>
        <w:tc>
          <w:tcPr>
            <w:tcW w:w="2410" w:type="dxa"/>
            <w:noWrap/>
            <w:vAlign w:val="center"/>
            <w:hideMark/>
          </w:tcPr>
          <w:p w14:paraId="5F2F251C" w14:textId="77777777" w:rsidR="00780AAA" w:rsidRPr="0051542D" w:rsidRDefault="00780AAA" w:rsidP="0069744B">
            <w:pPr>
              <w:jc w:val="center"/>
            </w:pPr>
            <w:r w:rsidRPr="0051542D">
              <w:t>26</w:t>
            </w:r>
          </w:p>
        </w:tc>
        <w:tc>
          <w:tcPr>
            <w:tcW w:w="2971" w:type="dxa"/>
            <w:noWrap/>
            <w:vAlign w:val="center"/>
            <w:hideMark/>
          </w:tcPr>
          <w:p w14:paraId="2EAF8840" w14:textId="77777777" w:rsidR="00780AAA" w:rsidRPr="0051542D" w:rsidRDefault="00780AAA" w:rsidP="0069744B">
            <w:pPr>
              <w:jc w:val="center"/>
            </w:pPr>
            <w:r w:rsidRPr="0051542D">
              <w:t>64</w:t>
            </w:r>
          </w:p>
        </w:tc>
      </w:tr>
      <w:tr w:rsidR="00780AAA" w:rsidRPr="0051542D" w14:paraId="21CFF85C" w14:textId="77777777" w:rsidTr="0069744B">
        <w:trPr>
          <w:trHeight w:val="300"/>
        </w:trPr>
        <w:tc>
          <w:tcPr>
            <w:tcW w:w="702" w:type="dxa"/>
            <w:shd w:val="clear" w:color="auto" w:fill="92D050"/>
            <w:vAlign w:val="center"/>
          </w:tcPr>
          <w:p w14:paraId="7E67F6D3" w14:textId="77777777" w:rsidR="00780AAA" w:rsidRPr="0051542D" w:rsidRDefault="00780AAA" w:rsidP="0069744B">
            <w:pPr>
              <w:jc w:val="center"/>
            </w:pPr>
            <w:r w:rsidRPr="0051542D">
              <w:t>2018</w:t>
            </w:r>
          </w:p>
        </w:tc>
        <w:tc>
          <w:tcPr>
            <w:tcW w:w="2977" w:type="dxa"/>
            <w:noWrap/>
            <w:vAlign w:val="center"/>
            <w:hideMark/>
          </w:tcPr>
          <w:p w14:paraId="75750312" w14:textId="77777777" w:rsidR="00780AAA" w:rsidRPr="0051542D" w:rsidRDefault="00780AAA" w:rsidP="0069744B">
            <w:pPr>
              <w:jc w:val="center"/>
            </w:pPr>
            <w:r w:rsidRPr="0051542D">
              <w:t>6,2</w:t>
            </w:r>
          </w:p>
        </w:tc>
        <w:tc>
          <w:tcPr>
            <w:tcW w:w="2410" w:type="dxa"/>
            <w:noWrap/>
            <w:vAlign w:val="center"/>
            <w:hideMark/>
          </w:tcPr>
          <w:p w14:paraId="2503C4A6" w14:textId="77777777" w:rsidR="00780AAA" w:rsidRPr="0051542D" w:rsidRDefault="00780AAA" w:rsidP="0069744B">
            <w:pPr>
              <w:jc w:val="center"/>
            </w:pPr>
            <w:r w:rsidRPr="0051542D">
              <w:t>45</w:t>
            </w:r>
          </w:p>
        </w:tc>
        <w:tc>
          <w:tcPr>
            <w:tcW w:w="2971" w:type="dxa"/>
            <w:noWrap/>
            <w:vAlign w:val="center"/>
            <w:hideMark/>
          </w:tcPr>
          <w:p w14:paraId="1C9BD891" w14:textId="77777777" w:rsidR="00780AAA" w:rsidRPr="0051542D" w:rsidRDefault="00780AAA" w:rsidP="0069744B">
            <w:pPr>
              <w:jc w:val="center"/>
            </w:pPr>
            <w:r w:rsidRPr="0051542D">
              <w:t>38</w:t>
            </w:r>
          </w:p>
        </w:tc>
      </w:tr>
      <w:tr w:rsidR="00780AAA" w:rsidRPr="0051542D" w14:paraId="666C2D60" w14:textId="77777777" w:rsidTr="0069744B">
        <w:trPr>
          <w:trHeight w:val="70"/>
        </w:trPr>
        <w:tc>
          <w:tcPr>
            <w:tcW w:w="702" w:type="dxa"/>
            <w:shd w:val="clear" w:color="auto" w:fill="92D050"/>
            <w:vAlign w:val="center"/>
          </w:tcPr>
          <w:p w14:paraId="4277B86A" w14:textId="77777777" w:rsidR="00780AAA" w:rsidRPr="0051542D" w:rsidRDefault="00780AAA" w:rsidP="0069744B">
            <w:pPr>
              <w:jc w:val="center"/>
            </w:pPr>
            <w:r w:rsidRPr="0051542D">
              <w:t>2019</w:t>
            </w:r>
          </w:p>
        </w:tc>
        <w:tc>
          <w:tcPr>
            <w:tcW w:w="2977" w:type="dxa"/>
            <w:noWrap/>
            <w:vAlign w:val="center"/>
            <w:hideMark/>
          </w:tcPr>
          <w:p w14:paraId="05EA8FEE" w14:textId="77777777" w:rsidR="00780AAA" w:rsidRPr="0051542D" w:rsidRDefault="00780AAA" w:rsidP="0069744B">
            <w:pPr>
              <w:jc w:val="center"/>
            </w:pPr>
            <w:r w:rsidRPr="0051542D">
              <w:t>5,3</w:t>
            </w:r>
          </w:p>
        </w:tc>
        <w:tc>
          <w:tcPr>
            <w:tcW w:w="2410" w:type="dxa"/>
            <w:noWrap/>
            <w:vAlign w:val="center"/>
            <w:hideMark/>
          </w:tcPr>
          <w:p w14:paraId="12A053A3" w14:textId="77777777" w:rsidR="00780AAA" w:rsidRPr="0051542D" w:rsidRDefault="00780AAA" w:rsidP="0069744B">
            <w:pPr>
              <w:jc w:val="center"/>
            </w:pPr>
            <w:r w:rsidRPr="0051542D">
              <w:t>22</w:t>
            </w:r>
          </w:p>
        </w:tc>
        <w:tc>
          <w:tcPr>
            <w:tcW w:w="2971" w:type="dxa"/>
            <w:noWrap/>
            <w:vAlign w:val="center"/>
            <w:hideMark/>
          </w:tcPr>
          <w:p w14:paraId="2BB55435" w14:textId="77777777" w:rsidR="00780AAA" w:rsidRPr="0051542D" w:rsidRDefault="00780AAA" w:rsidP="0069744B">
            <w:pPr>
              <w:jc w:val="center"/>
            </w:pPr>
            <w:r w:rsidRPr="0051542D">
              <w:t>43</w:t>
            </w:r>
          </w:p>
        </w:tc>
      </w:tr>
    </w:tbl>
    <w:p w14:paraId="5F159796" w14:textId="4627598A" w:rsidR="00780AAA" w:rsidRPr="00B165DC" w:rsidRDefault="00036B4F" w:rsidP="00780AAA">
      <w:pPr>
        <w:jc w:val="center"/>
        <w:rPr>
          <w:i/>
          <w:sz w:val="20"/>
          <w:szCs w:val="20"/>
        </w:rPr>
      </w:pPr>
      <w:r>
        <w:rPr>
          <w:i/>
          <w:sz w:val="20"/>
          <w:szCs w:val="20"/>
        </w:rPr>
        <w:t>ź</w:t>
      </w:r>
      <w:r w:rsidR="00780AAA" w:rsidRPr="00B165DC">
        <w:rPr>
          <w:i/>
          <w:sz w:val="20"/>
          <w:szCs w:val="20"/>
        </w:rPr>
        <w:t>ródło: IMGW Biuletyn Monitoringu Klimatu roczniki 2014-2019 – dane dla Olsztyna</w:t>
      </w:r>
    </w:p>
    <w:p w14:paraId="0ABC6C5E" w14:textId="472C23A0" w:rsidR="00780AAA" w:rsidRPr="00780AAA" w:rsidRDefault="00780AAA" w:rsidP="007C55C4">
      <w:pPr>
        <w:jc w:val="both"/>
      </w:pPr>
      <w:r>
        <w:t xml:space="preserve">Maksymalna grubość pokrywy śnieżnej odnotowana została w 2014 roku. Najwięcej dni mroźnych było w roku 2018. </w:t>
      </w:r>
    </w:p>
    <w:p w14:paraId="690FAE8C" w14:textId="7A07F951" w:rsidR="008C3AC3" w:rsidRPr="008C3AC3" w:rsidRDefault="008C3AC3" w:rsidP="007C55C4">
      <w:pPr>
        <w:jc w:val="both"/>
        <w:rPr>
          <w:lang w:val="pl"/>
        </w:rPr>
      </w:pPr>
      <w:bookmarkStart w:id="118" w:name="_4vyjpyep6mve" w:colFirst="0" w:colLast="0"/>
      <w:bookmarkStart w:id="119" w:name="_bhjrkx9ikaxb" w:colFirst="0" w:colLast="0"/>
      <w:bookmarkStart w:id="120" w:name="_btwcynl1xu0h" w:colFirst="0" w:colLast="0"/>
      <w:bookmarkEnd w:id="118"/>
      <w:bookmarkEnd w:id="119"/>
      <w:bookmarkEnd w:id="120"/>
      <w:r w:rsidRPr="008C3AC3">
        <w:rPr>
          <w:lang w:val="pl"/>
        </w:rPr>
        <w:t>W przypadku scenariuszy zagrożenia falą mrozu różnica między nimi jest niewielka. Obie prognozy zakładają, że liczba okresów z temperaturą minimalną poniżej -10°C trwających co najmniej 3 dni nie ulegnie znacznemu zmniejszeniu. Przewidują również, że długość okresu mrozów prawie się nie zmieni, a zjawisko to nadal będzie stanowiło duży problem dla miasta</w:t>
      </w:r>
      <w:r w:rsidR="00BE0B41">
        <w:rPr>
          <w:rStyle w:val="Odwoanieprzypisudolnego"/>
          <w:lang w:val="pl"/>
        </w:rPr>
        <w:footnoteReference w:id="40"/>
      </w:r>
      <w:r w:rsidRPr="008C3AC3">
        <w:rPr>
          <w:lang w:val="pl"/>
        </w:rPr>
        <w:t>.</w:t>
      </w:r>
    </w:p>
    <w:p w14:paraId="07681491" w14:textId="5D7AC5B4" w:rsidR="001E6E55" w:rsidRPr="00B77310" w:rsidRDefault="001E6E55" w:rsidP="001E6E55">
      <w:pPr>
        <w:rPr>
          <w:i/>
          <w:color w:val="2E74B5" w:themeColor="accent1" w:themeShade="BF"/>
        </w:rPr>
      </w:pPr>
      <w:bookmarkStart w:id="121" w:name="_6suse5kopu8j" w:colFirst="0" w:colLast="0"/>
      <w:bookmarkEnd w:id="121"/>
      <w:r>
        <w:rPr>
          <w:i/>
          <w:color w:val="2E74B5" w:themeColor="accent1" w:themeShade="BF"/>
        </w:rPr>
        <w:t>Miejska Wyspa Ciepła</w:t>
      </w:r>
    </w:p>
    <w:p w14:paraId="493E53C2" w14:textId="032D73FD" w:rsidR="008C3AC3" w:rsidRDefault="00BE0B41" w:rsidP="00AA29D9">
      <w:pPr>
        <w:jc w:val="both"/>
        <w:rPr>
          <w:lang w:val="pl"/>
        </w:rPr>
      </w:pPr>
      <w:r>
        <w:rPr>
          <w:lang w:val="pl"/>
        </w:rPr>
        <w:t>W</w:t>
      </w:r>
      <w:r w:rsidR="008C3AC3" w:rsidRPr="008C3AC3">
        <w:rPr>
          <w:lang w:val="pl"/>
        </w:rPr>
        <w:t xml:space="preserve"> przeddzień wystąpienia fali upałów</w:t>
      </w:r>
      <w:r>
        <w:rPr>
          <w:lang w:val="pl"/>
        </w:rPr>
        <w:t>, n</w:t>
      </w:r>
      <w:r w:rsidR="008C3AC3" w:rsidRPr="008C3AC3">
        <w:rPr>
          <w:lang w:val="pl"/>
        </w:rPr>
        <w:t xml:space="preserve">ajwiększa intensywność </w:t>
      </w:r>
      <w:r>
        <w:rPr>
          <w:lang w:val="pl"/>
        </w:rPr>
        <w:t>M</w:t>
      </w:r>
      <w:r w:rsidR="00C1515D">
        <w:rPr>
          <w:lang w:val="pl"/>
        </w:rPr>
        <w:t>iejskiej Wyspy Ciepła</w:t>
      </w:r>
      <w:r>
        <w:rPr>
          <w:lang w:val="pl"/>
        </w:rPr>
        <w:t xml:space="preserve"> (Rys. 14)</w:t>
      </w:r>
      <w:r w:rsidR="008C3AC3" w:rsidRPr="008C3AC3">
        <w:rPr>
          <w:lang w:val="pl"/>
        </w:rPr>
        <w:t xml:space="preserve"> występuje na obszarach produkcyjnych, zwartej zabudowy śródmiejskiej oraz terenów mieszkaniowych i usług publicznych w środkowo-wschodniej części miasta. Różnica temperatury powierzchni ziemi pomiędzy tymi terenami a </w:t>
      </w:r>
      <w:r w:rsidR="002F2BBA">
        <w:rPr>
          <w:lang w:val="pl"/>
        </w:rPr>
        <w:t>terenami</w:t>
      </w:r>
      <w:r w:rsidR="008C3AC3" w:rsidRPr="008C3AC3">
        <w:rPr>
          <w:lang w:val="pl"/>
        </w:rPr>
        <w:t xml:space="preserve"> poza granicami miasta wynosi aż 20°C, natomiast na południu Olsztyna, gdzie dominuje zabudowa wielorodzinna, </w:t>
      </w:r>
      <w:r w:rsidR="0050072D">
        <w:rPr>
          <w:lang w:val="pl"/>
        </w:rPr>
        <w:t xml:space="preserve">różnica </w:t>
      </w:r>
      <w:r w:rsidR="008C3AC3" w:rsidRPr="008C3AC3">
        <w:rPr>
          <w:lang w:val="pl"/>
        </w:rPr>
        <w:t xml:space="preserve">wynosi ok. 9-12°C. </w:t>
      </w:r>
      <w:r w:rsidR="00036B4F">
        <w:rPr>
          <w:lang w:val="pl"/>
        </w:rPr>
        <w:br/>
      </w:r>
      <w:r w:rsidR="00036B4F">
        <w:rPr>
          <w:lang w:val="pl"/>
        </w:rPr>
        <w:br/>
      </w:r>
      <w:r w:rsidR="008C3AC3" w:rsidRPr="008C3AC3">
        <w:rPr>
          <w:lang w:val="pl"/>
        </w:rPr>
        <w:lastRenderedPageBreak/>
        <w:t>W rejonie Lasu Miejskiego i Strefy Otoczenia Jezior odnotowano, że na tych terenach temperatura przy powierzchni wody i gruntu, jest nawet o 9°C niższa od wartości temperatury otoczenia</w:t>
      </w:r>
      <w:r w:rsidR="00303B34">
        <w:rPr>
          <w:rStyle w:val="Odwoanieprzypisudolnego"/>
          <w:lang w:val="pl"/>
        </w:rPr>
        <w:footnoteReference w:id="41"/>
      </w:r>
      <w:r w:rsidR="00AA29D9">
        <w:rPr>
          <w:lang w:val="pl"/>
        </w:rPr>
        <w:t>.</w:t>
      </w:r>
    </w:p>
    <w:p w14:paraId="75898515" w14:textId="77777777" w:rsidR="00036B4F" w:rsidRDefault="00036B4F" w:rsidP="00036B4F">
      <w:pPr>
        <w:pStyle w:val="Legenda"/>
        <w:rPr>
          <w:sz w:val="22"/>
          <w:szCs w:val="22"/>
        </w:rPr>
      </w:pPr>
    </w:p>
    <w:p w14:paraId="263FC218" w14:textId="47DE0FED" w:rsidR="00036B4F" w:rsidRPr="00036B4F" w:rsidRDefault="00036B4F" w:rsidP="00036B4F">
      <w:pPr>
        <w:pStyle w:val="Legenda"/>
        <w:rPr>
          <w:sz w:val="22"/>
          <w:szCs w:val="22"/>
          <w:lang w:val="pl"/>
        </w:rPr>
      </w:pPr>
      <w:bookmarkStart w:id="122" w:name="_Toc73516176"/>
      <w:r w:rsidRPr="00036B4F">
        <w:rPr>
          <w:sz w:val="22"/>
          <w:szCs w:val="22"/>
        </w:rPr>
        <w:t xml:space="preserve">Rysunek </w:t>
      </w:r>
      <w:r w:rsidRPr="00036B4F">
        <w:rPr>
          <w:sz w:val="22"/>
          <w:szCs w:val="22"/>
        </w:rPr>
        <w:fldChar w:fldCharType="begin"/>
      </w:r>
      <w:r w:rsidRPr="00036B4F">
        <w:rPr>
          <w:sz w:val="22"/>
          <w:szCs w:val="22"/>
        </w:rPr>
        <w:instrText xml:space="preserve"> SEQ Rysunek \* ARABIC </w:instrText>
      </w:r>
      <w:r w:rsidRPr="00036B4F">
        <w:rPr>
          <w:sz w:val="22"/>
          <w:szCs w:val="22"/>
        </w:rPr>
        <w:fldChar w:fldCharType="separate"/>
      </w:r>
      <w:r w:rsidR="00AD58C3">
        <w:rPr>
          <w:noProof/>
          <w:sz w:val="22"/>
          <w:szCs w:val="22"/>
        </w:rPr>
        <w:t>11</w:t>
      </w:r>
      <w:r w:rsidRPr="00036B4F">
        <w:rPr>
          <w:sz w:val="22"/>
          <w:szCs w:val="22"/>
        </w:rPr>
        <w:fldChar w:fldCharType="end"/>
      </w:r>
      <w:r w:rsidRPr="00036B4F">
        <w:rPr>
          <w:sz w:val="22"/>
          <w:szCs w:val="22"/>
        </w:rPr>
        <w:t>. Intensywność Miejskiej Powierzchniowej Wyspa Ciepła w Olsztynie (3.07.2015 r.)</w:t>
      </w:r>
      <w:bookmarkEnd w:id="122"/>
    </w:p>
    <w:p w14:paraId="7E816AFE" w14:textId="77777777" w:rsidR="00780AAA" w:rsidRDefault="008C3AC3" w:rsidP="00780AAA">
      <w:pPr>
        <w:keepNext/>
        <w:jc w:val="center"/>
      </w:pPr>
      <w:r w:rsidRPr="008C3AC3">
        <w:rPr>
          <w:noProof/>
          <w:lang w:eastAsia="pl-PL"/>
        </w:rPr>
        <w:drawing>
          <wp:inline distT="0" distB="0" distL="0" distR="0" wp14:anchorId="6F93D6CF" wp14:editId="64D91F52">
            <wp:extent cx="4150581" cy="3737113"/>
            <wp:effectExtent l="0" t="0" r="2540" b="0"/>
            <wp:docPr id="18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6" cstate="print">
                      <a:extLst>
                        <a:ext uri="{28A0092B-C50C-407E-A947-70E740481C1C}">
                          <a14:useLocalDpi xmlns:a14="http://schemas.microsoft.com/office/drawing/2010/main" val="0"/>
                        </a:ext>
                      </a:extLst>
                    </a:blip>
                    <a:srcRect/>
                    <a:stretch>
                      <a:fillRect/>
                    </a:stretch>
                  </pic:blipFill>
                  <pic:spPr>
                    <a:xfrm>
                      <a:off x="0" y="0"/>
                      <a:ext cx="4168065" cy="3752855"/>
                    </a:xfrm>
                    <a:prstGeom prst="rect">
                      <a:avLst/>
                    </a:prstGeom>
                    <a:ln/>
                  </pic:spPr>
                </pic:pic>
              </a:graphicData>
            </a:graphic>
          </wp:inline>
        </w:drawing>
      </w:r>
    </w:p>
    <w:p w14:paraId="199ADC37" w14:textId="19FE6337" w:rsidR="008C3AC3" w:rsidRPr="00036B4F" w:rsidRDefault="00036B4F" w:rsidP="00036B4F">
      <w:pPr>
        <w:jc w:val="center"/>
        <w:rPr>
          <w:i/>
          <w:sz w:val="20"/>
          <w:szCs w:val="20"/>
        </w:rPr>
      </w:pPr>
      <w:r w:rsidRPr="00036B4F">
        <w:rPr>
          <w:i/>
          <w:sz w:val="20"/>
          <w:szCs w:val="20"/>
        </w:rPr>
        <w:t>ź</w:t>
      </w:r>
      <w:r w:rsidR="00780AAA" w:rsidRPr="00036B4F">
        <w:rPr>
          <w:i/>
          <w:sz w:val="20"/>
          <w:szCs w:val="20"/>
        </w:rPr>
        <w:t>ródło: Plan adaptacji do zmian klimatu miasta Olsztyn do roku 2030</w:t>
      </w:r>
      <w:bookmarkStart w:id="123" w:name="_2jxsxqh" w:colFirst="0" w:colLast="0"/>
      <w:bookmarkEnd w:id="123"/>
    </w:p>
    <w:p w14:paraId="5BD536BA" w14:textId="77777777" w:rsidR="00780AAA" w:rsidRDefault="00780AAA" w:rsidP="008756C6">
      <w:pPr>
        <w:rPr>
          <w:i/>
          <w:color w:val="2E74B5" w:themeColor="accent1" w:themeShade="BF"/>
        </w:rPr>
      </w:pPr>
    </w:p>
    <w:p w14:paraId="5309F1F9" w14:textId="772B159E" w:rsidR="008756C6" w:rsidRPr="00B77310" w:rsidRDefault="008756C6" w:rsidP="008756C6">
      <w:pPr>
        <w:rPr>
          <w:i/>
          <w:color w:val="2E74B5" w:themeColor="accent1" w:themeShade="BF"/>
        </w:rPr>
      </w:pPr>
      <w:r>
        <w:rPr>
          <w:i/>
          <w:color w:val="2E74B5" w:themeColor="accent1" w:themeShade="BF"/>
        </w:rPr>
        <w:t>Opady atmosferyczne</w:t>
      </w:r>
    </w:p>
    <w:p w14:paraId="09E20B2E" w14:textId="0A7C734F" w:rsidR="006A1560" w:rsidRDefault="006A1560" w:rsidP="006A1560">
      <w:pPr>
        <w:jc w:val="both"/>
      </w:pPr>
      <w:r w:rsidRPr="0051542D">
        <w:t xml:space="preserve">Opady atmosferyczne wykazują dużą zależność od ukształtowania powierzchni. Średnia </w:t>
      </w:r>
      <w:r>
        <w:t xml:space="preserve">roczna </w:t>
      </w:r>
      <w:r w:rsidRPr="0051542D">
        <w:t>suma opadów w Polsce wynosi blisko 600 mm, ale opady wahają się od poniżej 500 mm w środkowej części Polski do niemal 800 mm na wybrzeżu i ponad 1000 mm w Tatrach. Najwyższe sumy opadów przypadają na miesiące letnie i w tym okresie są 2</w:t>
      </w:r>
      <w:r>
        <w:t>-</w:t>
      </w:r>
      <w:r w:rsidRPr="0051542D">
        <w:t>3- krotnie większe niż zimą. Deszcze nawalne (opady atmosferyczne o natężeniu &gt;2 mm/min) zdarzają się od kwietnia do września, z największą częstotliwością w lipcu, i wiążą się często z burzami.</w:t>
      </w:r>
    </w:p>
    <w:p w14:paraId="316D745B" w14:textId="03FCECBF" w:rsidR="006A1560" w:rsidRPr="00036B4F" w:rsidRDefault="00036B4F" w:rsidP="00036B4F">
      <w:pPr>
        <w:pStyle w:val="Legenda"/>
        <w:rPr>
          <w:sz w:val="22"/>
          <w:szCs w:val="22"/>
        </w:rPr>
      </w:pPr>
      <w:bookmarkStart w:id="124" w:name="_Toc73534979"/>
      <w:r w:rsidRPr="00036B4F">
        <w:rPr>
          <w:sz w:val="22"/>
          <w:szCs w:val="22"/>
        </w:rPr>
        <w:t xml:space="preserve">Tabela </w:t>
      </w:r>
      <w:r w:rsidRPr="00036B4F">
        <w:rPr>
          <w:sz w:val="22"/>
          <w:szCs w:val="22"/>
        </w:rPr>
        <w:fldChar w:fldCharType="begin"/>
      </w:r>
      <w:r w:rsidRPr="00036B4F">
        <w:rPr>
          <w:sz w:val="22"/>
          <w:szCs w:val="22"/>
        </w:rPr>
        <w:instrText xml:space="preserve"> SEQ Tabela \* ARABIC </w:instrText>
      </w:r>
      <w:r w:rsidRPr="00036B4F">
        <w:rPr>
          <w:sz w:val="22"/>
          <w:szCs w:val="22"/>
        </w:rPr>
        <w:fldChar w:fldCharType="separate"/>
      </w:r>
      <w:r w:rsidR="00AD58C3">
        <w:rPr>
          <w:noProof/>
          <w:sz w:val="22"/>
          <w:szCs w:val="22"/>
        </w:rPr>
        <w:t>16</w:t>
      </w:r>
      <w:r w:rsidRPr="00036B4F">
        <w:rPr>
          <w:sz w:val="22"/>
          <w:szCs w:val="22"/>
        </w:rPr>
        <w:fldChar w:fldCharType="end"/>
      </w:r>
      <w:r w:rsidRPr="00036B4F">
        <w:rPr>
          <w:sz w:val="22"/>
          <w:szCs w:val="22"/>
        </w:rPr>
        <w:t xml:space="preserve">. </w:t>
      </w:r>
      <w:r w:rsidR="006A1560" w:rsidRPr="00036B4F">
        <w:rPr>
          <w:sz w:val="22"/>
          <w:szCs w:val="22"/>
        </w:rPr>
        <w:t>Suma opadów atmosferycznych – średnia miesięczna i roczna w Olsztynie w latach 2014-2019</w:t>
      </w:r>
      <w:bookmarkEnd w:id="124"/>
    </w:p>
    <w:tbl>
      <w:tblPr>
        <w:tblStyle w:val="Tabela-Siatka1"/>
        <w:tblW w:w="5336" w:type="pct"/>
        <w:jc w:val="center"/>
        <w:tblLook w:val="04A0" w:firstRow="1" w:lastRow="0" w:firstColumn="1" w:lastColumn="0" w:noHBand="0" w:noVBand="1"/>
      </w:tblPr>
      <w:tblGrid>
        <w:gridCol w:w="831"/>
        <w:gridCol w:w="628"/>
        <w:gridCol w:w="628"/>
        <w:gridCol w:w="628"/>
        <w:gridCol w:w="628"/>
        <w:gridCol w:w="628"/>
        <w:gridCol w:w="628"/>
        <w:gridCol w:w="628"/>
        <w:gridCol w:w="537"/>
        <w:gridCol w:w="628"/>
        <w:gridCol w:w="628"/>
        <w:gridCol w:w="628"/>
        <w:gridCol w:w="628"/>
        <w:gridCol w:w="769"/>
        <w:gridCol w:w="626"/>
      </w:tblGrid>
      <w:tr w:rsidR="006A1560" w:rsidRPr="006C1749" w14:paraId="25313889" w14:textId="77777777" w:rsidTr="00F0383E">
        <w:trPr>
          <w:trHeight w:val="300"/>
          <w:jc w:val="center"/>
        </w:trPr>
        <w:tc>
          <w:tcPr>
            <w:tcW w:w="430" w:type="pct"/>
            <w:vMerge w:val="restart"/>
            <w:shd w:val="clear" w:color="auto" w:fill="92D050"/>
            <w:noWrap/>
            <w:vAlign w:val="center"/>
            <w:hideMark/>
          </w:tcPr>
          <w:p w14:paraId="4F158C5E" w14:textId="77777777" w:rsidR="006A1560" w:rsidRPr="006C1749" w:rsidRDefault="006A1560" w:rsidP="00F0383E">
            <w:pPr>
              <w:jc w:val="center"/>
              <w:rPr>
                <w:b/>
                <w:sz w:val="18"/>
                <w:szCs w:val="18"/>
              </w:rPr>
            </w:pPr>
            <w:r w:rsidRPr="006C1749">
              <w:rPr>
                <w:b/>
                <w:sz w:val="18"/>
                <w:szCs w:val="18"/>
              </w:rPr>
              <w:t>ROK</w:t>
            </w:r>
          </w:p>
        </w:tc>
        <w:tc>
          <w:tcPr>
            <w:tcW w:w="4247" w:type="pct"/>
            <w:gridSpan w:val="13"/>
            <w:shd w:val="clear" w:color="auto" w:fill="92D050"/>
            <w:noWrap/>
            <w:hideMark/>
          </w:tcPr>
          <w:p w14:paraId="08B6CCAA" w14:textId="77777777" w:rsidR="006A1560" w:rsidRPr="006C1749" w:rsidRDefault="006A1560" w:rsidP="00F0383E">
            <w:pPr>
              <w:jc w:val="center"/>
              <w:rPr>
                <w:b/>
                <w:sz w:val="18"/>
                <w:szCs w:val="18"/>
              </w:rPr>
            </w:pPr>
            <w:r w:rsidRPr="006C1749">
              <w:rPr>
                <w:b/>
                <w:sz w:val="18"/>
                <w:szCs w:val="18"/>
              </w:rPr>
              <w:t>Miesiąc (mm)</w:t>
            </w:r>
          </w:p>
        </w:tc>
        <w:tc>
          <w:tcPr>
            <w:tcW w:w="324" w:type="pct"/>
            <w:shd w:val="clear" w:color="auto" w:fill="92D050"/>
          </w:tcPr>
          <w:p w14:paraId="67D6596A" w14:textId="77777777" w:rsidR="006A1560" w:rsidRPr="006C1749" w:rsidRDefault="006A1560" w:rsidP="00F0383E">
            <w:pPr>
              <w:jc w:val="center"/>
              <w:rPr>
                <w:b/>
                <w:sz w:val="18"/>
                <w:szCs w:val="18"/>
              </w:rPr>
            </w:pPr>
          </w:p>
        </w:tc>
      </w:tr>
      <w:tr w:rsidR="006A1560" w:rsidRPr="006C1749" w14:paraId="485D3370" w14:textId="77777777" w:rsidTr="00F0383E">
        <w:trPr>
          <w:trHeight w:val="300"/>
          <w:jc w:val="center"/>
        </w:trPr>
        <w:tc>
          <w:tcPr>
            <w:tcW w:w="430" w:type="pct"/>
            <w:vMerge/>
            <w:shd w:val="clear" w:color="auto" w:fill="92D050"/>
            <w:noWrap/>
            <w:hideMark/>
          </w:tcPr>
          <w:p w14:paraId="6C52B15D" w14:textId="77777777" w:rsidR="006A1560" w:rsidRPr="006C1749" w:rsidRDefault="006A1560" w:rsidP="00F0383E">
            <w:pPr>
              <w:rPr>
                <w:sz w:val="18"/>
                <w:szCs w:val="18"/>
              </w:rPr>
            </w:pPr>
          </w:p>
        </w:tc>
        <w:tc>
          <w:tcPr>
            <w:tcW w:w="325" w:type="pct"/>
            <w:shd w:val="clear" w:color="auto" w:fill="92D050"/>
            <w:noWrap/>
            <w:vAlign w:val="center"/>
            <w:hideMark/>
          </w:tcPr>
          <w:p w14:paraId="3B6B3592" w14:textId="77777777" w:rsidR="006A1560" w:rsidRPr="006C1749" w:rsidRDefault="006A1560" w:rsidP="00F0383E">
            <w:pPr>
              <w:jc w:val="center"/>
              <w:rPr>
                <w:sz w:val="18"/>
                <w:szCs w:val="18"/>
              </w:rPr>
            </w:pPr>
            <w:r w:rsidRPr="006C1749">
              <w:rPr>
                <w:sz w:val="18"/>
                <w:szCs w:val="18"/>
              </w:rPr>
              <w:t>I</w:t>
            </w:r>
          </w:p>
        </w:tc>
        <w:tc>
          <w:tcPr>
            <w:tcW w:w="325" w:type="pct"/>
            <w:shd w:val="clear" w:color="auto" w:fill="92D050"/>
            <w:noWrap/>
            <w:vAlign w:val="center"/>
            <w:hideMark/>
          </w:tcPr>
          <w:p w14:paraId="1AF2F463" w14:textId="77777777" w:rsidR="006A1560" w:rsidRPr="006C1749" w:rsidRDefault="006A1560" w:rsidP="00F0383E">
            <w:pPr>
              <w:jc w:val="center"/>
              <w:rPr>
                <w:sz w:val="18"/>
                <w:szCs w:val="18"/>
              </w:rPr>
            </w:pPr>
            <w:r w:rsidRPr="006C1749">
              <w:rPr>
                <w:sz w:val="18"/>
                <w:szCs w:val="18"/>
              </w:rPr>
              <w:t>II</w:t>
            </w:r>
          </w:p>
        </w:tc>
        <w:tc>
          <w:tcPr>
            <w:tcW w:w="325" w:type="pct"/>
            <w:shd w:val="clear" w:color="auto" w:fill="92D050"/>
            <w:noWrap/>
            <w:vAlign w:val="center"/>
            <w:hideMark/>
          </w:tcPr>
          <w:p w14:paraId="75964557" w14:textId="77777777" w:rsidR="006A1560" w:rsidRPr="006C1749" w:rsidRDefault="006A1560" w:rsidP="00F0383E">
            <w:pPr>
              <w:jc w:val="center"/>
              <w:rPr>
                <w:sz w:val="18"/>
                <w:szCs w:val="18"/>
              </w:rPr>
            </w:pPr>
            <w:r w:rsidRPr="006C1749">
              <w:rPr>
                <w:sz w:val="18"/>
                <w:szCs w:val="18"/>
              </w:rPr>
              <w:t>III</w:t>
            </w:r>
          </w:p>
        </w:tc>
        <w:tc>
          <w:tcPr>
            <w:tcW w:w="325" w:type="pct"/>
            <w:shd w:val="clear" w:color="auto" w:fill="92D050"/>
            <w:noWrap/>
            <w:vAlign w:val="center"/>
            <w:hideMark/>
          </w:tcPr>
          <w:p w14:paraId="20EF1078" w14:textId="77777777" w:rsidR="006A1560" w:rsidRPr="006C1749" w:rsidRDefault="006A1560" w:rsidP="00F0383E">
            <w:pPr>
              <w:jc w:val="center"/>
              <w:rPr>
                <w:sz w:val="18"/>
                <w:szCs w:val="18"/>
              </w:rPr>
            </w:pPr>
            <w:r w:rsidRPr="006C1749">
              <w:rPr>
                <w:sz w:val="18"/>
                <w:szCs w:val="18"/>
              </w:rPr>
              <w:t>IV</w:t>
            </w:r>
          </w:p>
        </w:tc>
        <w:tc>
          <w:tcPr>
            <w:tcW w:w="325" w:type="pct"/>
            <w:shd w:val="clear" w:color="auto" w:fill="92D050"/>
            <w:noWrap/>
            <w:vAlign w:val="center"/>
            <w:hideMark/>
          </w:tcPr>
          <w:p w14:paraId="0E579ACC" w14:textId="77777777" w:rsidR="006A1560" w:rsidRPr="006C1749" w:rsidRDefault="006A1560" w:rsidP="00F0383E">
            <w:pPr>
              <w:jc w:val="center"/>
              <w:rPr>
                <w:sz w:val="18"/>
                <w:szCs w:val="18"/>
              </w:rPr>
            </w:pPr>
            <w:r w:rsidRPr="006C1749">
              <w:rPr>
                <w:sz w:val="18"/>
                <w:szCs w:val="18"/>
              </w:rPr>
              <w:t>V</w:t>
            </w:r>
          </w:p>
        </w:tc>
        <w:tc>
          <w:tcPr>
            <w:tcW w:w="325" w:type="pct"/>
            <w:shd w:val="clear" w:color="auto" w:fill="92D050"/>
            <w:noWrap/>
            <w:vAlign w:val="center"/>
            <w:hideMark/>
          </w:tcPr>
          <w:p w14:paraId="51DA375C" w14:textId="77777777" w:rsidR="006A1560" w:rsidRPr="006C1749" w:rsidRDefault="006A1560" w:rsidP="00F0383E">
            <w:pPr>
              <w:jc w:val="center"/>
              <w:rPr>
                <w:sz w:val="18"/>
                <w:szCs w:val="18"/>
              </w:rPr>
            </w:pPr>
            <w:r w:rsidRPr="006C1749">
              <w:rPr>
                <w:sz w:val="18"/>
                <w:szCs w:val="18"/>
              </w:rPr>
              <w:t>VI</w:t>
            </w:r>
          </w:p>
        </w:tc>
        <w:tc>
          <w:tcPr>
            <w:tcW w:w="325" w:type="pct"/>
            <w:shd w:val="clear" w:color="auto" w:fill="92D050"/>
            <w:noWrap/>
            <w:vAlign w:val="center"/>
            <w:hideMark/>
          </w:tcPr>
          <w:p w14:paraId="3B8AA78D" w14:textId="77777777" w:rsidR="006A1560" w:rsidRPr="006C1749" w:rsidRDefault="006A1560" w:rsidP="00F0383E">
            <w:pPr>
              <w:jc w:val="center"/>
              <w:rPr>
                <w:sz w:val="18"/>
                <w:szCs w:val="18"/>
              </w:rPr>
            </w:pPr>
            <w:r w:rsidRPr="006C1749">
              <w:rPr>
                <w:sz w:val="18"/>
                <w:szCs w:val="18"/>
              </w:rPr>
              <w:t>VII</w:t>
            </w:r>
          </w:p>
        </w:tc>
        <w:tc>
          <w:tcPr>
            <w:tcW w:w="278" w:type="pct"/>
            <w:shd w:val="clear" w:color="auto" w:fill="92D050"/>
            <w:noWrap/>
            <w:vAlign w:val="center"/>
            <w:hideMark/>
          </w:tcPr>
          <w:p w14:paraId="514AB1F9" w14:textId="77777777" w:rsidR="006A1560" w:rsidRPr="006C1749" w:rsidRDefault="006A1560" w:rsidP="00F0383E">
            <w:pPr>
              <w:jc w:val="center"/>
              <w:rPr>
                <w:sz w:val="18"/>
                <w:szCs w:val="18"/>
              </w:rPr>
            </w:pPr>
            <w:r w:rsidRPr="006C1749">
              <w:rPr>
                <w:sz w:val="18"/>
                <w:szCs w:val="18"/>
              </w:rPr>
              <w:t>VIII</w:t>
            </w:r>
          </w:p>
        </w:tc>
        <w:tc>
          <w:tcPr>
            <w:tcW w:w="325" w:type="pct"/>
            <w:shd w:val="clear" w:color="auto" w:fill="92D050"/>
            <w:noWrap/>
            <w:vAlign w:val="center"/>
            <w:hideMark/>
          </w:tcPr>
          <w:p w14:paraId="399A90EC" w14:textId="77777777" w:rsidR="006A1560" w:rsidRPr="006C1749" w:rsidRDefault="006A1560" w:rsidP="00F0383E">
            <w:pPr>
              <w:jc w:val="center"/>
              <w:rPr>
                <w:sz w:val="18"/>
                <w:szCs w:val="18"/>
              </w:rPr>
            </w:pPr>
            <w:r w:rsidRPr="006C1749">
              <w:rPr>
                <w:sz w:val="18"/>
                <w:szCs w:val="18"/>
              </w:rPr>
              <w:t>IX</w:t>
            </w:r>
          </w:p>
        </w:tc>
        <w:tc>
          <w:tcPr>
            <w:tcW w:w="325" w:type="pct"/>
            <w:shd w:val="clear" w:color="auto" w:fill="92D050"/>
            <w:noWrap/>
            <w:vAlign w:val="center"/>
            <w:hideMark/>
          </w:tcPr>
          <w:p w14:paraId="79B6840C" w14:textId="77777777" w:rsidR="006A1560" w:rsidRPr="006C1749" w:rsidRDefault="006A1560" w:rsidP="00F0383E">
            <w:pPr>
              <w:jc w:val="center"/>
              <w:rPr>
                <w:sz w:val="18"/>
                <w:szCs w:val="18"/>
              </w:rPr>
            </w:pPr>
            <w:r w:rsidRPr="006C1749">
              <w:rPr>
                <w:sz w:val="18"/>
                <w:szCs w:val="18"/>
              </w:rPr>
              <w:t>X</w:t>
            </w:r>
          </w:p>
        </w:tc>
        <w:tc>
          <w:tcPr>
            <w:tcW w:w="325" w:type="pct"/>
            <w:shd w:val="clear" w:color="auto" w:fill="92D050"/>
            <w:noWrap/>
            <w:vAlign w:val="center"/>
            <w:hideMark/>
          </w:tcPr>
          <w:p w14:paraId="69F4CA26" w14:textId="77777777" w:rsidR="006A1560" w:rsidRPr="006C1749" w:rsidRDefault="006A1560" w:rsidP="00F0383E">
            <w:pPr>
              <w:jc w:val="center"/>
              <w:rPr>
                <w:sz w:val="18"/>
                <w:szCs w:val="18"/>
              </w:rPr>
            </w:pPr>
            <w:r w:rsidRPr="006C1749">
              <w:rPr>
                <w:sz w:val="18"/>
                <w:szCs w:val="18"/>
              </w:rPr>
              <w:t>XI</w:t>
            </w:r>
          </w:p>
        </w:tc>
        <w:tc>
          <w:tcPr>
            <w:tcW w:w="325" w:type="pct"/>
            <w:shd w:val="clear" w:color="auto" w:fill="92D050"/>
            <w:noWrap/>
            <w:vAlign w:val="center"/>
            <w:hideMark/>
          </w:tcPr>
          <w:p w14:paraId="6EFC1581" w14:textId="77777777" w:rsidR="006A1560" w:rsidRPr="006C1749" w:rsidRDefault="006A1560" w:rsidP="00F0383E">
            <w:pPr>
              <w:jc w:val="center"/>
              <w:rPr>
                <w:sz w:val="18"/>
                <w:szCs w:val="18"/>
              </w:rPr>
            </w:pPr>
            <w:r w:rsidRPr="006C1749">
              <w:rPr>
                <w:sz w:val="18"/>
                <w:szCs w:val="18"/>
              </w:rPr>
              <w:t>XII</w:t>
            </w:r>
          </w:p>
        </w:tc>
        <w:tc>
          <w:tcPr>
            <w:tcW w:w="398" w:type="pct"/>
            <w:shd w:val="clear" w:color="auto" w:fill="92D050"/>
            <w:noWrap/>
            <w:hideMark/>
          </w:tcPr>
          <w:p w14:paraId="57D1DFD0" w14:textId="77777777" w:rsidR="006A1560" w:rsidRPr="006C1749" w:rsidRDefault="006A1560" w:rsidP="00F0383E">
            <w:pPr>
              <w:rPr>
                <w:b/>
                <w:sz w:val="18"/>
                <w:szCs w:val="18"/>
              </w:rPr>
            </w:pPr>
            <w:r w:rsidRPr="006C1749">
              <w:rPr>
                <w:b/>
                <w:sz w:val="18"/>
                <w:szCs w:val="18"/>
              </w:rPr>
              <w:t>średnia</w:t>
            </w:r>
          </w:p>
        </w:tc>
        <w:tc>
          <w:tcPr>
            <w:tcW w:w="324" w:type="pct"/>
            <w:shd w:val="clear" w:color="auto" w:fill="92D050"/>
          </w:tcPr>
          <w:p w14:paraId="29840269" w14:textId="77777777" w:rsidR="006A1560" w:rsidRPr="006C1749" w:rsidRDefault="006A1560" w:rsidP="00F0383E">
            <w:pPr>
              <w:rPr>
                <w:b/>
                <w:sz w:val="18"/>
                <w:szCs w:val="18"/>
              </w:rPr>
            </w:pPr>
            <w:r w:rsidRPr="006C1749">
              <w:rPr>
                <w:b/>
                <w:sz w:val="18"/>
                <w:szCs w:val="18"/>
              </w:rPr>
              <w:t>suma</w:t>
            </w:r>
          </w:p>
        </w:tc>
      </w:tr>
      <w:tr w:rsidR="006A1560" w:rsidRPr="006C1749" w14:paraId="36227C30" w14:textId="77777777" w:rsidTr="00F0383E">
        <w:trPr>
          <w:trHeight w:val="300"/>
          <w:jc w:val="center"/>
        </w:trPr>
        <w:tc>
          <w:tcPr>
            <w:tcW w:w="430" w:type="pct"/>
            <w:shd w:val="clear" w:color="auto" w:fill="92D050"/>
            <w:noWrap/>
            <w:vAlign w:val="center"/>
            <w:hideMark/>
          </w:tcPr>
          <w:p w14:paraId="3A8B197E" w14:textId="77777777" w:rsidR="006A1560" w:rsidRPr="006C1749" w:rsidRDefault="006A1560" w:rsidP="00F0383E">
            <w:pPr>
              <w:jc w:val="center"/>
              <w:rPr>
                <w:sz w:val="18"/>
                <w:szCs w:val="18"/>
              </w:rPr>
            </w:pPr>
            <w:r w:rsidRPr="006C1749">
              <w:rPr>
                <w:sz w:val="18"/>
                <w:szCs w:val="18"/>
              </w:rPr>
              <w:t>2014</w:t>
            </w:r>
          </w:p>
        </w:tc>
        <w:tc>
          <w:tcPr>
            <w:tcW w:w="325" w:type="pct"/>
            <w:noWrap/>
            <w:vAlign w:val="center"/>
            <w:hideMark/>
          </w:tcPr>
          <w:p w14:paraId="055DCD65" w14:textId="77777777" w:rsidR="006A1560" w:rsidRPr="006C1749" w:rsidRDefault="006A1560" w:rsidP="00F0383E">
            <w:pPr>
              <w:jc w:val="center"/>
              <w:rPr>
                <w:sz w:val="18"/>
                <w:szCs w:val="18"/>
              </w:rPr>
            </w:pPr>
            <w:r w:rsidRPr="006C1749">
              <w:rPr>
                <w:sz w:val="18"/>
                <w:szCs w:val="18"/>
              </w:rPr>
              <w:t>66,8</w:t>
            </w:r>
          </w:p>
        </w:tc>
        <w:tc>
          <w:tcPr>
            <w:tcW w:w="325" w:type="pct"/>
            <w:noWrap/>
            <w:vAlign w:val="center"/>
            <w:hideMark/>
          </w:tcPr>
          <w:p w14:paraId="7A9D4E44" w14:textId="77777777" w:rsidR="006A1560" w:rsidRPr="006C1749" w:rsidRDefault="006A1560" w:rsidP="00F0383E">
            <w:pPr>
              <w:jc w:val="center"/>
              <w:rPr>
                <w:sz w:val="18"/>
                <w:szCs w:val="18"/>
              </w:rPr>
            </w:pPr>
            <w:r w:rsidRPr="006C1749">
              <w:rPr>
                <w:sz w:val="18"/>
                <w:szCs w:val="18"/>
              </w:rPr>
              <w:t>10,6</w:t>
            </w:r>
          </w:p>
        </w:tc>
        <w:tc>
          <w:tcPr>
            <w:tcW w:w="325" w:type="pct"/>
            <w:noWrap/>
            <w:vAlign w:val="center"/>
            <w:hideMark/>
          </w:tcPr>
          <w:p w14:paraId="7FD077D7" w14:textId="77777777" w:rsidR="006A1560" w:rsidRPr="006C1749" w:rsidRDefault="006A1560" w:rsidP="00F0383E">
            <w:pPr>
              <w:jc w:val="center"/>
              <w:rPr>
                <w:sz w:val="18"/>
                <w:szCs w:val="18"/>
              </w:rPr>
            </w:pPr>
            <w:r w:rsidRPr="006C1749">
              <w:rPr>
                <w:sz w:val="18"/>
                <w:szCs w:val="18"/>
              </w:rPr>
              <w:t>51,4</w:t>
            </w:r>
          </w:p>
        </w:tc>
        <w:tc>
          <w:tcPr>
            <w:tcW w:w="325" w:type="pct"/>
            <w:noWrap/>
            <w:vAlign w:val="center"/>
            <w:hideMark/>
          </w:tcPr>
          <w:p w14:paraId="7B927E18" w14:textId="77777777" w:rsidR="006A1560" w:rsidRPr="006C1749" w:rsidRDefault="006A1560" w:rsidP="00F0383E">
            <w:pPr>
              <w:jc w:val="center"/>
              <w:rPr>
                <w:sz w:val="18"/>
                <w:szCs w:val="18"/>
              </w:rPr>
            </w:pPr>
            <w:r w:rsidRPr="006C1749">
              <w:rPr>
                <w:sz w:val="18"/>
                <w:szCs w:val="18"/>
              </w:rPr>
              <w:t>30</w:t>
            </w:r>
            <w:r>
              <w:rPr>
                <w:sz w:val="18"/>
                <w:szCs w:val="18"/>
              </w:rPr>
              <w:t>,0</w:t>
            </w:r>
          </w:p>
        </w:tc>
        <w:tc>
          <w:tcPr>
            <w:tcW w:w="325" w:type="pct"/>
            <w:noWrap/>
            <w:vAlign w:val="center"/>
            <w:hideMark/>
          </w:tcPr>
          <w:p w14:paraId="3DFC5CD3" w14:textId="77777777" w:rsidR="006A1560" w:rsidRPr="006C1749" w:rsidRDefault="006A1560" w:rsidP="00F0383E">
            <w:pPr>
              <w:jc w:val="center"/>
              <w:rPr>
                <w:sz w:val="18"/>
                <w:szCs w:val="18"/>
              </w:rPr>
            </w:pPr>
            <w:r w:rsidRPr="006C1749">
              <w:rPr>
                <w:sz w:val="18"/>
                <w:szCs w:val="18"/>
              </w:rPr>
              <w:t>30,1</w:t>
            </w:r>
          </w:p>
        </w:tc>
        <w:tc>
          <w:tcPr>
            <w:tcW w:w="325" w:type="pct"/>
            <w:noWrap/>
            <w:vAlign w:val="center"/>
            <w:hideMark/>
          </w:tcPr>
          <w:p w14:paraId="1581D91B" w14:textId="77777777" w:rsidR="006A1560" w:rsidRPr="006C1749" w:rsidRDefault="006A1560" w:rsidP="00F0383E">
            <w:pPr>
              <w:jc w:val="center"/>
              <w:rPr>
                <w:sz w:val="18"/>
                <w:szCs w:val="18"/>
              </w:rPr>
            </w:pPr>
            <w:r w:rsidRPr="006C1749">
              <w:rPr>
                <w:sz w:val="18"/>
                <w:szCs w:val="18"/>
              </w:rPr>
              <w:t>63,9</w:t>
            </w:r>
          </w:p>
        </w:tc>
        <w:tc>
          <w:tcPr>
            <w:tcW w:w="325" w:type="pct"/>
            <w:noWrap/>
            <w:vAlign w:val="center"/>
            <w:hideMark/>
          </w:tcPr>
          <w:p w14:paraId="31729B1B" w14:textId="77777777" w:rsidR="006A1560" w:rsidRPr="006C1749" w:rsidRDefault="006A1560" w:rsidP="00F0383E">
            <w:pPr>
              <w:jc w:val="center"/>
              <w:rPr>
                <w:sz w:val="18"/>
                <w:szCs w:val="18"/>
              </w:rPr>
            </w:pPr>
            <w:r w:rsidRPr="006C1749">
              <w:rPr>
                <w:sz w:val="18"/>
                <w:szCs w:val="18"/>
              </w:rPr>
              <w:t>23,7</w:t>
            </w:r>
          </w:p>
        </w:tc>
        <w:tc>
          <w:tcPr>
            <w:tcW w:w="278" w:type="pct"/>
            <w:noWrap/>
            <w:vAlign w:val="center"/>
            <w:hideMark/>
          </w:tcPr>
          <w:p w14:paraId="14B51A6D" w14:textId="77777777" w:rsidR="006A1560" w:rsidRPr="006C1749" w:rsidRDefault="006A1560" w:rsidP="00F0383E">
            <w:pPr>
              <w:jc w:val="center"/>
              <w:rPr>
                <w:sz w:val="18"/>
                <w:szCs w:val="18"/>
              </w:rPr>
            </w:pPr>
            <w:r w:rsidRPr="006C1749">
              <w:rPr>
                <w:sz w:val="18"/>
                <w:szCs w:val="18"/>
              </w:rPr>
              <w:t>21,7</w:t>
            </w:r>
          </w:p>
        </w:tc>
        <w:tc>
          <w:tcPr>
            <w:tcW w:w="325" w:type="pct"/>
            <w:noWrap/>
            <w:vAlign w:val="center"/>
            <w:hideMark/>
          </w:tcPr>
          <w:p w14:paraId="02C3833F" w14:textId="77777777" w:rsidR="006A1560" w:rsidRPr="006C1749" w:rsidRDefault="006A1560" w:rsidP="00F0383E">
            <w:pPr>
              <w:jc w:val="center"/>
              <w:rPr>
                <w:sz w:val="18"/>
                <w:szCs w:val="18"/>
              </w:rPr>
            </w:pPr>
            <w:r w:rsidRPr="006C1749">
              <w:rPr>
                <w:sz w:val="18"/>
                <w:szCs w:val="18"/>
              </w:rPr>
              <w:t>15,6</w:t>
            </w:r>
          </w:p>
        </w:tc>
        <w:tc>
          <w:tcPr>
            <w:tcW w:w="325" w:type="pct"/>
            <w:noWrap/>
            <w:vAlign w:val="center"/>
            <w:hideMark/>
          </w:tcPr>
          <w:p w14:paraId="218EAB7B" w14:textId="77777777" w:rsidR="006A1560" w:rsidRPr="006C1749" w:rsidRDefault="006A1560" w:rsidP="00F0383E">
            <w:pPr>
              <w:jc w:val="center"/>
              <w:rPr>
                <w:sz w:val="18"/>
                <w:szCs w:val="18"/>
              </w:rPr>
            </w:pPr>
            <w:r w:rsidRPr="006C1749">
              <w:rPr>
                <w:sz w:val="18"/>
                <w:szCs w:val="18"/>
              </w:rPr>
              <w:t>14,5</w:t>
            </w:r>
          </w:p>
        </w:tc>
        <w:tc>
          <w:tcPr>
            <w:tcW w:w="325" w:type="pct"/>
            <w:noWrap/>
            <w:vAlign w:val="center"/>
            <w:hideMark/>
          </w:tcPr>
          <w:p w14:paraId="79554BE0" w14:textId="77777777" w:rsidR="006A1560" w:rsidRPr="006C1749" w:rsidRDefault="006A1560" w:rsidP="00F0383E">
            <w:pPr>
              <w:jc w:val="center"/>
              <w:rPr>
                <w:sz w:val="18"/>
                <w:szCs w:val="18"/>
              </w:rPr>
            </w:pPr>
            <w:r w:rsidRPr="006C1749">
              <w:rPr>
                <w:sz w:val="18"/>
                <w:szCs w:val="18"/>
              </w:rPr>
              <w:t>30,2</w:t>
            </w:r>
          </w:p>
        </w:tc>
        <w:tc>
          <w:tcPr>
            <w:tcW w:w="325" w:type="pct"/>
            <w:noWrap/>
            <w:vAlign w:val="center"/>
            <w:hideMark/>
          </w:tcPr>
          <w:p w14:paraId="584CB813" w14:textId="77777777" w:rsidR="006A1560" w:rsidRPr="006C1749" w:rsidRDefault="006A1560" w:rsidP="00F0383E">
            <w:pPr>
              <w:jc w:val="center"/>
              <w:rPr>
                <w:sz w:val="18"/>
                <w:szCs w:val="18"/>
              </w:rPr>
            </w:pPr>
            <w:r w:rsidRPr="006C1749">
              <w:rPr>
                <w:sz w:val="18"/>
                <w:szCs w:val="18"/>
              </w:rPr>
              <w:t>62,6</w:t>
            </w:r>
          </w:p>
        </w:tc>
        <w:tc>
          <w:tcPr>
            <w:tcW w:w="398" w:type="pct"/>
            <w:noWrap/>
            <w:vAlign w:val="center"/>
            <w:hideMark/>
          </w:tcPr>
          <w:p w14:paraId="123E99BB" w14:textId="77777777" w:rsidR="006A1560" w:rsidRPr="006C1749" w:rsidRDefault="006A1560" w:rsidP="00F0383E">
            <w:pPr>
              <w:jc w:val="center"/>
              <w:rPr>
                <w:b/>
                <w:sz w:val="18"/>
                <w:szCs w:val="18"/>
              </w:rPr>
            </w:pPr>
            <w:r w:rsidRPr="006C1749">
              <w:rPr>
                <w:b/>
                <w:sz w:val="18"/>
                <w:szCs w:val="18"/>
              </w:rPr>
              <w:t>35,1</w:t>
            </w:r>
          </w:p>
        </w:tc>
        <w:tc>
          <w:tcPr>
            <w:tcW w:w="324" w:type="pct"/>
            <w:vAlign w:val="center"/>
          </w:tcPr>
          <w:p w14:paraId="069C52D5" w14:textId="77777777" w:rsidR="006A1560" w:rsidRPr="006C1749" w:rsidRDefault="006A1560" w:rsidP="00F0383E">
            <w:pPr>
              <w:jc w:val="center"/>
              <w:rPr>
                <w:b/>
                <w:sz w:val="18"/>
                <w:szCs w:val="18"/>
              </w:rPr>
            </w:pPr>
            <w:r w:rsidRPr="006C1749">
              <w:rPr>
                <w:rFonts w:ascii="Calibri" w:hAnsi="Calibri"/>
                <w:color w:val="000000"/>
                <w:sz w:val="18"/>
                <w:szCs w:val="18"/>
              </w:rPr>
              <w:t>421</w:t>
            </w:r>
            <w:r>
              <w:rPr>
                <w:rFonts w:ascii="Calibri" w:hAnsi="Calibri"/>
                <w:color w:val="000000"/>
                <w:sz w:val="18"/>
                <w:szCs w:val="18"/>
              </w:rPr>
              <w:t>,0</w:t>
            </w:r>
          </w:p>
        </w:tc>
      </w:tr>
      <w:tr w:rsidR="006A1560" w:rsidRPr="006C1749" w14:paraId="71E20B0D" w14:textId="77777777" w:rsidTr="00F0383E">
        <w:trPr>
          <w:trHeight w:val="300"/>
          <w:jc w:val="center"/>
        </w:trPr>
        <w:tc>
          <w:tcPr>
            <w:tcW w:w="430" w:type="pct"/>
            <w:shd w:val="clear" w:color="auto" w:fill="92D050"/>
            <w:noWrap/>
            <w:vAlign w:val="center"/>
            <w:hideMark/>
          </w:tcPr>
          <w:p w14:paraId="640309DD" w14:textId="77777777" w:rsidR="006A1560" w:rsidRPr="006C1749" w:rsidRDefault="006A1560" w:rsidP="00F0383E">
            <w:pPr>
              <w:jc w:val="center"/>
              <w:rPr>
                <w:sz w:val="18"/>
                <w:szCs w:val="18"/>
              </w:rPr>
            </w:pPr>
            <w:r w:rsidRPr="006C1749">
              <w:rPr>
                <w:sz w:val="18"/>
                <w:szCs w:val="18"/>
              </w:rPr>
              <w:t>2015</w:t>
            </w:r>
          </w:p>
        </w:tc>
        <w:tc>
          <w:tcPr>
            <w:tcW w:w="325" w:type="pct"/>
            <w:noWrap/>
            <w:vAlign w:val="center"/>
            <w:hideMark/>
          </w:tcPr>
          <w:p w14:paraId="639E479D" w14:textId="77777777" w:rsidR="006A1560" w:rsidRPr="006C1749" w:rsidRDefault="006A1560" w:rsidP="00F0383E">
            <w:pPr>
              <w:jc w:val="center"/>
              <w:rPr>
                <w:sz w:val="18"/>
                <w:szCs w:val="18"/>
              </w:rPr>
            </w:pPr>
            <w:r w:rsidRPr="006C1749">
              <w:rPr>
                <w:sz w:val="18"/>
                <w:szCs w:val="18"/>
              </w:rPr>
              <w:t>46</w:t>
            </w:r>
            <w:r>
              <w:rPr>
                <w:sz w:val="18"/>
                <w:szCs w:val="18"/>
              </w:rPr>
              <w:t>,0</w:t>
            </w:r>
          </w:p>
        </w:tc>
        <w:tc>
          <w:tcPr>
            <w:tcW w:w="325" w:type="pct"/>
            <w:noWrap/>
            <w:vAlign w:val="center"/>
            <w:hideMark/>
          </w:tcPr>
          <w:p w14:paraId="4A2E3431" w14:textId="77777777" w:rsidR="006A1560" w:rsidRPr="006C1749" w:rsidRDefault="006A1560" w:rsidP="00F0383E">
            <w:pPr>
              <w:jc w:val="center"/>
              <w:rPr>
                <w:sz w:val="18"/>
                <w:szCs w:val="18"/>
              </w:rPr>
            </w:pPr>
            <w:r w:rsidRPr="006C1749">
              <w:rPr>
                <w:sz w:val="18"/>
                <w:szCs w:val="18"/>
              </w:rPr>
              <w:t>2</w:t>
            </w:r>
            <w:r>
              <w:rPr>
                <w:sz w:val="18"/>
                <w:szCs w:val="18"/>
              </w:rPr>
              <w:t>,0</w:t>
            </w:r>
          </w:p>
        </w:tc>
        <w:tc>
          <w:tcPr>
            <w:tcW w:w="325" w:type="pct"/>
            <w:noWrap/>
            <w:vAlign w:val="center"/>
            <w:hideMark/>
          </w:tcPr>
          <w:p w14:paraId="699513B1" w14:textId="77777777" w:rsidR="006A1560" w:rsidRPr="006C1749" w:rsidRDefault="006A1560" w:rsidP="00F0383E">
            <w:pPr>
              <w:jc w:val="center"/>
              <w:rPr>
                <w:sz w:val="18"/>
                <w:szCs w:val="18"/>
              </w:rPr>
            </w:pPr>
            <w:r w:rsidRPr="006C1749">
              <w:rPr>
                <w:sz w:val="18"/>
                <w:szCs w:val="18"/>
              </w:rPr>
              <w:t>41,7</w:t>
            </w:r>
          </w:p>
        </w:tc>
        <w:tc>
          <w:tcPr>
            <w:tcW w:w="325" w:type="pct"/>
            <w:noWrap/>
            <w:vAlign w:val="center"/>
            <w:hideMark/>
          </w:tcPr>
          <w:p w14:paraId="1721499E" w14:textId="77777777" w:rsidR="006A1560" w:rsidRPr="006C1749" w:rsidRDefault="006A1560" w:rsidP="00F0383E">
            <w:pPr>
              <w:jc w:val="center"/>
              <w:rPr>
                <w:sz w:val="18"/>
                <w:szCs w:val="18"/>
              </w:rPr>
            </w:pPr>
            <w:r w:rsidRPr="006C1749">
              <w:rPr>
                <w:sz w:val="18"/>
                <w:szCs w:val="18"/>
              </w:rPr>
              <w:t>35,3</w:t>
            </w:r>
          </w:p>
        </w:tc>
        <w:tc>
          <w:tcPr>
            <w:tcW w:w="325" w:type="pct"/>
            <w:noWrap/>
            <w:vAlign w:val="center"/>
            <w:hideMark/>
          </w:tcPr>
          <w:p w14:paraId="7311DD7B" w14:textId="77777777" w:rsidR="006A1560" w:rsidRPr="006C1749" w:rsidRDefault="006A1560" w:rsidP="00F0383E">
            <w:pPr>
              <w:jc w:val="center"/>
              <w:rPr>
                <w:sz w:val="18"/>
                <w:szCs w:val="18"/>
              </w:rPr>
            </w:pPr>
            <w:r w:rsidRPr="006C1749">
              <w:rPr>
                <w:sz w:val="18"/>
                <w:szCs w:val="18"/>
              </w:rPr>
              <w:t>35,3</w:t>
            </w:r>
          </w:p>
        </w:tc>
        <w:tc>
          <w:tcPr>
            <w:tcW w:w="325" w:type="pct"/>
            <w:noWrap/>
            <w:vAlign w:val="center"/>
            <w:hideMark/>
          </w:tcPr>
          <w:p w14:paraId="0F6AA289" w14:textId="77777777" w:rsidR="006A1560" w:rsidRPr="006C1749" w:rsidRDefault="006A1560" w:rsidP="00F0383E">
            <w:pPr>
              <w:jc w:val="center"/>
              <w:rPr>
                <w:sz w:val="18"/>
                <w:szCs w:val="18"/>
              </w:rPr>
            </w:pPr>
            <w:r w:rsidRPr="006C1749">
              <w:rPr>
                <w:sz w:val="18"/>
                <w:szCs w:val="18"/>
              </w:rPr>
              <w:t>32,2</w:t>
            </w:r>
          </w:p>
        </w:tc>
        <w:tc>
          <w:tcPr>
            <w:tcW w:w="325" w:type="pct"/>
            <w:noWrap/>
            <w:vAlign w:val="center"/>
            <w:hideMark/>
          </w:tcPr>
          <w:p w14:paraId="08EA1626" w14:textId="77777777" w:rsidR="006A1560" w:rsidRPr="006C1749" w:rsidRDefault="006A1560" w:rsidP="00F0383E">
            <w:pPr>
              <w:jc w:val="center"/>
              <w:rPr>
                <w:sz w:val="18"/>
                <w:szCs w:val="18"/>
              </w:rPr>
            </w:pPr>
            <w:r w:rsidRPr="006C1749">
              <w:rPr>
                <w:sz w:val="18"/>
                <w:szCs w:val="18"/>
              </w:rPr>
              <w:t>84,7</w:t>
            </w:r>
          </w:p>
        </w:tc>
        <w:tc>
          <w:tcPr>
            <w:tcW w:w="278" w:type="pct"/>
            <w:noWrap/>
            <w:vAlign w:val="center"/>
            <w:hideMark/>
          </w:tcPr>
          <w:p w14:paraId="17606202" w14:textId="77777777" w:rsidR="006A1560" w:rsidRPr="006C1749" w:rsidRDefault="006A1560" w:rsidP="00F0383E">
            <w:pPr>
              <w:jc w:val="center"/>
              <w:rPr>
                <w:sz w:val="18"/>
                <w:szCs w:val="18"/>
              </w:rPr>
            </w:pPr>
            <w:r w:rsidRPr="006C1749">
              <w:rPr>
                <w:sz w:val="18"/>
                <w:szCs w:val="18"/>
              </w:rPr>
              <w:t>12,3</w:t>
            </w:r>
          </w:p>
        </w:tc>
        <w:tc>
          <w:tcPr>
            <w:tcW w:w="325" w:type="pct"/>
            <w:noWrap/>
            <w:vAlign w:val="center"/>
            <w:hideMark/>
          </w:tcPr>
          <w:p w14:paraId="679CB506" w14:textId="77777777" w:rsidR="006A1560" w:rsidRPr="006C1749" w:rsidRDefault="006A1560" w:rsidP="00F0383E">
            <w:pPr>
              <w:jc w:val="center"/>
              <w:rPr>
                <w:sz w:val="18"/>
                <w:szCs w:val="18"/>
              </w:rPr>
            </w:pPr>
            <w:r w:rsidRPr="006C1749">
              <w:rPr>
                <w:sz w:val="18"/>
                <w:szCs w:val="18"/>
              </w:rPr>
              <w:t>73,8</w:t>
            </w:r>
          </w:p>
        </w:tc>
        <w:tc>
          <w:tcPr>
            <w:tcW w:w="325" w:type="pct"/>
            <w:noWrap/>
            <w:vAlign w:val="center"/>
            <w:hideMark/>
          </w:tcPr>
          <w:p w14:paraId="01D9A045" w14:textId="77777777" w:rsidR="006A1560" w:rsidRPr="006C1749" w:rsidRDefault="006A1560" w:rsidP="00F0383E">
            <w:pPr>
              <w:jc w:val="center"/>
              <w:rPr>
                <w:sz w:val="18"/>
                <w:szCs w:val="18"/>
              </w:rPr>
            </w:pPr>
            <w:r w:rsidRPr="006C1749">
              <w:rPr>
                <w:sz w:val="18"/>
                <w:szCs w:val="18"/>
              </w:rPr>
              <w:t>19,7</w:t>
            </w:r>
          </w:p>
        </w:tc>
        <w:tc>
          <w:tcPr>
            <w:tcW w:w="325" w:type="pct"/>
            <w:noWrap/>
            <w:vAlign w:val="center"/>
            <w:hideMark/>
          </w:tcPr>
          <w:p w14:paraId="14E61890" w14:textId="77777777" w:rsidR="006A1560" w:rsidRPr="006C1749" w:rsidRDefault="006A1560" w:rsidP="00F0383E">
            <w:pPr>
              <w:jc w:val="center"/>
              <w:rPr>
                <w:sz w:val="18"/>
                <w:szCs w:val="18"/>
              </w:rPr>
            </w:pPr>
            <w:r w:rsidRPr="006C1749">
              <w:rPr>
                <w:sz w:val="18"/>
                <w:szCs w:val="18"/>
              </w:rPr>
              <w:t>93,5</w:t>
            </w:r>
          </w:p>
        </w:tc>
        <w:tc>
          <w:tcPr>
            <w:tcW w:w="325" w:type="pct"/>
            <w:noWrap/>
            <w:vAlign w:val="center"/>
            <w:hideMark/>
          </w:tcPr>
          <w:p w14:paraId="5A490735" w14:textId="77777777" w:rsidR="006A1560" w:rsidRPr="006C1749" w:rsidRDefault="006A1560" w:rsidP="00F0383E">
            <w:pPr>
              <w:jc w:val="center"/>
              <w:rPr>
                <w:sz w:val="18"/>
                <w:szCs w:val="18"/>
              </w:rPr>
            </w:pPr>
            <w:r w:rsidRPr="006C1749">
              <w:rPr>
                <w:sz w:val="18"/>
                <w:szCs w:val="18"/>
              </w:rPr>
              <w:t>75,8</w:t>
            </w:r>
          </w:p>
        </w:tc>
        <w:tc>
          <w:tcPr>
            <w:tcW w:w="398" w:type="pct"/>
            <w:noWrap/>
            <w:vAlign w:val="center"/>
            <w:hideMark/>
          </w:tcPr>
          <w:p w14:paraId="3EA66441" w14:textId="77777777" w:rsidR="006A1560" w:rsidRPr="006C1749" w:rsidRDefault="006A1560" w:rsidP="00F0383E">
            <w:pPr>
              <w:jc w:val="center"/>
              <w:rPr>
                <w:b/>
                <w:sz w:val="18"/>
                <w:szCs w:val="18"/>
              </w:rPr>
            </w:pPr>
            <w:r w:rsidRPr="006C1749">
              <w:rPr>
                <w:b/>
                <w:sz w:val="18"/>
                <w:szCs w:val="18"/>
              </w:rPr>
              <w:t>46</w:t>
            </w:r>
            <w:r>
              <w:rPr>
                <w:b/>
                <w:sz w:val="18"/>
                <w:szCs w:val="18"/>
              </w:rPr>
              <w:t>,0</w:t>
            </w:r>
          </w:p>
        </w:tc>
        <w:tc>
          <w:tcPr>
            <w:tcW w:w="324" w:type="pct"/>
            <w:vAlign w:val="center"/>
          </w:tcPr>
          <w:p w14:paraId="1060EFF4" w14:textId="77777777" w:rsidR="006A1560" w:rsidRPr="006C1749" w:rsidRDefault="006A1560" w:rsidP="00F0383E">
            <w:pPr>
              <w:jc w:val="center"/>
              <w:rPr>
                <w:b/>
                <w:sz w:val="18"/>
                <w:szCs w:val="18"/>
              </w:rPr>
            </w:pPr>
            <w:r w:rsidRPr="006C1749">
              <w:rPr>
                <w:rFonts w:ascii="Calibri" w:hAnsi="Calibri"/>
                <w:color w:val="000000"/>
                <w:sz w:val="18"/>
                <w:szCs w:val="18"/>
              </w:rPr>
              <w:t>552</w:t>
            </w:r>
            <w:r>
              <w:rPr>
                <w:rFonts w:ascii="Calibri" w:hAnsi="Calibri"/>
                <w:color w:val="000000"/>
                <w:sz w:val="18"/>
                <w:szCs w:val="18"/>
              </w:rPr>
              <w:t>,0</w:t>
            </w:r>
          </w:p>
        </w:tc>
      </w:tr>
      <w:tr w:rsidR="006A1560" w:rsidRPr="006C1749" w14:paraId="0DE5D61F" w14:textId="77777777" w:rsidTr="00F0383E">
        <w:trPr>
          <w:trHeight w:val="300"/>
          <w:jc w:val="center"/>
        </w:trPr>
        <w:tc>
          <w:tcPr>
            <w:tcW w:w="430" w:type="pct"/>
            <w:shd w:val="clear" w:color="auto" w:fill="92D050"/>
            <w:noWrap/>
            <w:vAlign w:val="center"/>
            <w:hideMark/>
          </w:tcPr>
          <w:p w14:paraId="07CEE065" w14:textId="77777777" w:rsidR="006A1560" w:rsidRPr="006C1749" w:rsidRDefault="006A1560" w:rsidP="00F0383E">
            <w:pPr>
              <w:jc w:val="center"/>
              <w:rPr>
                <w:sz w:val="18"/>
                <w:szCs w:val="18"/>
              </w:rPr>
            </w:pPr>
            <w:r w:rsidRPr="006C1749">
              <w:rPr>
                <w:sz w:val="18"/>
                <w:szCs w:val="18"/>
              </w:rPr>
              <w:t>2016</w:t>
            </w:r>
          </w:p>
        </w:tc>
        <w:tc>
          <w:tcPr>
            <w:tcW w:w="325" w:type="pct"/>
            <w:noWrap/>
            <w:vAlign w:val="center"/>
            <w:hideMark/>
          </w:tcPr>
          <w:p w14:paraId="2683411C" w14:textId="77777777" w:rsidR="006A1560" w:rsidRPr="006C1749" w:rsidRDefault="006A1560" w:rsidP="00F0383E">
            <w:pPr>
              <w:jc w:val="center"/>
              <w:rPr>
                <w:sz w:val="18"/>
                <w:szCs w:val="18"/>
              </w:rPr>
            </w:pPr>
            <w:r w:rsidRPr="006C1749">
              <w:rPr>
                <w:sz w:val="18"/>
                <w:szCs w:val="18"/>
              </w:rPr>
              <w:t>20</w:t>
            </w:r>
            <w:r>
              <w:rPr>
                <w:sz w:val="18"/>
                <w:szCs w:val="18"/>
              </w:rPr>
              <w:t>,0</w:t>
            </w:r>
          </w:p>
        </w:tc>
        <w:tc>
          <w:tcPr>
            <w:tcW w:w="325" w:type="pct"/>
            <w:noWrap/>
            <w:vAlign w:val="center"/>
            <w:hideMark/>
          </w:tcPr>
          <w:p w14:paraId="14658E6A" w14:textId="77777777" w:rsidR="006A1560" w:rsidRPr="006C1749" w:rsidRDefault="006A1560" w:rsidP="00F0383E">
            <w:pPr>
              <w:jc w:val="center"/>
              <w:rPr>
                <w:sz w:val="18"/>
                <w:szCs w:val="18"/>
              </w:rPr>
            </w:pPr>
            <w:r w:rsidRPr="006C1749">
              <w:rPr>
                <w:sz w:val="18"/>
                <w:szCs w:val="18"/>
              </w:rPr>
              <w:t>44,2</w:t>
            </w:r>
          </w:p>
        </w:tc>
        <w:tc>
          <w:tcPr>
            <w:tcW w:w="325" w:type="pct"/>
            <w:noWrap/>
            <w:vAlign w:val="center"/>
            <w:hideMark/>
          </w:tcPr>
          <w:p w14:paraId="171537AD" w14:textId="77777777" w:rsidR="006A1560" w:rsidRPr="006C1749" w:rsidRDefault="006A1560" w:rsidP="00F0383E">
            <w:pPr>
              <w:jc w:val="center"/>
              <w:rPr>
                <w:sz w:val="18"/>
                <w:szCs w:val="18"/>
              </w:rPr>
            </w:pPr>
            <w:r w:rsidRPr="006C1749">
              <w:rPr>
                <w:sz w:val="18"/>
                <w:szCs w:val="18"/>
              </w:rPr>
              <w:t>14,6</w:t>
            </w:r>
          </w:p>
        </w:tc>
        <w:tc>
          <w:tcPr>
            <w:tcW w:w="325" w:type="pct"/>
            <w:noWrap/>
            <w:vAlign w:val="center"/>
            <w:hideMark/>
          </w:tcPr>
          <w:p w14:paraId="2405A00C" w14:textId="77777777" w:rsidR="006A1560" w:rsidRPr="006C1749" w:rsidRDefault="006A1560" w:rsidP="00F0383E">
            <w:pPr>
              <w:jc w:val="center"/>
              <w:rPr>
                <w:sz w:val="18"/>
                <w:szCs w:val="18"/>
              </w:rPr>
            </w:pPr>
            <w:r w:rsidRPr="006C1749">
              <w:rPr>
                <w:sz w:val="18"/>
                <w:szCs w:val="18"/>
              </w:rPr>
              <w:t>27</w:t>
            </w:r>
            <w:r>
              <w:rPr>
                <w:sz w:val="18"/>
                <w:szCs w:val="18"/>
              </w:rPr>
              <w:t>,0</w:t>
            </w:r>
          </w:p>
        </w:tc>
        <w:tc>
          <w:tcPr>
            <w:tcW w:w="325" w:type="pct"/>
            <w:noWrap/>
            <w:vAlign w:val="center"/>
            <w:hideMark/>
          </w:tcPr>
          <w:p w14:paraId="06D9A8AE" w14:textId="77777777" w:rsidR="006A1560" w:rsidRPr="006C1749" w:rsidRDefault="006A1560" w:rsidP="00F0383E">
            <w:pPr>
              <w:jc w:val="center"/>
              <w:rPr>
                <w:sz w:val="18"/>
                <w:szCs w:val="18"/>
              </w:rPr>
            </w:pPr>
            <w:r w:rsidRPr="006C1749">
              <w:rPr>
                <w:sz w:val="18"/>
                <w:szCs w:val="18"/>
              </w:rPr>
              <w:t>46,9</w:t>
            </w:r>
          </w:p>
        </w:tc>
        <w:tc>
          <w:tcPr>
            <w:tcW w:w="325" w:type="pct"/>
            <w:noWrap/>
            <w:vAlign w:val="center"/>
            <w:hideMark/>
          </w:tcPr>
          <w:p w14:paraId="6728D727" w14:textId="77777777" w:rsidR="006A1560" w:rsidRPr="006C1749" w:rsidRDefault="006A1560" w:rsidP="00F0383E">
            <w:pPr>
              <w:jc w:val="center"/>
              <w:rPr>
                <w:sz w:val="18"/>
                <w:szCs w:val="18"/>
              </w:rPr>
            </w:pPr>
            <w:r w:rsidRPr="006C1749">
              <w:rPr>
                <w:sz w:val="18"/>
                <w:szCs w:val="18"/>
              </w:rPr>
              <w:t>83,9</w:t>
            </w:r>
          </w:p>
        </w:tc>
        <w:tc>
          <w:tcPr>
            <w:tcW w:w="325" w:type="pct"/>
            <w:noWrap/>
            <w:vAlign w:val="center"/>
            <w:hideMark/>
          </w:tcPr>
          <w:p w14:paraId="24D2D8FF" w14:textId="77777777" w:rsidR="006A1560" w:rsidRPr="006C1749" w:rsidRDefault="006A1560" w:rsidP="00F0383E">
            <w:pPr>
              <w:jc w:val="center"/>
              <w:rPr>
                <w:sz w:val="18"/>
                <w:szCs w:val="18"/>
              </w:rPr>
            </w:pPr>
            <w:r w:rsidRPr="006C1749">
              <w:rPr>
                <w:sz w:val="18"/>
                <w:szCs w:val="18"/>
              </w:rPr>
              <w:t>103,5</w:t>
            </w:r>
          </w:p>
        </w:tc>
        <w:tc>
          <w:tcPr>
            <w:tcW w:w="278" w:type="pct"/>
            <w:noWrap/>
            <w:vAlign w:val="center"/>
            <w:hideMark/>
          </w:tcPr>
          <w:p w14:paraId="47DB82B5" w14:textId="77777777" w:rsidR="006A1560" w:rsidRPr="006C1749" w:rsidRDefault="006A1560" w:rsidP="00F0383E">
            <w:pPr>
              <w:jc w:val="center"/>
              <w:rPr>
                <w:sz w:val="18"/>
                <w:szCs w:val="18"/>
              </w:rPr>
            </w:pPr>
            <w:r w:rsidRPr="006C1749">
              <w:rPr>
                <w:sz w:val="18"/>
                <w:szCs w:val="18"/>
              </w:rPr>
              <w:t>95,2</w:t>
            </w:r>
          </w:p>
        </w:tc>
        <w:tc>
          <w:tcPr>
            <w:tcW w:w="325" w:type="pct"/>
            <w:noWrap/>
            <w:vAlign w:val="center"/>
            <w:hideMark/>
          </w:tcPr>
          <w:p w14:paraId="4B322BF3" w14:textId="77777777" w:rsidR="006A1560" w:rsidRPr="006C1749" w:rsidRDefault="006A1560" w:rsidP="00F0383E">
            <w:pPr>
              <w:jc w:val="center"/>
              <w:rPr>
                <w:sz w:val="18"/>
                <w:szCs w:val="18"/>
              </w:rPr>
            </w:pPr>
            <w:r w:rsidRPr="006C1749">
              <w:rPr>
                <w:sz w:val="18"/>
                <w:szCs w:val="18"/>
              </w:rPr>
              <w:t>21,2</w:t>
            </w:r>
          </w:p>
        </w:tc>
        <w:tc>
          <w:tcPr>
            <w:tcW w:w="325" w:type="pct"/>
            <w:noWrap/>
            <w:vAlign w:val="center"/>
            <w:hideMark/>
          </w:tcPr>
          <w:p w14:paraId="5ECCED15" w14:textId="77777777" w:rsidR="006A1560" w:rsidRPr="006C1749" w:rsidRDefault="006A1560" w:rsidP="00F0383E">
            <w:pPr>
              <w:jc w:val="center"/>
              <w:rPr>
                <w:sz w:val="18"/>
                <w:szCs w:val="18"/>
              </w:rPr>
            </w:pPr>
            <w:r w:rsidRPr="006C1749">
              <w:rPr>
                <w:sz w:val="18"/>
                <w:szCs w:val="18"/>
              </w:rPr>
              <w:t>125,8</w:t>
            </w:r>
          </w:p>
        </w:tc>
        <w:tc>
          <w:tcPr>
            <w:tcW w:w="325" w:type="pct"/>
            <w:noWrap/>
            <w:vAlign w:val="center"/>
            <w:hideMark/>
          </w:tcPr>
          <w:p w14:paraId="76B0165E" w14:textId="77777777" w:rsidR="006A1560" w:rsidRPr="006C1749" w:rsidRDefault="006A1560" w:rsidP="00F0383E">
            <w:pPr>
              <w:jc w:val="center"/>
              <w:rPr>
                <w:sz w:val="18"/>
                <w:szCs w:val="18"/>
              </w:rPr>
            </w:pPr>
            <w:r w:rsidRPr="006C1749">
              <w:rPr>
                <w:sz w:val="18"/>
                <w:szCs w:val="18"/>
              </w:rPr>
              <w:t>81,3</w:t>
            </w:r>
          </w:p>
        </w:tc>
        <w:tc>
          <w:tcPr>
            <w:tcW w:w="325" w:type="pct"/>
            <w:noWrap/>
            <w:vAlign w:val="center"/>
            <w:hideMark/>
          </w:tcPr>
          <w:p w14:paraId="5C5708E3" w14:textId="77777777" w:rsidR="006A1560" w:rsidRPr="006C1749" w:rsidRDefault="006A1560" w:rsidP="00F0383E">
            <w:pPr>
              <w:jc w:val="center"/>
              <w:rPr>
                <w:sz w:val="18"/>
                <w:szCs w:val="18"/>
              </w:rPr>
            </w:pPr>
            <w:r w:rsidRPr="006C1749">
              <w:rPr>
                <w:sz w:val="18"/>
                <w:szCs w:val="18"/>
              </w:rPr>
              <w:t>41,4</w:t>
            </w:r>
          </w:p>
        </w:tc>
        <w:tc>
          <w:tcPr>
            <w:tcW w:w="398" w:type="pct"/>
            <w:noWrap/>
            <w:vAlign w:val="center"/>
            <w:hideMark/>
          </w:tcPr>
          <w:p w14:paraId="11FCC64F" w14:textId="77777777" w:rsidR="006A1560" w:rsidRPr="006C1749" w:rsidRDefault="006A1560" w:rsidP="00F0383E">
            <w:pPr>
              <w:jc w:val="center"/>
              <w:rPr>
                <w:b/>
                <w:sz w:val="18"/>
                <w:szCs w:val="18"/>
              </w:rPr>
            </w:pPr>
            <w:r w:rsidRPr="006C1749">
              <w:rPr>
                <w:b/>
                <w:sz w:val="18"/>
                <w:szCs w:val="18"/>
              </w:rPr>
              <w:t>58,7</w:t>
            </w:r>
          </w:p>
        </w:tc>
        <w:tc>
          <w:tcPr>
            <w:tcW w:w="324" w:type="pct"/>
            <w:vAlign w:val="center"/>
          </w:tcPr>
          <w:p w14:paraId="29507002" w14:textId="77777777" w:rsidR="006A1560" w:rsidRPr="006C1749" w:rsidRDefault="006A1560" w:rsidP="00F0383E">
            <w:pPr>
              <w:jc w:val="center"/>
              <w:rPr>
                <w:b/>
                <w:sz w:val="18"/>
                <w:szCs w:val="18"/>
              </w:rPr>
            </w:pPr>
            <w:r w:rsidRPr="006C1749">
              <w:rPr>
                <w:rFonts w:ascii="Calibri" w:hAnsi="Calibri"/>
                <w:color w:val="000000"/>
                <w:sz w:val="18"/>
                <w:szCs w:val="18"/>
              </w:rPr>
              <w:t>705</w:t>
            </w:r>
            <w:r>
              <w:rPr>
                <w:rFonts w:ascii="Calibri" w:hAnsi="Calibri"/>
                <w:color w:val="000000"/>
                <w:sz w:val="18"/>
                <w:szCs w:val="18"/>
              </w:rPr>
              <w:t>,0</w:t>
            </w:r>
          </w:p>
        </w:tc>
      </w:tr>
      <w:tr w:rsidR="006A1560" w:rsidRPr="006C1749" w14:paraId="32E883ED" w14:textId="77777777" w:rsidTr="00F0383E">
        <w:trPr>
          <w:trHeight w:val="300"/>
          <w:jc w:val="center"/>
        </w:trPr>
        <w:tc>
          <w:tcPr>
            <w:tcW w:w="430" w:type="pct"/>
            <w:shd w:val="clear" w:color="auto" w:fill="92D050"/>
            <w:noWrap/>
            <w:vAlign w:val="center"/>
            <w:hideMark/>
          </w:tcPr>
          <w:p w14:paraId="45540B20" w14:textId="77777777" w:rsidR="006A1560" w:rsidRPr="006C1749" w:rsidRDefault="006A1560" w:rsidP="00F0383E">
            <w:pPr>
              <w:jc w:val="center"/>
              <w:rPr>
                <w:sz w:val="18"/>
                <w:szCs w:val="18"/>
              </w:rPr>
            </w:pPr>
            <w:r w:rsidRPr="006C1749">
              <w:rPr>
                <w:sz w:val="18"/>
                <w:szCs w:val="18"/>
              </w:rPr>
              <w:t>2017</w:t>
            </w:r>
          </w:p>
        </w:tc>
        <w:tc>
          <w:tcPr>
            <w:tcW w:w="325" w:type="pct"/>
            <w:noWrap/>
            <w:vAlign w:val="center"/>
            <w:hideMark/>
          </w:tcPr>
          <w:p w14:paraId="443B9661" w14:textId="77777777" w:rsidR="006A1560" w:rsidRPr="006C1749" w:rsidRDefault="006A1560" w:rsidP="00F0383E">
            <w:pPr>
              <w:jc w:val="center"/>
              <w:rPr>
                <w:sz w:val="18"/>
                <w:szCs w:val="18"/>
              </w:rPr>
            </w:pPr>
            <w:r w:rsidRPr="006C1749">
              <w:rPr>
                <w:sz w:val="18"/>
                <w:szCs w:val="18"/>
              </w:rPr>
              <w:t>7,6</w:t>
            </w:r>
          </w:p>
        </w:tc>
        <w:tc>
          <w:tcPr>
            <w:tcW w:w="325" w:type="pct"/>
            <w:noWrap/>
            <w:vAlign w:val="center"/>
            <w:hideMark/>
          </w:tcPr>
          <w:p w14:paraId="3D04D337" w14:textId="77777777" w:rsidR="006A1560" w:rsidRPr="006C1749" w:rsidRDefault="006A1560" w:rsidP="00F0383E">
            <w:pPr>
              <w:jc w:val="center"/>
              <w:rPr>
                <w:sz w:val="18"/>
                <w:szCs w:val="18"/>
              </w:rPr>
            </w:pPr>
            <w:r w:rsidRPr="006C1749">
              <w:rPr>
                <w:sz w:val="18"/>
                <w:szCs w:val="18"/>
              </w:rPr>
              <w:t>25,4</w:t>
            </w:r>
          </w:p>
        </w:tc>
        <w:tc>
          <w:tcPr>
            <w:tcW w:w="325" w:type="pct"/>
            <w:noWrap/>
            <w:vAlign w:val="center"/>
            <w:hideMark/>
          </w:tcPr>
          <w:p w14:paraId="7D27C5DC" w14:textId="77777777" w:rsidR="006A1560" w:rsidRPr="006C1749" w:rsidRDefault="006A1560" w:rsidP="00F0383E">
            <w:pPr>
              <w:jc w:val="center"/>
              <w:rPr>
                <w:sz w:val="18"/>
                <w:szCs w:val="18"/>
              </w:rPr>
            </w:pPr>
            <w:r w:rsidRPr="006C1749">
              <w:rPr>
                <w:sz w:val="18"/>
                <w:szCs w:val="18"/>
              </w:rPr>
              <w:t>37,6</w:t>
            </w:r>
          </w:p>
        </w:tc>
        <w:tc>
          <w:tcPr>
            <w:tcW w:w="325" w:type="pct"/>
            <w:noWrap/>
            <w:vAlign w:val="center"/>
            <w:hideMark/>
          </w:tcPr>
          <w:p w14:paraId="79DE83CD" w14:textId="77777777" w:rsidR="006A1560" w:rsidRPr="006C1749" w:rsidRDefault="006A1560" w:rsidP="00F0383E">
            <w:pPr>
              <w:jc w:val="center"/>
              <w:rPr>
                <w:sz w:val="18"/>
                <w:szCs w:val="18"/>
              </w:rPr>
            </w:pPr>
            <w:r w:rsidRPr="006C1749">
              <w:rPr>
                <w:sz w:val="18"/>
                <w:szCs w:val="18"/>
              </w:rPr>
              <w:t>68,2</w:t>
            </w:r>
          </w:p>
        </w:tc>
        <w:tc>
          <w:tcPr>
            <w:tcW w:w="325" w:type="pct"/>
            <w:noWrap/>
            <w:vAlign w:val="center"/>
            <w:hideMark/>
          </w:tcPr>
          <w:p w14:paraId="68734B7A" w14:textId="77777777" w:rsidR="006A1560" w:rsidRPr="006C1749" w:rsidRDefault="006A1560" w:rsidP="00F0383E">
            <w:pPr>
              <w:jc w:val="center"/>
              <w:rPr>
                <w:sz w:val="18"/>
                <w:szCs w:val="18"/>
              </w:rPr>
            </w:pPr>
            <w:r w:rsidRPr="006C1749">
              <w:rPr>
                <w:sz w:val="18"/>
                <w:szCs w:val="18"/>
              </w:rPr>
              <w:t>7</w:t>
            </w:r>
            <w:r>
              <w:rPr>
                <w:sz w:val="18"/>
                <w:szCs w:val="18"/>
              </w:rPr>
              <w:t>,0</w:t>
            </w:r>
          </w:p>
        </w:tc>
        <w:tc>
          <w:tcPr>
            <w:tcW w:w="325" w:type="pct"/>
            <w:noWrap/>
            <w:vAlign w:val="center"/>
            <w:hideMark/>
          </w:tcPr>
          <w:p w14:paraId="2A2378D7" w14:textId="77777777" w:rsidR="006A1560" w:rsidRPr="006C1749" w:rsidRDefault="006A1560" w:rsidP="00F0383E">
            <w:pPr>
              <w:jc w:val="center"/>
              <w:rPr>
                <w:sz w:val="18"/>
                <w:szCs w:val="18"/>
              </w:rPr>
            </w:pPr>
            <w:r w:rsidRPr="006C1749">
              <w:rPr>
                <w:sz w:val="18"/>
                <w:szCs w:val="18"/>
              </w:rPr>
              <w:t>34</w:t>
            </w:r>
            <w:r>
              <w:rPr>
                <w:sz w:val="18"/>
                <w:szCs w:val="18"/>
              </w:rPr>
              <w:t>,0</w:t>
            </w:r>
          </w:p>
        </w:tc>
        <w:tc>
          <w:tcPr>
            <w:tcW w:w="325" w:type="pct"/>
            <w:noWrap/>
            <w:vAlign w:val="center"/>
            <w:hideMark/>
          </w:tcPr>
          <w:p w14:paraId="2DDF8AB3" w14:textId="77777777" w:rsidR="006A1560" w:rsidRPr="006C1749" w:rsidRDefault="006A1560" w:rsidP="00F0383E">
            <w:pPr>
              <w:jc w:val="center"/>
              <w:rPr>
                <w:sz w:val="18"/>
                <w:szCs w:val="18"/>
              </w:rPr>
            </w:pPr>
            <w:r w:rsidRPr="006C1749">
              <w:rPr>
                <w:sz w:val="18"/>
                <w:szCs w:val="18"/>
              </w:rPr>
              <w:t>99</w:t>
            </w:r>
            <w:r>
              <w:rPr>
                <w:sz w:val="18"/>
                <w:szCs w:val="18"/>
              </w:rPr>
              <w:t>,0</w:t>
            </w:r>
          </w:p>
        </w:tc>
        <w:tc>
          <w:tcPr>
            <w:tcW w:w="278" w:type="pct"/>
            <w:noWrap/>
            <w:vAlign w:val="center"/>
            <w:hideMark/>
          </w:tcPr>
          <w:p w14:paraId="73D8D083" w14:textId="77777777" w:rsidR="006A1560" w:rsidRPr="006C1749" w:rsidRDefault="006A1560" w:rsidP="00F0383E">
            <w:pPr>
              <w:jc w:val="center"/>
              <w:rPr>
                <w:sz w:val="18"/>
                <w:szCs w:val="18"/>
              </w:rPr>
            </w:pPr>
            <w:r w:rsidRPr="006C1749">
              <w:rPr>
                <w:sz w:val="18"/>
                <w:szCs w:val="18"/>
              </w:rPr>
              <w:t>44,6</w:t>
            </w:r>
          </w:p>
        </w:tc>
        <w:tc>
          <w:tcPr>
            <w:tcW w:w="325" w:type="pct"/>
            <w:noWrap/>
            <w:vAlign w:val="center"/>
            <w:hideMark/>
          </w:tcPr>
          <w:p w14:paraId="5FC42979" w14:textId="77777777" w:rsidR="006A1560" w:rsidRPr="006C1749" w:rsidRDefault="006A1560" w:rsidP="00F0383E">
            <w:pPr>
              <w:jc w:val="center"/>
              <w:rPr>
                <w:sz w:val="18"/>
                <w:szCs w:val="18"/>
              </w:rPr>
            </w:pPr>
            <w:r w:rsidRPr="006C1749">
              <w:rPr>
                <w:sz w:val="18"/>
                <w:szCs w:val="18"/>
              </w:rPr>
              <w:t>235,3</w:t>
            </w:r>
          </w:p>
        </w:tc>
        <w:tc>
          <w:tcPr>
            <w:tcW w:w="325" w:type="pct"/>
            <w:noWrap/>
            <w:vAlign w:val="center"/>
            <w:hideMark/>
          </w:tcPr>
          <w:p w14:paraId="0377F8C7" w14:textId="77777777" w:rsidR="006A1560" w:rsidRPr="006C1749" w:rsidRDefault="006A1560" w:rsidP="00F0383E">
            <w:pPr>
              <w:jc w:val="center"/>
              <w:rPr>
                <w:sz w:val="18"/>
                <w:szCs w:val="18"/>
              </w:rPr>
            </w:pPr>
            <w:r w:rsidRPr="006C1749">
              <w:rPr>
                <w:sz w:val="18"/>
                <w:szCs w:val="18"/>
              </w:rPr>
              <w:t>160,8</w:t>
            </w:r>
          </w:p>
        </w:tc>
        <w:tc>
          <w:tcPr>
            <w:tcW w:w="325" w:type="pct"/>
            <w:noWrap/>
            <w:vAlign w:val="center"/>
            <w:hideMark/>
          </w:tcPr>
          <w:p w14:paraId="2C8F9A66" w14:textId="77777777" w:rsidR="006A1560" w:rsidRPr="006C1749" w:rsidRDefault="006A1560" w:rsidP="00F0383E">
            <w:pPr>
              <w:jc w:val="center"/>
              <w:rPr>
                <w:sz w:val="18"/>
                <w:szCs w:val="18"/>
              </w:rPr>
            </w:pPr>
            <w:r w:rsidRPr="006C1749">
              <w:rPr>
                <w:sz w:val="18"/>
                <w:szCs w:val="18"/>
              </w:rPr>
              <w:t>53,5</w:t>
            </w:r>
          </w:p>
        </w:tc>
        <w:tc>
          <w:tcPr>
            <w:tcW w:w="325" w:type="pct"/>
            <w:noWrap/>
            <w:vAlign w:val="center"/>
            <w:hideMark/>
          </w:tcPr>
          <w:p w14:paraId="1C23060F" w14:textId="77777777" w:rsidR="006A1560" w:rsidRPr="006C1749" w:rsidRDefault="006A1560" w:rsidP="00F0383E">
            <w:pPr>
              <w:jc w:val="center"/>
              <w:rPr>
                <w:sz w:val="18"/>
                <w:szCs w:val="18"/>
              </w:rPr>
            </w:pPr>
            <w:r w:rsidRPr="006C1749">
              <w:rPr>
                <w:sz w:val="18"/>
                <w:szCs w:val="18"/>
              </w:rPr>
              <w:t>67,8</w:t>
            </w:r>
          </w:p>
        </w:tc>
        <w:tc>
          <w:tcPr>
            <w:tcW w:w="398" w:type="pct"/>
            <w:noWrap/>
            <w:vAlign w:val="center"/>
            <w:hideMark/>
          </w:tcPr>
          <w:p w14:paraId="06AC4079" w14:textId="77777777" w:rsidR="006A1560" w:rsidRPr="006C1749" w:rsidRDefault="006A1560" w:rsidP="00F0383E">
            <w:pPr>
              <w:jc w:val="center"/>
              <w:rPr>
                <w:b/>
                <w:sz w:val="18"/>
                <w:szCs w:val="18"/>
              </w:rPr>
            </w:pPr>
            <w:r w:rsidRPr="006C1749">
              <w:rPr>
                <w:b/>
                <w:sz w:val="18"/>
                <w:szCs w:val="18"/>
              </w:rPr>
              <w:t>70</w:t>
            </w:r>
            <w:r>
              <w:rPr>
                <w:b/>
                <w:sz w:val="18"/>
                <w:szCs w:val="18"/>
              </w:rPr>
              <w:t>,0</w:t>
            </w:r>
          </w:p>
        </w:tc>
        <w:tc>
          <w:tcPr>
            <w:tcW w:w="324" w:type="pct"/>
            <w:vAlign w:val="center"/>
          </w:tcPr>
          <w:p w14:paraId="19321F53" w14:textId="77777777" w:rsidR="006A1560" w:rsidRPr="006C1749" w:rsidRDefault="006A1560" w:rsidP="00F0383E">
            <w:pPr>
              <w:jc w:val="center"/>
              <w:rPr>
                <w:b/>
                <w:sz w:val="18"/>
                <w:szCs w:val="18"/>
              </w:rPr>
            </w:pPr>
            <w:r w:rsidRPr="006C1749">
              <w:rPr>
                <w:rFonts w:ascii="Calibri" w:hAnsi="Calibri"/>
                <w:color w:val="000000"/>
                <w:sz w:val="18"/>
                <w:szCs w:val="18"/>
              </w:rPr>
              <w:t>840,8</w:t>
            </w:r>
          </w:p>
        </w:tc>
      </w:tr>
      <w:tr w:rsidR="006A1560" w:rsidRPr="006C1749" w14:paraId="5B8CC986" w14:textId="77777777" w:rsidTr="00F0383E">
        <w:trPr>
          <w:trHeight w:val="300"/>
          <w:jc w:val="center"/>
        </w:trPr>
        <w:tc>
          <w:tcPr>
            <w:tcW w:w="430" w:type="pct"/>
            <w:shd w:val="clear" w:color="auto" w:fill="92D050"/>
            <w:noWrap/>
            <w:vAlign w:val="center"/>
            <w:hideMark/>
          </w:tcPr>
          <w:p w14:paraId="1D19ED99" w14:textId="77777777" w:rsidR="006A1560" w:rsidRPr="006C1749" w:rsidRDefault="006A1560" w:rsidP="00F0383E">
            <w:pPr>
              <w:jc w:val="center"/>
              <w:rPr>
                <w:sz w:val="18"/>
                <w:szCs w:val="18"/>
              </w:rPr>
            </w:pPr>
            <w:r w:rsidRPr="006C1749">
              <w:rPr>
                <w:sz w:val="18"/>
                <w:szCs w:val="18"/>
              </w:rPr>
              <w:lastRenderedPageBreak/>
              <w:t>2018</w:t>
            </w:r>
          </w:p>
        </w:tc>
        <w:tc>
          <w:tcPr>
            <w:tcW w:w="325" w:type="pct"/>
            <w:noWrap/>
            <w:vAlign w:val="center"/>
            <w:hideMark/>
          </w:tcPr>
          <w:p w14:paraId="06BCB989" w14:textId="77777777" w:rsidR="006A1560" w:rsidRPr="006C1749" w:rsidRDefault="006A1560" w:rsidP="00F0383E">
            <w:pPr>
              <w:jc w:val="center"/>
              <w:rPr>
                <w:sz w:val="18"/>
                <w:szCs w:val="18"/>
              </w:rPr>
            </w:pPr>
            <w:r w:rsidRPr="006C1749">
              <w:rPr>
                <w:sz w:val="18"/>
                <w:szCs w:val="18"/>
              </w:rPr>
              <w:t>41,2</w:t>
            </w:r>
          </w:p>
        </w:tc>
        <w:tc>
          <w:tcPr>
            <w:tcW w:w="325" w:type="pct"/>
            <w:noWrap/>
            <w:vAlign w:val="center"/>
            <w:hideMark/>
          </w:tcPr>
          <w:p w14:paraId="11268408" w14:textId="77777777" w:rsidR="006A1560" w:rsidRPr="006C1749" w:rsidRDefault="006A1560" w:rsidP="00F0383E">
            <w:pPr>
              <w:jc w:val="center"/>
              <w:rPr>
                <w:sz w:val="18"/>
                <w:szCs w:val="18"/>
              </w:rPr>
            </w:pPr>
            <w:r w:rsidRPr="006C1749">
              <w:rPr>
                <w:sz w:val="18"/>
                <w:szCs w:val="18"/>
              </w:rPr>
              <w:t>8,6</w:t>
            </w:r>
          </w:p>
        </w:tc>
        <w:tc>
          <w:tcPr>
            <w:tcW w:w="325" w:type="pct"/>
            <w:noWrap/>
            <w:vAlign w:val="center"/>
            <w:hideMark/>
          </w:tcPr>
          <w:p w14:paraId="0DA3D06C" w14:textId="77777777" w:rsidR="006A1560" w:rsidRPr="006C1749" w:rsidRDefault="006A1560" w:rsidP="00F0383E">
            <w:pPr>
              <w:jc w:val="center"/>
              <w:rPr>
                <w:sz w:val="18"/>
                <w:szCs w:val="18"/>
              </w:rPr>
            </w:pPr>
            <w:r w:rsidRPr="006C1749">
              <w:rPr>
                <w:sz w:val="18"/>
                <w:szCs w:val="18"/>
              </w:rPr>
              <w:t>15,1</w:t>
            </w:r>
          </w:p>
        </w:tc>
        <w:tc>
          <w:tcPr>
            <w:tcW w:w="325" w:type="pct"/>
            <w:noWrap/>
            <w:vAlign w:val="center"/>
            <w:hideMark/>
          </w:tcPr>
          <w:p w14:paraId="607F6479" w14:textId="77777777" w:rsidR="006A1560" w:rsidRPr="006C1749" w:rsidRDefault="006A1560" w:rsidP="00F0383E">
            <w:pPr>
              <w:jc w:val="center"/>
              <w:rPr>
                <w:sz w:val="18"/>
                <w:szCs w:val="18"/>
              </w:rPr>
            </w:pPr>
            <w:r w:rsidRPr="006C1749">
              <w:rPr>
                <w:sz w:val="18"/>
                <w:szCs w:val="18"/>
              </w:rPr>
              <w:t>37</w:t>
            </w:r>
            <w:r>
              <w:rPr>
                <w:sz w:val="18"/>
                <w:szCs w:val="18"/>
              </w:rPr>
              <w:t>,0</w:t>
            </w:r>
          </w:p>
        </w:tc>
        <w:tc>
          <w:tcPr>
            <w:tcW w:w="325" w:type="pct"/>
            <w:noWrap/>
            <w:vAlign w:val="center"/>
            <w:hideMark/>
          </w:tcPr>
          <w:p w14:paraId="123E5A5D" w14:textId="77777777" w:rsidR="006A1560" w:rsidRPr="006C1749" w:rsidRDefault="006A1560" w:rsidP="00F0383E">
            <w:pPr>
              <w:jc w:val="center"/>
              <w:rPr>
                <w:sz w:val="18"/>
                <w:szCs w:val="18"/>
              </w:rPr>
            </w:pPr>
            <w:r w:rsidRPr="006C1749">
              <w:rPr>
                <w:sz w:val="18"/>
                <w:szCs w:val="18"/>
              </w:rPr>
              <w:t>31,4</w:t>
            </w:r>
          </w:p>
        </w:tc>
        <w:tc>
          <w:tcPr>
            <w:tcW w:w="325" w:type="pct"/>
            <w:noWrap/>
            <w:vAlign w:val="center"/>
            <w:hideMark/>
          </w:tcPr>
          <w:p w14:paraId="7D1D648B" w14:textId="77777777" w:rsidR="006A1560" w:rsidRPr="006C1749" w:rsidRDefault="006A1560" w:rsidP="00F0383E">
            <w:pPr>
              <w:jc w:val="center"/>
              <w:rPr>
                <w:sz w:val="18"/>
                <w:szCs w:val="18"/>
              </w:rPr>
            </w:pPr>
            <w:r w:rsidRPr="006C1749">
              <w:rPr>
                <w:sz w:val="18"/>
                <w:szCs w:val="18"/>
              </w:rPr>
              <w:t>42,9</w:t>
            </w:r>
          </w:p>
        </w:tc>
        <w:tc>
          <w:tcPr>
            <w:tcW w:w="325" w:type="pct"/>
            <w:noWrap/>
            <w:vAlign w:val="center"/>
            <w:hideMark/>
          </w:tcPr>
          <w:p w14:paraId="6BA722A0" w14:textId="77777777" w:rsidR="006A1560" w:rsidRPr="006C1749" w:rsidRDefault="006A1560" w:rsidP="00F0383E">
            <w:pPr>
              <w:jc w:val="center"/>
              <w:rPr>
                <w:sz w:val="18"/>
                <w:szCs w:val="18"/>
              </w:rPr>
            </w:pPr>
            <w:r w:rsidRPr="006C1749">
              <w:rPr>
                <w:sz w:val="18"/>
                <w:szCs w:val="18"/>
              </w:rPr>
              <w:t>127,9</w:t>
            </w:r>
          </w:p>
        </w:tc>
        <w:tc>
          <w:tcPr>
            <w:tcW w:w="278" w:type="pct"/>
            <w:noWrap/>
            <w:vAlign w:val="center"/>
            <w:hideMark/>
          </w:tcPr>
          <w:p w14:paraId="05E85754" w14:textId="77777777" w:rsidR="006A1560" w:rsidRPr="006C1749" w:rsidRDefault="006A1560" w:rsidP="00F0383E">
            <w:pPr>
              <w:jc w:val="center"/>
              <w:rPr>
                <w:sz w:val="18"/>
                <w:szCs w:val="18"/>
              </w:rPr>
            </w:pPr>
            <w:r w:rsidRPr="006C1749">
              <w:rPr>
                <w:sz w:val="18"/>
                <w:szCs w:val="18"/>
              </w:rPr>
              <w:t>42,7</w:t>
            </w:r>
          </w:p>
        </w:tc>
        <w:tc>
          <w:tcPr>
            <w:tcW w:w="325" w:type="pct"/>
            <w:noWrap/>
            <w:vAlign w:val="center"/>
            <w:hideMark/>
          </w:tcPr>
          <w:p w14:paraId="3D6AE717" w14:textId="77777777" w:rsidR="006A1560" w:rsidRPr="006C1749" w:rsidRDefault="006A1560" w:rsidP="00F0383E">
            <w:pPr>
              <w:jc w:val="center"/>
              <w:rPr>
                <w:sz w:val="18"/>
                <w:szCs w:val="18"/>
              </w:rPr>
            </w:pPr>
            <w:r w:rsidRPr="006C1749">
              <w:rPr>
                <w:sz w:val="18"/>
                <w:szCs w:val="18"/>
              </w:rPr>
              <w:t>38,1</w:t>
            </w:r>
          </w:p>
        </w:tc>
        <w:tc>
          <w:tcPr>
            <w:tcW w:w="325" w:type="pct"/>
            <w:noWrap/>
            <w:vAlign w:val="center"/>
            <w:hideMark/>
          </w:tcPr>
          <w:p w14:paraId="49303253" w14:textId="77777777" w:rsidR="006A1560" w:rsidRPr="006C1749" w:rsidRDefault="006A1560" w:rsidP="00F0383E">
            <w:pPr>
              <w:jc w:val="center"/>
              <w:rPr>
                <w:sz w:val="18"/>
                <w:szCs w:val="18"/>
              </w:rPr>
            </w:pPr>
            <w:r w:rsidRPr="006C1749">
              <w:rPr>
                <w:sz w:val="18"/>
                <w:szCs w:val="18"/>
              </w:rPr>
              <w:t>96,6</w:t>
            </w:r>
          </w:p>
        </w:tc>
        <w:tc>
          <w:tcPr>
            <w:tcW w:w="325" w:type="pct"/>
            <w:noWrap/>
            <w:vAlign w:val="center"/>
            <w:hideMark/>
          </w:tcPr>
          <w:p w14:paraId="5907733E" w14:textId="77777777" w:rsidR="006A1560" w:rsidRPr="006C1749" w:rsidRDefault="006A1560" w:rsidP="00F0383E">
            <w:pPr>
              <w:jc w:val="center"/>
              <w:rPr>
                <w:sz w:val="18"/>
                <w:szCs w:val="18"/>
              </w:rPr>
            </w:pPr>
            <w:r w:rsidRPr="006C1749">
              <w:rPr>
                <w:sz w:val="18"/>
                <w:szCs w:val="18"/>
              </w:rPr>
              <w:t>118,7</w:t>
            </w:r>
          </w:p>
        </w:tc>
        <w:tc>
          <w:tcPr>
            <w:tcW w:w="325" w:type="pct"/>
            <w:noWrap/>
            <w:vAlign w:val="center"/>
            <w:hideMark/>
          </w:tcPr>
          <w:p w14:paraId="0DDCEA3E" w14:textId="77777777" w:rsidR="006A1560" w:rsidRPr="006C1749" w:rsidRDefault="006A1560" w:rsidP="00F0383E">
            <w:pPr>
              <w:jc w:val="center"/>
              <w:rPr>
                <w:sz w:val="18"/>
                <w:szCs w:val="18"/>
              </w:rPr>
            </w:pPr>
            <w:r w:rsidRPr="006C1749">
              <w:rPr>
                <w:sz w:val="18"/>
                <w:szCs w:val="18"/>
              </w:rPr>
              <w:t>55,7</w:t>
            </w:r>
          </w:p>
        </w:tc>
        <w:tc>
          <w:tcPr>
            <w:tcW w:w="398" w:type="pct"/>
            <w:noWrap/>
            <w:vAlign w:val="center"/>
            <w:hideMark/>
          </w:tcPr>
          <w:p w14:paraId="6F130265" w14:textId="77777777" w:rsidR="006A1560" w:rsidRPr="006C1749" w:rsidRDefault="006A1560" w:rsidP="00F0383E">
            <w:pPr>
              <w:jc w:val="center"/>
              <w:rPr>
                <w:b/>
                <w:sz w:val="18"/>
                <w:szCs w:val="18"/>
              </w:rPr>
            </w:pPr>
            <w:r w:rsidRPr="006C1749">
              <w:rPr>
                <w:b/>
                <w:sz w:val="18"/>
                <w:szCs w:val="18"/>
              </w:rPr>
              <w:t>54,6</w:t>
            </w:r>
          </w:p>
        </w:tc>
        <w:tc>
          <w:tcPr>
            <w:tcW w:w="324" w:type="pct"/>
            <w:vAlign w:val="center"/>
          </w:tcPr>
          <w:p w14:paraId="474FCD89" w14:textId="77777777" w:rsidR="006A1560" w:rsidRPr="006C1749" w:rsidRDefault="006A1560" w:rsidP="00F0383E">
            <w:pPr>
              <w:jc w:val="center"/>
              <w:rPr>
                <w:b/>
                <w:sz w:val="18"/>
                <w:szCs w:val="18"/>
              </w:rPr>
            </w:pPr>
            <w:r w:rsidRPr="006C1749">
              <w:rPr>
                <w:rFonts w:ascii="Calibri" w:hAnsi="Calibri"/>
                <w:color w:val="000000"/>
                <w:sz w:val="18"/>
                <w:szCs w:val="18"/>
              </w:rPr>
              <w:t>600</w:t>
            </w:r>
            <w:r>
              <w:rPr>
                <w:rFonts w:ascii="Calibri" w:hAnsi="Calibri"/>
                <w:color w:val="000000"/>
                <w:sz w:val="18"/>
                <w:szCs w:val="18"/>
              </w:rPr>
              <w:t>,0</w:t>
            </w:r>
          </w:p>
        </w:tc>
      </w:tr>
      <w:tr w:rsidR="006A1560" w:rsidRPr="006C1749" w14:paraId="09D5B539" w14:textId="77777777" w:rsidTr="00F0383E">
        <w:trPr>
          <w:trHeight w:val="300"/>
          <w:jc w:val="center"/>
        </w:trPr>
        <w:tc>
          <w:tcPr>
            <w:tcW w:w="430" w:type="pct"/>
            <w:shd w:val="clear" w:color="auto" w:fill="92D050"/>
            <w:noWrap/>
            <w:vAlign w:val="center"/>
            <w:hideMark/>
          </w:tcPr>
          <w:p w14:paraId="431C01D5" w14:textId="77777777" w:rsidR="006A1560" w:rsidRPr="006C1749" w:rsidRDefault="006A1560" w:rsidP="00F0383E">
            <w:pPr>
              <w:jc w:val="center"/>
              <w:rPr>
                <w:sz w:val="18"/>
                <w:szCs w:val="18"/>
              </w:rPr>
            </w:pPr>
            <w:r w:rsidRPr="006C1749">
              <w:rPr>
                <w:sz w:val="18"/>
                <w:szCs w:val="18"/>
              </w:rPr>
              <w:t>2019</w:t>
            </w:r>
          </w:p>
        </w:tc>
        <w:tc>
          <w:tcPr>
            <w:tcW w:w="325" w:type="pct"/>
            <w:noWrap/>
            <w:vAlign w:val="center"/>
            <w:hideMark/>
          </w:tcPr>
          <w:p w14:paraId="247F0E4A" w14:textId="77777777" w:rsidR="006A1560" w:rsidRPr="006C1749" w:rsidRDefault="006A1560" w:rsidP="00F0383E">
            <w:pPr>
              <w:jc w:val="center"/>
              <w:rPr>
                <w:sz w:val="18"/>
                <w:szCs w:val="18"/>
              </w:rPr>
            </w:pPr>
            <w:r w:rsidRPr="006C1749">
              <w:rPr>
                <w:sz w:val="18"/>
                <w:szCs w:val="18"/>
              </w:rPr>
              <w:t>54,1</w:t>
            </w:r>
          </w:p>
        </w:tc>
        <w:tc>
          <w:tcPr>
            <w:tcW w:w="325" w:type="pct"/>
            <w:noWrap/>
            <w:vAlign w:val="center"/>
            <w:hideMark/>
          </w:tcPr>
          <w:p w14:paraId="3953F26B" w14:textId="77777777" w:rsidR="006A1560" w:rsidRPr="006C1749" w:rsidRDefault="006A1560" w:rsidP="00F0383E">
            <w:pPr>
              <w:jc w:val="center"/>
              <w:rPr>
                <w:sz w:val="18"/>
                <w:szCs w:val="18"/>
              </w:rPr>
            </w:pPr>
            <w:r w:rsidRPr="006C1749">
              <w:rPr>
                <w:sz w:val="18"/>
                <w:szCs w:val="18"/>
              </w:rPr>
              <w:t>35,4</w:t>
            </w:r>
          </w:p>
        </w:tc>
        <w:tc>
          <w:tcPr>
            <w:tcW w:w="325" w:type="pct"/>
            <w:noWrap/>
            <w:vAlign w:val="center"/>
            <w:hideMark/>
          </w:tcPr>
          <w:p w14:paraId="6487BBED" w14:textId="77777777" w:rsidR="006A1560" w:rsidRPr="006C1749" w:rsidRDefault="006A1560" w:rsidP="00F0383E">
            <w:pPr>
              <w:jc w:val="center"/>
              <w:rPr>
                <w:sz w:val="18"/>
                <w:szCs w:val="18"/>
              </w:rPr>
            </w:pPr>
            <w:r w:rsidRPr="006C1749">
              <w:rPr>
                <w:sz w:val="18"/>
                <w:szCs w:val="18"/>
              </w:rPr>
              <w:t>48,1</w:t>
            </w:r>
          </w:p>
        </w:tc>
        <w:tc>
          <w:tcPr>
            <w:tcW w:w="325" w:type="pct"/>
            <w:noWrap/>
            <w:vAlign w:val="center"/>
            <w:hideMark/>
          </w:tcPr>
          <w:p w14:paraId="464150C2" w14:textId="77777777" w:rsidR="006A1560" w:rsidRPr="006C1749" w:rsidRDefault="006A1560" w:rsidP="00F0383E">
            <w:pPr>
              <w:jc w:val="center"/>
              <w:rPr>
                <w:sz w:val="18"/>
                <w:szCs w:val="18"/>
              </w:rPr>
            </w:pPr>
            <w:r w:rsidRPr="006C1749">
              <w:rPr>
                <w:sz w:val="18"/>
                <w:szCs w:val="18"/>
              </w:rPr>
              <w:t>0</w:t>
            </w:r>
            <w:r>
              <w:rPr>
                <w:sz w:val="18"/>
                <w:szCs w:val="18"/>
              </w:rPr>
              <w:t>,0</w:t>
            </w:r>
          </w:p>
        </w:tc>
        <w:tc>
          <w:tcPr>
            <w:tcW w:w="325" w:type="pct"/>
            <w:noWrap/>
            <w:vAlign w:val="center"/>
            <w:hideMark/>
          </w:tcPr>
          <w:p w14:paraId="52C3FE43" w14:textId="77777777" w:rsidR="006A1560" w:rsidRPr="006C1749" w:rsidRDefault="006A1560" w:rsidP="00F0383E">
            <w:pPr>
              <w:jc w:val="center"/>
              <w:rPr>
                <w:sz w:val="18"/>
                <w:szCs w:val="18"/>
              </w:rPr>
            </w:pPr>
            <w:r w:rsidRPr="006C1749">
              <w:rPr>
                <w:sz w:val="18"/>
                <w:szCs w:val="18"/>
              </w:rPr>
              <w:t>134,7</w:t>
            </w:r>
          </w:p>
        </w:tc>
        <w:tc>
          <w:tcPr>
            <w:tcW w:w="325" w:type="pct"/>
            <w:noWrap/>
            <w:vAlign w:val="center"/>
            <w:hideMark/>
          </w:tcPr>
          <w:p w14:paraId="43FE3DBC" w14:textId="77777777" w:rsidR="006A1560" w:rsidRPr="006C1749" w:rsidRDefault="006A1560" w:rsidP="00F0383E">
            <w:pPr>
              <w:jc w:val="center"/>
              <w:rPr>
                <w:sz w:val="18"/>
                <w:szCs w:val="18"/>
              </w:rPr>
            </w:pPr>
            <w:r w:rsidRPr="006C1749">
              <w:rPr>
                <w:sz w:val="18"/>
                <w:szCs w:val="18"/>
              </w:rPr>
              <w:t>92,4</w:t>
            </w:r>
          </w:p>
        </w:tc>
        <w:tc>
          <w:tcPr>
            <w:tcW w:w="325" w:type="pct"/>
            <w:noWrap/>
            <w:vAlign w:val="center"/>
            <w:hideMark/>
          </w:tcPr>
          <w:p w14:paraId="0B9336A2" w14:textId="77777777" w:rsidR="006A1560" w:rsidRPr="006C1749" w:rsidRDefault="006A1560" w:rsidP="00F0383E">
            <w:pPr>
              <w:jc w:val="center"/>
              <w:rPr>
                <w:sz w:val="18"/>
                <w:szCs w:val="18"/>
              </w:rPr>
            </w:pPr>
            <w:r w:rsidRPr="006C1749">
              <w:rPr>
                <w:sz w:val="18"/>
                <w:szCs w:val="18"/>
              </w:rPr>
              <w:t>42,9</w:t>
            </w:r>
          </w:p>
        </w:tc>
        <w:tc>
          <w:tcPr>
            <w:tcW w:w="278" w:type="pct"/>
            <w:noWrap/>
            <w:vAlign w:val="center"/>
            <w:hideMark/>
          </w:tcPr>
          <w:p w14:paraId="29A39675" w14:textId="77777777" w:rsidR="006A1560" w:rsidRPr="006C1749" w:rsidRDefault="006A1560" w:rsidP="00F0383E">
            <w:pPr>
              <w:jc w:val="center"/>
              <w:rPr>
                <w:sz w:val="18"/>
                <w:szCs w:val="18"/>
              </w:rPr>
            </w:pPr>
            <w:r w:rsidRPr="006C1749">
              <w:rPr>
                <w:sz w:val="18"/>
                <w:szCs w:val="18"/>
              </w:rPr>
              <w:t>69,1</w:t>
            </w:r>
          </w:p>
        </w:tc>
        <w:tc>
          <w:tcPr>
            <w:tcW w:w="325" w:type="pct"/>
            <w:noWrap/>
            <w:vAlign w:val="center"/>
            <w:hideMark/>
          </w:tcPr>
          <w:p w14:paraId="03CFC36D" w14:textId="77777777" w:rsidR="006A1560" w:rsidRPr="006C1749" w:rsidRDefault="006A1560" w:rsidP="00F0383E">
            <w:pPr>
              <w:jc w:val="center"/>
              <w:rPr>
                <w:sz w:val="18"/>
                <w:szCs w:val="18"/>
              </w:rPr>
            </w:pPr>
            <w:r w:rsidRPr="006C1749">
              <w:rPr>
                <w:sz w:val="18"/>
                <w:szCs w:val="18"/>
              </w:rPr>
              <w:t>87,3</w:t>
            </w:r>
          </w:p>
        </w:tc>
        <w:tc>
          <w:tcPr>
            <w:tcW w:w="325" w:type="pct"/>
            <w:noWrap/>
            <w:vAlign w:val="center"/>
            <w:hideMark/>
          </w:tcPr>
          <w:p w14:paraId="5488D38F" w14:textId="77777777" w:rsidR="006A1560" w:rsidRPr="006C1749" w:rsidRDefault="006A1560" w:rsidP="00F0383E">
            <w:pPr>
              <w:jc w:val="center"/>
              <w:rPr>
                <w:sz w:val="18"/>
                <w:szCs w:val="18"/>
              </w:rPr>
            </w:pPr>
            <w:r w:rsidRPr="006C1749">
              <w:rPr>
                <w:sz w:val="18"/>
                <w:szCs w:val="18"/>
              </w:rPr>
              <w:t>35,5</w:t>
            </w:r>
          </w:p>
        </w:tc>
        <w:tc>
          <w:tcPr>
            <w:tcW w:w="325" w:type="pct"/>
            <w:noWrap/>
            <w:vAlign w:val="center"/>
            <w:hideMark/>
          </w:tcPr>
          <w:p w14:paraId="2029002D" w14:textId="77777777" w:rsidR="006A1560" w:rsidRPr="006C1749" w:rsidRDefault="006A1560" w:rsidP="00F0383E">
            <w:pPr>
              <w:jc w:val="center"/>
              <w:rPr>
                <w:sz w:val="18"/>
                <w:szCs w:val="18"/>
              </w:rPr>
            </w:pPr>
            <w:r w:rsidRPr="006C1749">
              <w:rPr>
                <w:sz w:val="18"/>
                <w:szCs w:val="18"/>
              </w:rPr>
              <w:t>29,8</w:t>
            </w:r>
          </w:p>
        </w:tc>
        <w:tc>
          <w:tcPr>
            <w:tcW w:w="325" w:type="pct"/>
            <w:noWrap/>
            <w:vAlign w:val="center"/>
            <w:hideMark/>
          </w:tcPr>
          <w:p w14:paraId="5FF86F0D" w14:textId="77777777" w:rsidR="006A1560" w:rsidRPr="006C1749" w:rsidRDefault="006A1560" w:rsidP="00F0383E">
            <w:pPr>
              <w:jc w:val="center"/>
              <w:rPr>
                <w:sz w:val="18"/>
                <w:szCs w:val="18"/>
              </w:rPr>
            </w:pPr>
            <w:r w:rsidRPr="006C1749">
              <w:rPr>
                <w:sz w:val="18"/>
                <w:szCs w:val="18"/>
              </w:rPr>
              <w:t>21,2</w:t>
            </w:r>
          </w:p>
        </w:tc>
        <w:tc>
          <w:tcPr>
            <w:tcW w:w="398" w:type="pct"/>
            <w:noWrap/>
            <w:vAlign w:val="center"/>
            <w:hideMark/>
          </w:tcPr>
          <w:p w14:paraId="58C9221C" w14:textId="77777777" w:rsidR="006A1560" w:rsidRPr="006C1749" w:rsidRDefault="006A1560" w:rsidP="00F0383E">
            <w:pPr>
              <w:jc w:val="center"/>
              <w:rPr>
                <w:b/>
                <w:sz w:val="18"/>
                <w:szCs w:val="18"/>
              </w:rPr>
            </w:pPr>
            <w:r w:rsidRPr="006C1749">
              <w:rPr>
                <w:b/>
                <w:sz w:val="18"/>
                <w:szCs w:val="18"/>
              </w:rPr>
              <w:t>54,2</w:t>
            </w:r>
          </w:p>
        </w:tc>
        <w:tc>
          <w:tcPr>
            <w:tcW w:w="324" w:type="pct"/>
            <w:vAlign w:val="center"/>
          </w:tcPr>
          <w:p w14:paraId="372E6497" w14:textId="77777777" w:rsidR="006A1560" w:rsidRPr="006C1749" w:rsidRDefault="006A1560" w:rsidP="00F0383E">
            <w:pPr>
              <w:jc w:val="center"/>
              <w:rPr>
                <w:b/>
                <w:sz w:val="18"/>
                <w:szCs w:val="18"/>
              </w:rPr>
            </w:pPr>
            <w:r w:rsidRPr="006C1749">
              <w:rPr>
                <w:rFonts w:ascii="Calibri" w:hAnsi="Calibri"/>
                <w:color w:val="000000"/>
                <w:sz w:val="18"/>
                <w:szCs w:val="18"/>
              </w:rPr>
              <w:t>650,5</w:t>
            </w:r>
          </w:p>
        </w:tc>
      </w:tr>
      <w:tr w:rsidR="006A1560" w:rsidRPr="006C1749" w14:paraId="7C4CDB68" w14:textId="77777777" w:rsidTr="00F0383E">
        <w:trPr>
          <w:trHeight w:val="300"/>
          <w:jc w:val="center"/>
        </w:trPr>
        <w:tc>
          <w:tcPr>
            <w:tcW w:w="430" w:type="pct"/>
            <w:shd w:val="clear" w:color="auto" w:fill="92D050"/>
            <w:noWrap/>
            <w:vAlign w:val="center"/>
          </w:tcPr>
          <w:p w14:paraId="6696004E" w14:textId="77777777" w:rsidR="006A1560" w:rsidRPr="00732029" w:rsidRDefault="006A1560" w:rsidP="00F0383E">
            <w:pPr>
              <w:jc w:val="center"/>
              <w:rPr>
                <w:b/>
                <w:sz w:val="18"/>
                <w:szCs w:val="18"/>
              </w:rPr>
            </w:pPr>
            <w:r>
              <w:rPr>
                <w:b/>
                <w:sz w:val="18"/>
                <w:szCs w:val="18"/>
              </w:rPr>
              <w:t>Śr. m</w:t>
            </w:r>
            <w:r w:rsidRPr="00732029">
              <w:rPr>
                <w:b/>
                <w:sz w:val="18"/>
                <w:szCs w:val="18"/>
              </w:rPr>
              <w:t>-ca</w:t>
            </w:r>
          </w:p>
        </w:tc>
        <w:tc>
          <w:tcPr>
            <w:tcW w:w="325" w:type="pct"/>
            <w:noWrap/>
            <w:vAlign w:val="center"/>
          </w:tcPr>
          <w:p w14:paraId="23969DCF" w14:textId="77777777" w:rsidR="006A1560" w:rsidRPr="006C1749" w:rsidRDefault="006A1560" w:rsidP="00F0383E">
            <w:pPr>
              <w:jc w:val="center"/>
              <w:rPr>
                <w:b/>
                <w:sz w:val="18"/>
                <w:szCs w:val="18"/>
              </w:rPr>
            </w:pPr>
            <w:r w:rsidRPr="006C1749">
              <w:rPr>
                <w:b/>
                <w:sz w:val="18"/>
                <w:szCs w:val="18"/>
              </w:rPr>
              <w:t>39,28</w:t>
            </w:r>
          </w:p>
        </w:tc>
        <w:tc>
          <w:tcPr>
            <w:tcW w:w="325" w:type="pct"/>
            <w:noWrap/>
            <w:vAlign w:val="center"/>
          </w:tcPr>
          <w:p w14:paraId="6430D022" w14:textId="77777777" w:rsidR="006A1560" w:rsidRPr="006C1749" w:rsidRDefault="006A1560" w:rsidP="00F0383E">
            <w:pPr>
              <w:jc w:val="center"/>
              <w:rPr>
                <w:b/>
                <w:sz w:val="18"/>
                <w:szCs w:val="18"/>
              </w:rPr>
            </w:pPr>
            <w:r w:rsidRPr="006C1749">
              <w:rPr>
                <w:b/>
                <w:sz w:val="18"/>
                <w:szCs w:val="18"/>
              </w:rPr>
              <w:t>21,03</w:t>
            </w:r>
          </w:p>
        </w:tc>
        <w:tc>
          <w:tcPr>
            <w:tcW w:w="325" w:type="pct"/>
            <w:noWrap/>
            <w:vAlign w:val="center"/>
          </w:tcPr>
          <w:p w14:paraId="3FADA28F" w14:textId="77777777" w:rsidR="006A1560" w:rsidRPr="006C1749" w:rsidRDefault="006A1560" w:rsidP="00F0383E">
            <w:pPr>
              <w:jc w:val="center"/>
              <w:rPr>
                <w:b/>
                <w:sz w:val="18"/>
                <w:szCs w:val="18"/>
              </w:rPr>
            </w:pPr>
            <w:r w:rsidRPr="006C1749">
              <w:rPr>
                <w:b/>
                <w:sz w:val="18"/>
                <w:szCs w:val="18"/>
              </w:rPr>
              <w:t>34,75</w:t>
            </w:r>
          </w:p>
        </w:tc>
        <w:tc>
          <w:tcPr>
            <w:tcW w:w="325" w:type="pct"/>
            <w:noWrap/>
            <w:vAlign w:val="center"/>
          </w:tcPr>
          <w:p w14:paraId="03422B9C" w14:textId="77777777" w:rsidR="006A1560" w:rsidRPr="006C1749" w:rsidRDefault="006A1560" w:rsidP="00F0383E">
            <w:pPr>
              <w:jc w:val="center"/>
              <w:rPr>
                <w:b/>
                <w:sz w:val="18"/>
                <w:szCs w:val="18"/>
              </w:rPr>
            </w:pPr>
            <w:r w:rsidRPr="006C1749">
              <w:rPr>
                <w:b/>
                <w:sz w:val="18"/>
                <w:szCs w:val="18"/>
              </w:rPr>
              <w:t>32,91</w:t>
            </w:r>
          </w:p>
        </w:tc>
        <w:tc>
          <w:tcPr>
            <w:tcW w:w="325" w:type="pct"/>
            <w:noWrap/>
            <w:vAlign w:val="center"/>
          </w:tcPr>
          <w:p w14:paraId="1C8FA31E" w14:textId="77777777" w:rsidR="006A1560" w:rsidRPr="006C1749" w:rsidRDefault="006A1560" w:rsidP="00F0383E">
            <w:pPr>
              <w:jc w:val="center"/>
              <w:rPr>
                <w:b/>
                <w:sz w:val="18"/>
                <w:szCs w:val="18"/>
              </w:rPr>
            </w:pPr>
            <w:r w:rsidRPr="006C1749">
              <w:rPr>
                <w:b/>
                <w:sz w:val="18"/>
                <w:szCs w:val="18"/>
              </w:rPr>
              <w:t>47,56</w:t>
            </w:r>
          </w:p>
        </w:tc>
        <w:tc>
          <w:tcPr>
            <w:tcW w:w="325" w:type="pct"/>
            <w:noWrap/>
            <w:vAlign w:val="center"/>
          </w:tcPr>
          <w:p w14:paraId="4D716627" w14:textId="77777777" w:rsidR="006A1560" w:rsidRPr="006C1749" w:rsidRDefault="006A1560" w:rsidP="00F0383E">
            <w:pPr>
              <w:jc w:val="center"/>
              <w:rPr>
                <w:b/>
                <w:sz w:val="18"/>
                <w:szCs w:val="18"/>
              </w:rPr>
            </w:pPr>
            <w:r w:rsidRPr="006C1749">
              <w:rPr>
                <w:b/>
                <w:sz w:val="18"/>
                <w:szCs w:val="18"/>
              </w:rPr>
              <w:t>58,21</w:t>
            </w:r>
          </w:p>
        </w:tc>
        <w:tc>
          <w:tcPr>
            <w:tcW w:w="325" w:type="pct"/>
            <w:noWrap/>
            <w:vAlign w:val="center"/>
          </w:tcPr>
          <w:p w14:paraId="1268D61D" w14:textId="77777777" w:rsidR="006A1560" w:rsidRPr="006C1749" w:rsidRDefault="006A1560" w:rsidP="00F0383E">
            <w:pPr>
              <w:jc w:val="center"/>
              <w:rPr>
                <w:b/>
                <w:sz w:val="18"/>
                <w:szCs w:val="18"/>
              </w:rPr>
            </w:pPr>
            <w:r w:rsidRPr="006C1749">
              <w:rPr>
                <w:b/>
                <w:sz w:val="18"/>
                <w:szCs w:val="18"/>
              </w:rPr>
              <w:t>80,28</w:t>
            </w:r>
          </w:p>
        </w:tc>
        <w:tc>
          <w:tcPr>
            <w:tcW w:w="278" w:type="pct"/>
            <w:noWrap/>
            <w:vAlign w:val="center"/>
          </w:tcPr>
          <w:p w14:paraId="5AEAD83F" w14:textId="77777777" w:rsidR="006A1560" w:rsidRPr="006C1749" w:rsidRDefault="006A1560" w:rsidP="00F0383E">
            <w:pPr>
              <w:jc w:val="center"/>
              <w:rPr>
                <w:b/>
                <w:sz w:val="18"/>
                <w:szCs w:val="18"/>
              </w:rPr>
            </w:pPr>
            <w:r w:rsidRPr="006C1749">
              <w:rPr>
                <w:b/>
                <w:sz w:val="18"/>
                <w:szCs w:val="18"/>
              </w:rPr>
              <w:t>47,6</w:t>
            </w:r>
          </w:p>
        </w:tc>
        <w:tc>
          <w:tcPr>
            <w:tcW w:w="325" w:type="pct"/>
            <w:noWrap/>
            <w:vAlign w:val="center"/>
          </w:tcPr>
          <w:p w14:paraId="7E76CE30" w14:textId="77777777" w:rsidR="006A1560" w:rsidRPr="006C1749" w:rsidRDefault="006A1560" w:rsidP="00F0383E">
            <w:pPr>
              <w:jc w:val="center"/>
              <w:rPr>
                <w:b/>
                <w:sz w:val="18"/>
                <w:szCs w:val="18"/>
              </w:rPr>
            </w:pPr>
            <w:r w:rsidRPr="006C1749">
              <w:rPr>
                <w:b/>
                <w:sz w:val="18"/>
                <w:szCs w:val="18"/>
              </w:rPr>
              <w:t>78,55</w:t>
            </w:r>
          </w:p>
        </w:tc>
        <w:tc>
          <w:tcPr>
            <w:tcW w:w="325" w:type="pct"/>
            <w:noWrap/>
            <w:vAlign w:val="center"/>
          </w:tcPr>
          <w:p w14:paraId="2ED0F775" w14:textId="77777777" w:rsidR="006A1560" w:rsidRPr="006C1749" w:rsidRDefault="006A1560" w:rsidP="00F0383E">
            <w:pPr>
              <w:jc w:val="center"/>
              <w:rPr>
                <w:b/>
                <w:sz w:val="18"/>
                <w:szCs w:val="18"/>
              </w:rPr>
            </w:pPr>
            <w:r w:rsidRPr="006C1749">
              <w:rPr>
                <w:b/>
                <w:sz w:val="18"/>
                <w:szCs w:val="18"/>
              </w:rPr>
              <w:t>75,48</w:t>
            </w:r>
          </w:p>
        </w:tc>
        <w:tc>
          <w:tcPr>
            <w:tcW w:w="325" w:type="pct"/>
            <w:noWrap/>
            <w:vAlign w:val="center"/>
          </w:tcPr>
          <w:p w14:paraId="21B20C43" w14:textId="77777777" w:rsidR="006A1560" w:rsidRPr="006C1749" w:rsidRDefault="006A1560" w:rsidP="00F0383E">
            <w:pPr>
              <w:jc w:val="center"/>
              <w:rPr>
                <w:b/>
                <w:sz w:val="18"/>
                <w:szCs w:val="18"/>
              </w:rPr>
            </w:pPr>
            <w:r w:rsidRPr="006C1749">
              <w:rPr>
                <w:b/>
                <w:sz w:val="18"/>
                <w:szCs w:val="18"/>
              </w:rPr>
              <w:t>67,83</w:t>
            </w:r>
          </w:p>
        </w:tc>
        <w:tc>
          <w:tcPr>
            <w:tcW w:w="325" w:type="pct"/>
            <w:noWrap/>
            <w:vAlign w:val="center"/>
          </w:tcPr>
          <w:p w14:paraId="468D2820" w14:textId="77777777" w:rsidR="006A1560" w:rsidRPr="006C1749" w:rsidRDefault="006A1560" w:rsidP="00F0383E">
            <w:pPr>
              <w:jc w:val="center"/>
              <w:rPr>
                <w:b/>
                <w:sz w:val="18"/>
                <w:szCs w:val="18"/>
              </w:rPr>
            </w:pPr>
            <w:r w:rsidRPr="006C1749">
              <w:rPr>
                <w:b/>
                <w:sz w:val="18"/>
                <w:szCs w:val="18"/>
              </w:rPr>
              <w:t>54,08</w:t>
            </w:r>
          </w:p>
        </w:tc>
        <w:tc>
          <w:tcPr>
            <w:tcW w:w="398" w:type="pct"/>
            <w:noWrap/>
            <w:vAlign w:val="center"/>
          </w:tcPr>
          <w:p w14:paraId="30493FE6" w14:textId="77777777" w:rsidR="006A1560" w:rsidRPr="006C1749" w:rsidRDefault="006A1560" w:rsidP="00F0383E">
            <w:pPr>
              <w:jc w:val="center"/>
              <w:rPr>
                <w:sz w:val="18"/>
                <w:szCs w:val="18"/>
              </w:rPr>
            </w:pPr>
          </w:p>
        </w:tc>
        <w:tc>
          <w:tcPr>
            <w:tcW w:w="324" w:type="pct"/>
            <w:vAlign w:val="center"/>
          </w:tcPr>
          <w:p w14:paraId="05252018" w14:textId="77777777" w:rsidR="006A1560" w:rsidRPr="006C1749" w:rsidRDefault="006A1560" w:rsidP="00F0383E">
            <w:pPr>
              <w:jc w:val="center"/>
              <w:rPr>
                <w:sz w:val="18"/>
                <w:szCs w:val="18"/>
              </w:rPr>
            </w:pPr>
          </w:p>
        </w:tc>
      </w:tr>
    </w:tbl>
    <w:p w14:paraId="2B8A28CE" w14:textId="3EC65B8F" w:rsidR="006A1560" w:rsidRDefault="006A1560" w:rsidP="006A1560">
      <w:pPr>
        <w:jc w:val="center"/>
        <w:rPr>
          <w:i/>
          <w:sz w:val="20"/>
          <w:szCs w:val="20"/>
        </w:rPr>
      </w:pPr>
      <w:r w:rsidRPr="003F636E">
        <w:rPr>
          <w:i/>
          <w:sz w:val="20"/>
          <w:szCs w:val="20"/>
        </w:rPr>
        <w:t>źródło: IMGW Biuletyn Monitoringu Klimatu roczniki 2014-2019</w:t>
      </w:r>
    </w:p>
    <w:tbl>
      <w:tblPr>
        <w:tblStyle w:val="Tabela-Siatka1"/>
        <w:tblW w:w="5746" w:type="pct"/>
        <w:jc w:val="center"/>
        <w:tblLook w:val="04A0" w:firstRow="1" w:lastRow="0" w:firstColumn="1" w:lastColumn="0" w:noHBand="0" w:noVBand="1"/>
      </w:tblPr>
      <w:tblGrid>
        <w:gridCol w:w="1812"/>
        <w:gridCol w:w="726"/>
        <w:gridCol w:w="727"/>
        <w:gridCol w:w="727"/>
        <w:gridCol w:w="727"/>
        <w:gridCol w:w="727"/>
        <w:gridCol w:w="727"/>
        <w:gridCol w:w="727"/>
        <w:gridCol w:w="612"/>
        <w:gridCol w:w="727"/>
        <w:gridCol w:w="727"/>
        <w:gridCol w:w="727"/>
        <w:gridCol w:w="721"/>
      </w:tblGrid>
      <w:tr w:rsidR="006A1560" w:rsidRPr="006C1749" w14:paraId="1C2B842A" w14:textId="77777777" w:rsidTr="007C137E">
        <w:trPr>
          <w:trHeight w:val="300"/>
          <w:jc w:val="center"/>
        </w:trPr>
        <w:tc>
          <w:tcPr>
            <w:tcW w:w="870" w:type="pct"/>
            <w:noWrap/>
            <w:hideMark/>
          </w:tcPr>
          <w:p w14:paraId="6E4C42C5" w14:textId="77777777" w:rsidR="006A1560" w:rsidRPr="006C1749" w:rsidRDefault="006A1560" w:rsidP="00F0383E">
            <w:pPr>
              <w:rPr>
                <w:sz w:val="18"/>
                <w:szCs w:val="18"/>
              </w:rPr>
            </w:pPr>
            <w:r>
              <w:rPr>
                <w:sz w:val="18"/>
                <w:szCs w:val="18"/>
              </w:rPr>
              <w:t>Miesiąc</w:t>
            </w:r>
          </w:p>
        </w:tc>
        <w:tc>
          <w:tcPr>
            <w:tcW w:w="349" w:type="pct"/>
            <w:shd w:val="clear" w:color="auto" w:fill="92D050"/>
            <w:noWrap/>
            <w:vAlign w:val="center"/>
            <w:hideMark/>
          </w:tcPr>
          <w:p w14:paraId="7EAA7AE5" w14:textId="77777777" w:rsidR="006A1560" w:rsidRPr="006C1749" w:rsidRDefault="006A1560" w:rsidP="00F0383E">
            <w:pPr>
              <w:jc w:val="center"/>
              <w:rPr>
                <w:sz w:val="18"/>
                <w:szCs w:val="18"/>
              </w:rPr>
            </w:pPr>
            <w:r w:rsidRPr="006C1749">
              <w:rPr>
                <w:sz w:val="18"/>
                <w:szCs w:val="18"/>
              </w:rPr>
              <w:t>I</w:t>
            </w:r>
          </w:p>
        </w:tc>
        <w:tc>
          <w:tcPr>
            <w:tcW w:w="349" w:type="pct"/>
            <w:shd w:val="clear" w:color="auto" w:fill="92D050"/>
            <w:noWrap/>
            <w:vAlign w:val="center"/>
            <w:hideMark/>
          </w:tcPr>
          <w:p w14:paraId="6D39A2CB" w14:textId="77777777" w:rsidR="006A1560" w:rsidRPr="006C1749" w:rsidRDefault="006A1560" w:rsidP="00F0383E">
            <w:pPr>
              <w:jc w:val="center"/>
              <w:rPr>
                <w:sz w:val="18"/>
                <w:szCs w:val="18"/>
              </w:rPr>
            </w:pPr>
            <w:r w:rsidRPr="006C1749">
              <w:rPr>
                <w:sz w:val="18"/>
                <w:szCs w:val="18"/>
              </w:rPr>
              <w:t>II</w:t>
            </w:r>
          </w:p>
        </w:tc>
        <w:tc>
          <w:tcPr>
            <w:tcW w:w="349" w:type="pct"/>
            <w:shd w:val="clear" w:color="auto" w:fill="92D050"/>
            <w:noWrap/>
            <w:vAlign w:val="center"/>
            <w:hideMark/>
          </w:tcPr>
          <w:p w14:paraId="57272C79" w14:textId="77777777" w:rsidR="006A1560" w:rsidRPr="006C1749" w:rsidRDefault="006A1560" w:rsidP="00F0383E">
            <w:pPr>
              <w:jc w:val="center"/>
              <w:rPr>
                <w:sz w:val="18"/>
                <w:szCs w:val="18"/>
              </w:rPr>
            </w:pPr>
            <w:r w:rsidRPr="006C1749">
              <w:rPr>
                <w:sz w:val="18"/>
                <w:szCs w:val="18"/>
              </w:rPr>
              <w:t>III</w:t>
            </w:r>
          </w:p>
        </w:tc>
        <w:tc>
          <w:tcPr>
            <w:tcW w:w="349" w:type="pct"/>
            <w:shd w:val="clear" w:color="auto" w:fill="92D050"/>
            <w:noWrap/>
            <w:vAlign w:val="center"/>
            <w:hideMark/>
          </w:tcPr>
          <w:p w14:paraId="14E1F8FF" w14:textId="77777777" w:rsidR="006A1560" w:rsidRPr="006C1749" w:rsidRDefault="006A1560" w:rsidP="00F0383E">
            <w:pPr>
              <w:jc w:val="center"/>
              <w:rPr>
                <w:sz w:val="18"/>
                <w:szCs w:val="18"/>
              </w:rPr>
            </w:pPr>
            <w:r w:rsidRPr="006C1749">
              <w:rPr>
                <w:sz w:val="18"/>
                <w:szCs w:val="18"/>
              </w:rPr>
              <w:t>IV</w:t>
            </w:r>
          </w:p>
        </w:tc>
        <w:tc>
          <w:tcPr>
            <w:tcW w:w="349" w:type="pct"/>
            <w:shd w:val="clear" w:color="auto" w:fill="92D050"/>
            <w:noWrap/>
            <w:vAlign w:val="center"/>
            <w:hideMark/>
          </w:tcPr>
          <w:p w14:paraId="3C1A1CB6" w14:textId="77777777" w:rsidR="006A1560" w:rsidRPr="006C1749" w:rsidRDefault="006A1560" w:rsidP="00F0383E">
            <w:pPr>
              <w:jc w:val="center"/>
              <w:rPr>
                <w:sz w:val="18"/>
                <w:szCs w:val="18"/>
              </w:rPr>
            </w:pPr>
            <w:r w:rsidRPr="006C1749">
              <w:rPr>
                <w:sz w:val="18"/>
                <w:szCs w:val="18"/>
              </w:rPr>
              <w:t>V</w:t>
            </w:r>
          </w:p>
        </w:tc>
        <w:tc>
          <w:tcPr>
            <w:tcW w:w="349" w:type="pct"/>
            <w:shd w:val="clear" w:color="auto" w:fill="92D050"/>
            <w:noWrap/>
            <w:vAlign w:val="center"/>
            <w:hideMark/>
          </w:tcPr>
          <w:p w14:paraId="50CC564C" w14:textId="77777777" w:rsidR="006A1560" w:rsidRPr="006C1749" w:rsidRDefault="006A1560" w:rsidP="00F0383E">
            <w:pPr>
              <w:jc w:val="center"/>
              <w:rPr>
                <w:sz w:val="18"/>
                <w:szCs w:val="18"/>
              </w:rPr>
            </w:pPr>
            <w:r w:rsidRPr="006C1749">
              <w:rPr>
                <w:sz w:val="18"/>
                <w:szCs w:val="18"/>
              </w:rPr>
              <w:t>VI</w:t>
            </w:r>
          </w:p>
        </w:tc>
        <w:tc>
          <w:tcPr>
            <w:tcW w:w="349" w:type="pct"/>
            <w:shd w:val="clear" w:color="auto" w:fill="92D050"/>
            <w:noWrap/>
            <w:vAlign w:val="center"/>
            <w:hideMark/>
          </w:tcPr>
          <w:p w14:paraId="4A1775D4" w14:textId="77777777" w:rsidR="006A1560" w:rsidRPr="006C1749" w:rsidRDefault="006A1560" w:rsidP="00F0383E">
            <w:pPr>
              <w:jc w:val="center"/>
              <w:rPr>
                <w:sz w:val="18"/>
                <w:szCs w:val="18"/>
              </w:rPr>
            </w:pPr>
            <w:r w:rsidRPr="006C1749">
              <w:rPr>
                <w:sz w:val="18"/>
                <w:szCs w:val="18"/>
              </w:rPr>
              <w:t>VII</w:t>
            </w:r>
          </w:p>
        </w:tc>
        <w:tc>
          <w:tcPr>
            <w:tcW w:w="294" w:type="pct"/>
            <w:shd w:val="clear" w:color="auto" w:fill="92D050"/>
            <w:noWrap/>
            <w:vAlign w:val="center"/>
            <w:hideMark/>
          </w:tcPr>
          <w:p w14:paraId="01102627" w14:textId="77777777" w:rsidR="006A1560" w:rsidRPr="006C1749" w:rsidRDefault="006A1560" w:rsidP="00F0383E">
            <w:pPr>
              <w:jc w:val="center"/>
              <w:rPr>
                <w:sz w:val="18"/>
                <w:szCs w:val="18"/>
              </w:rPr>
            </w:pPr>
            <w:r w:rsidRPr="006C1749">
              <w:rPr>
                <w:sz w:val="18"/>
                <w:szCs w:val="18"/>
              </w:rPr>
              <w:t>VIII</w:t>
            </w:r>
          </w:p>
        </w:tc>
        <w:tc>
          <w:tcPr>
            <w:tcW w:w="349" w:type="pct"/>
            <w:shd w:val="clear" w:color="auto" w:fill="92D050"/>
            <w:noWrap/>
            <w:vAlign w:val="center"/>
            <w:hideMark/>
          </w:tcPr>
          <w:p w14:paraId="63945B5D" w14:textId="77777777" w:rsidR="006A1560" w:rsidRPr="006C1749" w:rsidRDefault="006A1560" w:rsidP="00F0383E">
            <w:pPr>
              <w:jc w:val="center"/>
              <w:rPr>
                <w:sz w:val="18"/>
                <w:szCs w:val="18"/>
              </w:rPr>
            </w:pPr>
            <w:r w:rsidRPr="006C1749">
              <w:rPr>
                <w:sz w:val="18"/>
                <w:szCs w:val="18"/>
              </w:rPr>
              <w:t>IX</w:t>
            </w:r>
          </w:p>
        </w:tc>
        <w:tc>
          <w:tcPr>
            <w:tcW w:w="349" w:type="pct"/>
            <w:shd w:val="clear" w:color="auto" w:fill="92D050"/>
            <w:noWrap/>
            <w:vAlign w:val="center"/>
            <w:hideMark/>
          </w:tcPr>
          <w:p w14:paraId="4D81FDA4" w14:textId="77777777" w:rsidR="006A1560" w:rsidRPr="006C1749" w:rsidRDefault="006A1560" w:rsidP="00F0383E">
            <w:pPr>
              <w:jc w:val="center"/>
              <w:rPr>
                <w:sz w:val="18"/>
                <w:szCs w:val="18"/>
              </w:rPr>
            </w:pPr>
            <w:r w:rsidRPr="006C1749">
              <w:rPr>
                <w:sz w:val="18"/>
                <w:szCs w:val="18"/>
              </w:rPr>
              <w:t>X</w:t>
            </w:r>
          </w:p>
        </w:tc>
        <w:tc>
          <w:tcPr>
            <w:tcW w:w="349" w:type="pct"/>
            <w:shd w:val="clear" w:color="auto" w:fill="92D050"/>
            <w:noWrap/>
            <w:vAlign w:val="center"/>
            <w:hideMark/>
          </w:tcPr>
          <w:p w14:paraId="0EEC4F61" w14:textId="77777777" w:rsidR="006A1560" w:rsidRPr="006C1749" w:rsidRDefault="006A1560" w:rsidP="00F0383E">
            <w:pPr>
              <w:jc w:val="center"/>
              <w:rPr>
                <w:sz w:val="18"/>
                <w:szCs w:val="18"/>
              </w:rPr>
            </w:pPr>
            <w:r w:rsidRPr="006C1749">
              <w:rPr>
                <w:sz w:val="18"/>
                <w:szCs w:val="18"/>
              </w:rPr>
              <w:t>XI</w:t>
            </w:r>
          </w:p>
        </w:tc>
        <w:tc>
          <w:tcPr>
            <w:tcW w:w="346" w:type="pct"/>
            <w:shd w:val="clear" w:color="auto" w:fill="92D050"/>
            <w:noWrap/>
            <w:vAlign w:val="center"/>
            <w:hideMark/>
          </w:tcPr>
          <w:p w14:paraId="1AADE4B4" w14:textId="77777777" w:rsidR="006A1560" w:rsidRPr="006C1749" w:rsidRDefault="006A1560" w:rsidP="00F0383E">
            <w:pPr>
              <w:jc w:val="center"/>
              <w:rPr>
                <w:sz w:val="18"/>
                <w:szCs w:val="18"/>
              </w:rPr>
            </w:pPr>
            <w:r w:rsidRPr="006C1749">
              <w:rPr>
                <w:sz w:val="18"/>
                <w:szCs w:val="18"/>
              </w:rPr>
              <w:t>XII</w:t>
            </w:r>
          </w:p>
        </w:tc>
      </w:tr>
      <w:tr w:rsidR="006A1560" w:rsidRPr="006C1749" w14:paraId="22D99388" w14:textId="77777777" w:rsidTr="007C137E">
        <w:trPr>
          <w:trHeight w:val="300"/>
          <w:jc w:val="center"/>
        </w:trPr>
        <w:tc>
          <w:tcPr>
            <w:tcW w:w="870" w:type="pct"/>
            <w:shd w:val="clear" w:color="auto" w:fill="92D050"/>
            <w:noWrap/>
            <w:vAlign w:val="center"/>
            <w:hideMark/>
          </w:tcPr>
          <w:p w14:paraId="4C7A10A1" w14:textId="0E838725" w:rsidR="006A1560" w:rsidRPr="006C1749" w:rsidRDefault="006A1560" w:rsidP="00036B4F">
            <w:pPr>
              <w:jc w:val="center"/>
              <w:rPr>
                <w:sz w:val="18"/>
                <w:szCs w:val="18"/>
              </w:rPr>
            </w:pPr>
            <w:r>
              <w:rPr>
                <w:sz w:val="18"/>
                <w:szCs w:val="18"/>
              </w:rPr>
              <w:t xml:space="preserve">Śr. </w:t>
            </w:r>
            <w:r w:rsidR="00036B4F">
              <w:rPr>
                <w:sz w:val="18"/>
                <w:szCs w:val="18"/>
              </w:rPr>
              <w:t>i</w:t>
            </w:r>
            <w:r>
              <w:rPr>
                <w:sz w:val="18"/>
                <w:szCs w:val="18"/>
              </w:rPr>
              <w:t>lość opadów 2019</w:t>
            </w:r>
          </w:p>
        </w:tc>
        <w:tc>
          <w:tcPr>
            <w:tcW w:w="349" w:type="pct"/>
            <w:noWrap/>
            <w:vAlign w:val="center"/>
            <w:hideMark/>
          </w:tcPr>
          <w:p w14:paraId="01DCD45F" w14:textId="77777777" w:rsidR="006A1560" w:rsidRPr="006C1749" w:rsidRDefault="006A1560" w:rsidP="00F0383E">
            <w:pPr>
              <w:jc w:val="center"/>
              <w:rPr>
                <w:sz w:val="18"/>
                <w:szCs w:val="18"/>
              </w:rPr>
            </w:pPr>
            <w:r>
              <w:rPr>
                <w:sz w:val="18"/>
                <w:szCs w:val="18"/>
              </w:rPr>
              <w:t>21</w:t>
            </w:r>
          </w:p>
        </w:tc>
        <w:tc>
          <w:tcPr>
            <w:tcW w:w="349" w:type="pct"/>
            <w:noWrap/>
            <w:vAlign w:val="center"/>
            <w:hideMark/>
          </w:tcPr>
          <w:p w14:paraId="0FCBF8DC" w14:textId="77777777" w:rsidR="006A1560" w:rsidRPr="006C1749" w:rsidRDefault="006A1560" w:rsidP="00F0383E">
            <w:pPr>
              <w:jc w:val="center"/>
              <w:rPr>
                <w:sz w:val="18"/>
                <w:szCs w:val="18"/>
              </w:rPr>
            </w:pPr>
            <w:r>
              <w:rPr>
                <w:sz w:val="18"/>
                <w:szCs w:val="18"/>
              </w:rPr>
              <w:t>20</w:t>
            </w:r>
          </w:p>
        </w:tc>
        <w:tc>
          <w:tcPr>
            <w:tcW w:w="349" w:type="pct"/>
            <w:noWrap/>
            <w:vAlign w:val="center"/>
            <w:hideMark/>
          </w:tcPr>
          <w:p w14:paraId="1F16DA2E" w14:textId="77777777" w:rsidR="006A1560" w:rsidRPr="006C1749" w:rsidRDefault="006A1560" w:rsidP="00F0383E">
            <w:pPr>
              <w:jc w:val="center"/>
              <w:rPr>
                <w:sz w:val="18"/>
                <w:szCs w:val="18"/>
              </w:rPr>
            </w:pPr>
            <w:r>
              <w:rPr>
                <w:sz w:val="18"/>
                <w:szCs w:val="18"/>
              </w:rPr>
              <w:t>23</w:t>
            </w:r>
          </w:p>
        </w:tc>
        <w:tc>
          <w:tcPr>
            <w:tcW w:w="349" w:type="pct"/>
            <w:noWrap/>
            <w:vAlign w:val="center"/>
            <w:hideMark/>
          </w:tcPr>
          <w:p w14:paraId="4ABCE16A" w14:textId="77777777" w:rsidR="006A1560" w:rsidRPr="006C1749" w:rsidRDefault="006A1560" w:rsidP="00F0383E">
            <w:pPr>
              <w:jc w:val="center"/>
              <w:rPr>
                <w:sz w:val="18"/>
                <w:szCs w:val="18"/>
              </w:rPr>
            </w:pPr>
            <w:r>
              <w:rPr>
                <w:sz w:val="18"/>
                <w:szCs w:val="18"/>
              </w:rPr>
              <w:t>15</w:t>
            </w:r>
          </w:p>
        </w:tc>
        <w:tc>
          <w:tcPr>
            <w:tcW w:w="349" w:type="pct"/>
            <w:noWrap/>
            <w:vAlign w:val="center"/>
            <w:hideMark/>
          </w:tcPr>
          <w:p w14:paraId="4B207D05" w14:textId="77777777" w:rsidR="006A1560" w:rsidRPr="006C1749" w:rsidRDefault="006A1560" w:rsidP="00F0383E">
            <w:pPr>
              <w:jc w:val="center"/>
              <w:rPr>
                <w:sz w:val="18"/>
                <w:szCs w:val="18"/>
              </w:rPr>
            </w:pPr>
            <w:r>
              <w:rPr>
                <w:sz w:val="18"/>
                <w:szCs w:val="18"/>
              </w:rPr>
              <w:t>58</w:t>
            </w:r>
          </w:p>
        </w:tc>
        <w:tc>
          <w:tcPr>
            <w:tcW w:w="349" w:type="pct"/>
            <w:noWrap/>
            <w:vAlign w:val="center"/>
            <w:hideMark/>
          </w:tcPr>
          <w:p w14:paraId="3868F6AB" w14:textId="77777777" w:rsidR="006A1560" w:rsidRPr="006C1749" w:rsidRDefault="006A1560" w:rsidP="00F0383E">
            <w:pPr>
              <w:jc w:val="center"/>
              <w:rPr>
                <w:sz w:val="18"/>
                <w:szCs w:val="18"/>
              </w:rPr>
            </w:pPr>
            <w:r>
              <w:rPr>
                <w:sz w:val="18"/>
                <w:szCs w:val="18"/>
              </w:rPr>
              <w:t>70</w:t>
            </w:r>
          </w:p>
        </w:tc>
        <w:tc>
          <w:tcPr>
            <w:tcW w:w="349" w:type="pct"/>
            <w:noWrap/>
            <w:vAlign w:val="center"/>
            <w:hideMark/>
          </w:tcPr>
          <w:p w14:paraId="2DCBCD66" w14:textId="77777777" w:rsidR="006A1560" w:rsidRPr="006C1749" w:rsidRDefault="006A1560" w:rsidP="00F0383E">
            <w:pPr>
              <w:jc w:val="center"/>
              <w:rPr>
                <w:sz w:val="18"/>
                <w:szCs w:val="18"/>
              </w:rPr>
            </w:pPr>
            <w:r>
              <w:rPr>
                <w:sz w:val="18"/>
                <w:szCs w:val="18"/>
              </w:rPr>
              <w:t>68</w:t>
            </w:r>
          </w:p>
        </w:tc>
        <w:tc>
          <w:tcPr>
            <w:tcW w:w="294" w:type="pct"/>
            <w:noWrap/>
            <w:vAlign w:val="center"/>
            <w:hideMark/>
          </w:tcPr>
          <w:p w14:paraId="7E937C45" w14:textId="77777777" w:rsidR="006A1560" w:rsidRPr="006C1749" w:rsidRDefault="006A1560" w:rsidP="00F0383E">
            <w:pPr>
              <w:jc w:val="center"/>
              <w:rPr>
                <w:sz w:val="18"/>
                <w:szCs w:val="18"/>
              </w:rPr>
            </w:pPr>
            <w:r>
              <w:rPr>
                <w:sz w:val="18"/>
                <w:szCs w:val="18"/>
              </w:rPr>
              <w:t>61</w:t>
            </w:r>
          </w:p>
        </w:tc>
        <w:tc>
          <w:tcPr>
            <w:tcW w:w="349" w:type="pct"/>
            <w:noWrap/>
            <w:vAlign w:val="center"/>
            <w:hideMark/>
          </w:tcPr>
          <w:p w14:paraId="7B13686F" w14:textId="77777777" w:rsidR="006A1560" w:rsidRPr="006C1749" w:rsidRDefault="006A1560" w:rsidP="00F0383E">
            <w:pPr>
              <w:jc w:val="center"/>
              <w:rPr>
                <w:sz w:val="18"/>
                <w:szCs w:val="18"/>
              </w:rPr>
            </w:pPr>
            <w:r>
              <w:rPr>
                <w:sz w:val="18"/>
                <w:szCs w:val="18"/>
              </w:rPr>
              <w:t>42</w:t>
            </w:r>
          </w:p>
        </w:tc>
        <w:tc>
          <w:tcPr>
            <w:tcW w:w="349" w:type="pct"/>
            <w:noWrap/>
            <w:vAlign w:val="center"/>
            <w:hideMark/>
          </w:tcPr>
          <w:p w14:paraId="329A76D1" w14:textId="77777777" w:rsidR="006A1560" w:rsidRPr="006C1749" w:rsidRDefault="006A1560" w:rsidP="00F0383E">
            <w:pPr>
              <w:jc w:val="center"/>
              <w:rPr>
                <w:sz w:val="18"/>
                <w:szCs w:val="18"/>
              </w:rPr>
            </w:pPr>
            <w:r>
              <w:rPr>
                <w:sz w:val="18"/>
                <w:szCs w:val="18"/>
              </w:rPr>
              <w:t>35</w:t>
            </w:r>
          </w:p>
        </w:tc>
        <w:tc>
          <w:tcPr>
            <w:tcW w:w="349" w:type="pct"/>
            <w:noWrap/>
            <w:vAlign w:val="center"/>
            <w:hideMark/>
          </w:tcPr>
          <w:p w14:paraId="6ACCF994" w14:textId="77777777" w:rsidR="006A1560" w:rsidRPr="006C1749" w:rsidRDefault="006A1560" w:rsidP="00F0383E">
            <w:pPr>
              <w:jc w:val="center"/>
              <w:rPr>
                <w:sz w:val="18"/>
                <w:szCs w:val="18"/>
              </w:rPr>
            </w:pPr>
            <w:r>
              <w:rPr>
                <w:sz w:val="18"/>
                <w:szCs w:val="18"/>
              </w:rPr>
              <w:t>41</w:t>
            </w:r>
          </w:p>
        </w:tc>
        <w:tc>
          <w:tcPr>
            <w:tcW w:w="346" w:type="pct"/>
            <w:noWrap/>
            <w:vAlign w:val="center"/>
            <w:hideMark/>
          </w:tcPr>
          <w:p w14:paraId="548F91CF" w14:textId="77777777" w:rsidR="006A1560" w:rsidRPr="006C1749" w:rsidRDefault="006A1560" w:rsidP="00F0383E">
            <w:pPr>
              <w:jc w:val="center"/>
              <w:rPr>
                <w:sz w:val="18"/>
                <w:szCs w:val="18"/>
              </w:rPr>
            </w:pPr>
            <w:r>
              <w:rPr>
                <w:sz w:val="18"/>
                <w:szCs w:val="18"/>
              </w:rPr>
              <w:t>32</w:t>
            </w:r>
          </w:p>
        </w:tc>
      </w:tr>
    </w:tbl>
    <w:p w14:paraId="0FFDA060" w14:textId="77777777" w:rsidR="006A1560" w:rsidRPr="005C6304" w:rsidRDefault="006A1560" w:rsidP="006A1560">
      <w:pPr>
        <w:jc w:val="center"/>
        <w:rPr>
          <w:i/>
          <w:sz w:val="20"/>
          <w:szCs w:val="20"/>
        </w:rPr>
      </w:pPr>
      <w:r>
        <w:rPr>
          <w:i/>
          <w:sz w:val="20"/>
          <w:szCs w:val="20"/>
        </w:rPr>
        <w:t>ź</w:t>
      </w:r>
      <w:r w:rsidRPr="005C6304">
        <w:rPr>
          <w:i/>
          <w:sz w:val="20"/>
          <w:szCs w:val="20"/>
        </w:rPr>
        <w:t>ródło: IMGiW – dane dla województwa warmińsko-mazurskiego</w:t>
      </w:r>
    </w:p>
    <w:p w14:paraId="0FFE3FCC" w14:textId="77777777" w:rsidR="006A1560" w:rsidRDefault="006A1560" w:rsidP="006A1560">
      <w:pPr>
        <w:jc w:val="both"/>
      </w:pPr>
    </w:p>
    <w:p w14:paraId="27E21C13" w14:textId="77777777" w:rsidR="006A1560" w:rsidRDefault="006A1560" w:rsidP="006A1560">
      <w:pPr>
        <w:jc w:val="both"/>
      </w:pPr>
      <w:r>
        <w:t>Największą ilość opadów odnotowano w roku 2017 (średnia roczna suma opadów 840,8 mm), najniższą natomiast w roku 2014 ze średnią roczną 421,0 mm. W badanym okresie miesiącem z największą sumą opadów jest lipiec, zaś luty - z najniższą.</w:t>
      </w:r>
    </w:p>
    <w:p w14:paraId="645814E8" w14:textId="1FADF135" w:rsidR="006A1560" w:rsidRDefault="006A1560" w:rsidP="006A1560">
      <w:pPr>
        <w:jc w:val="both"/>
      </w:pPr>
      <w:r>
        <w:t xml:space="preserve">Suma opadów zanotowana w roku 2019 na stacji w Olsztynie (672,2 mm) wskazuje, że jest ona jedną z wyższych spośród zaobserwowanych na stacjach omawianych miast Polski Wschodniej. </w:t>
      </w:r>
      <w:r>
        <w:br/>
        <w:t>W analizowany</w:t>
      </w:r>
      <w:r w:rsidR="0084055A">
        <w:t>m</w:t>
      </w:r>
      <w:r>
        <w:t xml:space="preserve"> roku 2019 najniższą średnioroczną sumę opadów zarejestrowano w Rzeszowie (518,0 mm), natomiast największą – w Kielcach (693,9 mm). </w:t>
      </w:r>
    </w:p>
    <w:p w14:paraId="2226E4AC" w14:textId="77777777" w:rsidR="006A1560" w:rsidRDefault="006A1560" w:rsidP="006A1560">
      <w:pPr>
        <w:spacing w:after="0"/>
        <w:jc w:val="center"/>
      </w:pPr>
      <w:r>
        <w:rPr>
          <w:noProof/>
          <w:lang w:eastAsia="pl-PL"/>
        </w:rPr>
        <w:drawing>
          <wp:inline distT="0" distB="0" distL="0" distR="0" wp14:anchorId="6D447229" wp14:editId="507A46A9">
            <wp:extent cx="4274288" cy="2275367"/>
            <wp:effectExtent l="0" t="0" r="12065" b="10795"/>
            <wp:docPr id="65" name="Wykres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91F4C89" w14:textId="77777777" w:rsidR="006A1560" w:rsidRDefault="006A1560" w:rsidP="006A1560">
      <w:pPr>
        <w:spacing w:after="0"/>
        <w:jc w:val="center"/>
      </w:pPr>
      <w:r>
        <w:rPr>
          <w:i/>
          <w:sz w:val="20"/>
          <w:szCs w:val="20"/>
        </w:rPr>
        <w:t>ź</w:t>
      </w:r>
      <w:r w:rsidRPr="00DB1EDA">
        <w:rPr>
          <w:i/>
          <w:sz w:val="20"/>
          <w:szCs w:val="20"/>
        </w:rPr>
        <w:t>ródło: opracowanie własne na podstawie danych IMGW PIB</w:t>
      </w:r>
    </w:p>
    <w:p w14:paraId="50C80A7F" w14:textId="77777777" w:rsidR="006A1560" w:rsidRDefault="006A1560" w:rsidP="006A1560">
      <w:pPr>
        <w:jc w:val="both"/>
      </w:pPr>
    </w:p>
    <w:p w14:paraId="60F40452" w14:textId="7310EAD1" w:rsidR="00780AAA" w:rsidRPr="00780AAA" w:rsidRDefault="00780AAA" w:rsidP="00780AAA">
      <w:pPr>
        <w:jc w:val="both"/>
        <w:rPr>
          <w:lang w:val="pl"/>
        </w:rPr>
      </w:pPr>
      <w:r w:rsidRPr="00780AAA">
        <w:rPr>
          <w:lang w:val="pl"/>
        </w:rPr>
        <w:t xml:space="preserve">Oba scenariusze </w:t>
      </w:r>
      <w:r w:rsidR="00F15B91">
        <w:rPr>
          <w:lang w:val="pl"/>
        </w:rPr>
        <w:t>klimatyczne dla Olsztyna</w:t>
      </w:r>
      <w:r w:rsidRPr="00780AAA">
        <w:rPr>
          <w:lang w:val="pl"/>
        </w:rPr>
        <w:t xml:space="preserve"> zakładają, że w perspektywie 2030 roku suma </w:t>
      </w:r>
      <w:r w:rsidR="00F15B91">
        <w:rPr>
          <w:lang w:val="pl"/>
        </w:rPr>
        <w:t>opadów</w:t>
      </w:r>
      <w:r w:rsidRPr="00780AAA">
        <w:rPr>
          <w:lang w:val="pl"/>
        </w:rPr>
        <w:t xml:space="preserve"> będzie rosła. Na przestrzeni lat zaobserwowano malejące opady w czerwcu i rosnące w lipcu.  Zaobserwowano również wzrost 2-dniowej sumy opadów</w:t>
      </w:r>
      <w:r w:rsidR="00C1515D">
        <w:rPr>
          <w:lang w:val="pl"/>
        </w:rPr>
        <w:t>.</w:t>
      </w:r>
      <w:r w:rsidRPr="00780AAA">
        <w:rPr>
          <w:lang w:val="pl"/>
        </w:rPr>
        <w:t xml:space="preserve"> Największa ich suma przypadła na rok 2008, wówczas zanotowano około 60 mm opadu atmosferycznego i prognozuje się, że tendencja wzrostowa będzie się utrzymywać. Również 5-dniowa suma opadów ulegała zmianom i zmniejszała się na przestrzeni czasu</w:t>
      </w:r>
      <w:r w:rsidR="00303B34">
        <w:rPr>
          <w:rStyle w:val="Odwoanieprzypisudolnego"/>
          <w:lang w:val="pl"/>
        </w:rPr>
        <w:footnoteReference w:id="42"/>
      </w:r>
      <w:r w:rsidRPr="00780AAA">
        <w:rPr>
          <w:lang w:val="pl"/>
        </w:rPr>
        <w:t>.</w:t>
      </w:r>
      <w:bookmarkStart w:id="125" w:name="_hvq1678k8wpe" w:colFirst="0" w:colLast="0"/>
      <w:bookmarkEnd w:id="125"/>
    </w:p>
    <w:p w14:paraId="3D68FD73" w14:textId="03BDF14B" w:rsidR="00EF1C53" w:rsidRPr="00B77310" w:rsidRDefault="00EF1C53" w:rsidP="00EF1C53">
      <w:pPr>
        <w:rPr>
          <w:i/>
          <w:color w:val="2E74B5" w:themeColor="accent1" w:themeShade="BF"/>
        </w:rPr>
      </w:pPr>
      <w:bookmarkStart w:id="126" w:name="_4kvxljoa4o4y" w:colFirst="0" w:colLast="0"/>
      <w:bookmarkStart w:id="127" w:name="_th790soj0jek" w:colFirst="0" w:colLast="0"/>
      <w:bookmarkStart w:id="128" w:name="_1y810tw" w:colFirst="0" w:colLast="0"/>
      <w:bookmarkStart w:id="129" w:name="_xbitmvjmnb65" w:colFirst="0" w:colLast="0"/>
      <w:bookmarkStart w:id="130" w:name="_jvecvb9o98sb" w:colFirst="0" w:colLast="0"/>
      <w:bookmarkStart w:id="131" w:name="_4k019hm7eibu" w:colFirst="0" w:colLast="0"/>
      <w:bookmarkStart w:id="132" w:name="_1o0tzy3pbxi5" w:colFirst="0" w:colLast="0"/>
      <w:bookmarkStart w:id="133" w:name="_nzl1b07pb7w6" w:colFirst="0" w:colLast="0"/>
      <w:bookmarkStart w:id="134" w:name="_pgxpml6ey601" w:colFirst="0" w:colLast="0"/>
      <w:bookmarkStart w:id="135" w:name="_iaq5kwsppg1" w:colFirst="0" w:colLast="0"/>
      <w:bookmarkStart w:id="136" w:name="_56m974b9q3w6" w:colFirst="0" w:colLast="0"/>
      <w:bookmarkStart w:id="137" w:name="_b8icx4llrrks" w:colFirst="0" w:colLast="0"/>
      <w:bookmarkEnd w:id="126"/>
      <w:bookmarkEnd w:id="127"/>
      <w:bookmarkEnd w:id="128"/>
      <w:bookmarkEnd w:id="129"/>
      <w:bookmarkEnd w:id="130"/>
      <w:bookmarkEnd w:id="131"/>
      <w:bookmarkEnd w:id="132"/>
      <w:bookmarkEnd w:id="133"/>
      <w:bookmarkEnd w:id="134"/>
      <w:bookmarkEnd w:id="135"/>
      <w:bookmarkEnd w:id="136"/>
      <w:bookmarkEnd w:id="137"/>
      <w:r>
        <w:rPr>
          <w:i/>
          <w:color w:val="2E74B5" w:themeColor="accent1" w:themeShade="BF"/>
        </w:rPr>
        <w:t>Wpływ zmian klimatu</w:t>
      </w:r>
    </w:p>
    <w:p w14:paraId="2DE852E5" w14:textId="52ED8062" w:rsidR="006A1560" w:rsidRDefault="00EF1C53" w:rsidP="006A1560">
      <w:pPr>
        <w:jc w:val="both"/>
      </w:pPr>
      <w:r w:rsidRPr="00EF1C53">
        <w:t xml:space="preserve">Zgodnie </w:t>
      </w:r>
      <w:r w:rsidR="00C77078">
        <w:t>ze</w:t>
      </w:r>
      <w:r w:rsidRPr="00EF1C53">
        <w:t xml:space="preserve"> scenariuszami</w:t>
      </w:r>
      <w:r w:rsidR="00C77078">
        <w:t xml:space="preserve"> </w:t>
      </w:r>
      <w:r w:rsidRPr="00EF1C53">
        <w:t xml:space="preserve">w perspektywie 2030 i 2050 roku na obszarze Olsztyna ulegnie zwiększeniu liczba tzw. nocy tropikalnych, czyli dni z temperaturą minimalną powyżej 20°C. Szacuje się, że </w:t>
      </w:r>
      <w:r w:rsidR="00EC029F">
        <w:br/>
      </w:r>
      <w:r w:rsidRPr="00EF1C53">
        <w:t xml:space="preserve">w perspektywie do 2030 roku będzie tych nocy o 75% więcej. Na obszarze miasta również wzrośnie </w:t>
      </w:r>
      <w:r w:rsidR="00EC029F">
        <w:br/>
      </w:r>
      <w:r w:rsidRPr="00EF1C53">
        <w:t xml:space="preserve">o prawie 30% występowanie fal upałów oraz liczba dni z temperaturami powyżej 30°C. Natomiast </w:t>
      </w:r>
      <w:r w:rsidR="00EC029F">
        <w:br/>
      </w:r>
      <w:r w:rsidRPr="00EF1C53">
        <w:lastRenderedPageBreak/>
        <w:t xml:space="preserve">o niespełna 15% zmniejszy się liczba dni z temperaturą poniżej -10°C, a </w:t>
      </w:r>
      <w:r w:rsidR="0050072D">
        <w:t>liczba</w:t>
      </w:r>
      <w:r w:rsidRPr="00EF1C53">
        <w:t xml:space="preserve"> fal chłodu będzie utrzymywać się na niezmienionym poziomie. Spodziewany jest również ponad 20-procentowy wzrost intensywnych opadów, co doprowadzi do 5-procentowego rocznego wzrostu opadów</w:t>
      </w:r>
      <w:r w:rsidR="00C77078">
        <w:rPr>
          <w:rStyle w:val="Odwoanieprzypisudolnego"/>
        </w:rPr>
        <w:footnoteReference w:id="43"/>
      </w:r>
      <w:r w:rsidRPr="00EF1C53">
        <w:t>.</w:t>
      </w:r>
    </w:p>
    <w:p w14:paraId="16454C5C" w14:textId="7C61D8B7" w:rsidR="003E6B27" w:rsidRDefault="00EF1C53" w:rsidP="00F8743E">
      <w:pPr>
        <w:jc w:val="both"/>
        <w:rPr>
          <w:lang w:val="pl"/>
        </w:rPr>
      </w:pPr>
      <w:bookmarkStart w:id="138" w:name="_xtwx26di2cic" w:colFirst="0" w:colLast="0"/>
      <w:bookmarkStart w:id="139" w:name="_65mb74jm5oju" w:colFirst="0" w:colLast="0"/>
      <w:bookmarkStart w:id="140" w:name="_ifkeu75hbfqv" w:colFirst="0" w:colLast="0"/>
      <w:bookmarkStart w:id="141" w:name="_11bhwcaxsaij" w:colFirst="0" w:colLast="0"/>
      <w:bookmarkStart w:id="142" w:name="_ux2l1awimz67" w:colFirst="0" w:colLast="0"/>
      <w:bookmarkStart w:id="143" w:name="_s0qhgm87zdc2" w:colFirst="0" w:colLast="0"/>
      <w:bookmarkStart w:id="144" w:name="_cb9st1cxhn3t" w:colFirst="0" w:colLast="0"/>
      <w:bookmarkEnd w:id="138"/>
      <w:bookmarkEnd w:id="139"/>
      <w:bookmarkEnd w:id="140"/>
      <w:bookmarkEnd w:id="141"/>
      <w:bookmarkEnd w:id="142"/>
      <w:bookmarkEnd w:id="143"/>
      <w:bookmarkEnd w:id="144"/>
      <w:r w:rsidRPr="00EF1C53">
        <w:rPr>
          <w:lang w:val="pl"/>
        </w:rPr>
        <w:t>Sektory najbardziej dotknięte zmianami klimatu w Olsztynie to</w:t>
      </w:r>
      <w:r w:rsidR="00D52117">
        <w:rPr>
          <w:lang w:val="pl"/>
        </w:rPr>
        <w:t>:</w:t>
      </w:r>
      <w:r w:rsidRPr="00EF1C53">
        <w:rPr>
          <w:lang w:val="pl"/>
        </w:rPr>
        <w:t xml:space="preserve"> zdrowie publiczne i energetyk</w:t>
      </w:r>
      <w:r w:rsidR="0050072D">
        <w:rPr>
          <w:lang w:val="pl"/>
        </w:rPr>
        <w:t>a</w:t>
      </w:r>
      <w:r w:rsidRPr="00EF1C53">
        <w:rPr>
          <w:lang w:val="pl"/>
        </w:rPr>
        <w:t xml:space="preserve">, gospodarka </w:t>
      </w:r>
      <w:r w:rsidRPr="00136799">
        <w:rPr>
          <w:lang w:val="pl"/>
        </w:rPr>
        <w:t>wodna i bioróżnorodność, transport, a także turystyka i dziedzictwo kulturowe</w:t>
      </w:r>
      <w:r w:rsidR="00342B74">
        <w:rPr>
          <w:lang w:val="pl"/>
        </w:rPr>
        <w:t xml:space="preserve"> (</w:t>
      </w:r>
      <w:r w:rsidR="00342B74">
        <w:rPr>
          <w:lang w:val="pl"/>
        </w:rPr>
        <w:fldChar w:fldCharType="begin"/>
      </w:r>
      <w:r w:rsidR="00342B74">
        <w:rPr>
          <w:lang w:val="pl"/>
        </w:rPr>
        <w:instrText xml:space="preserve"> REF _Ref70069507 \h </w:instrText>
      </w:r>
      <w:r w:rsidR="00342B74">
        <w:rPr>
          <w:lang w:val="pl"/>
        </w:rPr>
      </w:r>
      <w:r w:rsidR="00342B74">
        <w:rPr>
          <w:lang w:val="pl"/>
        </w:rPr>
        <w:fldChar w:fldCharType="separate"/>
      </w:r>
      <w:r w:rsidR="00AD58C3" w:rsidRPr="00EC029F">
        <w:t xml:space="preserve">Tabela </w:t>
      </w:r>
      <w:r w:rsidR="00AD58C3">
        <w:rPr>
          <w:noProof/>
        </w:rPr>
        <w:t>17</w:t>
      </w:r>
      <w:r w:rsidR="00342B74">
        <w:rPr>
          <w:lang w:val="pl"/>
        </w:rPr>
        <w:fldChar w:fldCharType="end"/>
      </w:r>
      <w:r w:rsidR="00342B74">
        <w:rPr>
          <w:lang w:val="pl"/>
        </w:rPr>
        <w:t>)</w:t>
      </w:r>
      <w:r w:rsidRPr="00136799">
        <w:rPr>
          <w:lang w:val="pl"/>
        </w:rPr>
        <w:t xml:space="preserve">. </w:t>
      </w:r>
      <w:r w:rsidR="00F8743E">
        <w:rPr>
          <w:lang w:val="pl"/>
        </w:rPr>
        <w:t>Ich podatność na zmiany klimatu i zjawiska pogodowe jest zróżnicowana, także w zależności od części miasta.</w:t>
      </w:r>
    </w:p>
    <w:p w14:paraId="3DD7F86A" w14:textId="04E33138" w:rsidR="007940BD" w:rsidRPr="00EC029F" w:rsidRDefault="007940BD" w:rsidP="00EC029F">
      <w:pPr>
        <w:pStyle w:val="Legenda"/>
        <w:rPr>
          <w:sz w:val="22"/>
          <w:szCs w:val="22"/>
          <w:lang w:val="pl"/>
        </w:rPr>
      </w:pPr>
      <w:r>
        <w:rPr>
          <w:lang w:val="pl"/>
        </w:rPr>
        <w:br/>
      </w:r>
      <w:bookmarkStart w:id="145" w:name="_Ref70069507"/>
      <w:bookmarkStart w:id="146" w:name="_Toc73534980"/>
      <w:r w:rsidRPr="00EC029F">
        <w:rPr>
          <w:sz w:val="22"/>
          <w:szCs w:val="22"/>
        </w:rPr>
        <w:t xml:space="preserve">Tabela </w:t>
      </w:r>
      <w:r w:rsidRPr="00EC029F">
        <w:rPr>
          <w:sz w:val="22"/>
          <w:szCs w:val="22"/>
        </w:rPr>
        <w:fldChar w:fldCharType="begin"/>
      </w:r>
      <w:r w:rsidRPr="00EC029F">
        <w:rPr>
          <w:sz w:val="22"/>
          <w:szCs w:val="22"/>
        </w:rPr>
        <w:instrText xml:space="preserve"> SEQ Tabela \* ARABIC </w:instrText>
      </w:r>
      <w:r w:rsidRPr="00EC029F">
        <w:rPr>
          <w:sz w:val="22"/>
          <w:szCs w:val="22"/>
        </w:rPr>
        <w:fldChar w:fldCharType="separate"/>
      </w:r>
      <w:r w:rsidR="00AD58C3">
        <w:rPr>
          <w:noProof/>
          <w:sz w:val="22"/>
          <w:szCs w:val="22"/>
        </w:rPr>
        <w:t>17</w:t>
      </w:r>
      <w:r w:rsidRPr="00EC029F">
        <w:rPr>
          <w:sz w:val="22"/>
          <w:szCs w:val="22"/>
        </w:rPr>
        <w:fldChar w:fldCharType="end"/>
      </w:r>
      <w:bookmarkEnd w:id="145"/>
      <w:r w:rsidR="00A67E77" w:rsidRPr="00EC029F">
        <w:rPr>
          <w:sz w:val="22"/>
          <w:szCs w:val="22"/>
        </w:rPr>
        <w:t>. Sektory wrażliwe na zmiany klimatu w Olsztynie</w:t>
      </w:r>
      <w:bookmarkEnd w:id="146"/>
    </w:p>
    <w:tbl>
      <w:tblPr>
        <w:tblStyle w:val="Tabela-Siatka"/>
        <w:tblW w:w="9067" w:type="dxa"/>
        <w:tblLook w:val="04A0" w:firstRow="1" w:lastRow="0" w:firstColumn="1" w:lastColumn="0" w:noHBand="0" w:noVBand="1"/>
      </w:tblPr>
      <w:tblGrid>
        <w:gridCol w:w="1555"/>
        <w:gridCol w:w="2693"/>
        <w:gridCol w:w="2126"/>
        <w:gridCol w:w="2693"/>
      </w:tblGrid>
      <w:tr w:rsidR="00064048" w:rsidRPr="003E6B27" w14:paraId="0FE3F08C" w14:textId="51F505FC" w:rsidTr="00046B5D">
        <w:tc>
          <w:tcPr>
            <w:tcW w:w="1555" w:type="dxa"/>
            <w:shd w:val="clear" w:color="auto" w:fill="92D050"/>
          </w:tcPr>
          <w:p w14:paraId="4D4C5F91" w14:textId="4DE708C5" w:rsidR="00064048" w:rsidRPr="003E6B27" w:rsidRDefault="00064048" w:rsidP="00EF1C53">
            <w:pPr>
              <w:jc w:val="both"/>
              <w:rPr>
                <w:b/>
                <w:sz w:val="20"/>
                <w:lang w:val="pl"/>
              </w:rPr>
            </w:pPr>
            <w:r w:rsidRPr="003E6B27">
              <w:rPr>
                <w:b/>
                <w:sz w:val="20"/>
                <w:lang w:val="pl"/>
              </w:rPr>
              <w:t>Sektor</w:t>
            </w:r>
          </w:p>
        </w:tc>
        <w:tc>
          <w:tcPr>
            <w:tcW w:w="2693" w:type="dxa"/>
            <w:shd w:val="clear" w:color="auto" w:fill="92D050"/>
          </w:tcPr>
          <w:p w14:paraId="05FB2C6C" w14:textId="58AD7010" w:rsidR="00064048" w:rsidRPr="003E6B27" w:rsidRDefault="00064048" w:rsidP="00064048">
            <w:pPr>
              <w:rPr>
                <w:b/>
                <w:sz w:val="20"/>
                <w:lang w:val="pl"/>
              </w:rPr>
            </w:pPr>
            <w:r w:rsidRPr="003E6B27">
              <w:rPr>
                <w:b/>
                <w:sz w:val="20"/>
                <w:lang w:val="pl"/>
              </w:rPr>
              <w:t>Największe zagrożenia klimatyczne</w:t>
            </w:r>
          </w:p>
        </w:tc>
        <w:tc>
          <w:tcPr>
            <w:tcW w:w="2126" w:type="dxa"/>
            <w:shd w:val="clear" w:color="auto" w:fill="92D050"/>
          </w:tcPr>
          <w:p w14:paraId="4DEA9A29" w14:textId="47D375D5" w:rsidR="00064048" w:rsidRPr="003E6B27" w:rsidRDefault="00064048" w:rsidP="00064048">
            <w:pPr>
              <w:rPr>
                <w:b/>
                <w:sz w:val="20"/>
                <w:lang w:val="pl"/>
              </w:rPr>
            </w:pPr>
            <w:r w:rsidRPr="003E6B27">
              <w:rPr>
                <w:b/>
                <w:sz w:val="20"/>
                <w:lang w:val="pl"/>
              </w:rPr>
              <w:t>Zagrożona część miasta</w:t>
            </w:r>
          </w:p>
        </w:tc>
        <w:tc>
          <w:tcPr>
            <w:tcW w:w="2693" w:type="dxa"/>
            <w:shd w:val="clear" w:color="auto" w:fill="92D050"/>
          </w:tcPr>
          <w:p w14:paraId="3FF3835E" w14:textId="5EA83AB7" w:rsidR="00064048" w:rsidRPr="003E6B27" w:rsidRDefault="00064048" w:rsidP="00EF1C53">
            <w:pPr>
              <w:jc w:val="both"/>
              <w:rPr>
                <w:b/>
                <w:sz w:val="20"/>
                <w:lang w:val="pl"/>
              </w:rPr>
            </w:pPr>
            <w:r>
              <w:rPr>
                <w:b/>
                <w:sz w:val="20"/>
                <w:lang w:val="pl"/>
              </w:rPr>
              <w:t>Interwencja</w:t>
            </w:r>
          </w:p>
        </w:tc>
      </w:tr>
      <w:tr w:rsidR="00064048" w:rsidRPr="003E6B27" w14:paraId="5493556A" w14:textId="7F3C7461" w:rsidTr="00E50668">
        <w:tc>
          <w:tcPr>
            <w:tcW w:w="1555" w:type="dxa"/>
            <w:vAlign w:val="center"/>
          </w:tcPr>
          <w:p w14:paraId="368FDF03" w14:textId="387CC22C" w:rsidR="00064048" w:rsidRPr="003E6B27" w:rsidRDefault="00064048" w:rsidP="00042B57">
            <w:pPr>
              <w:rPr>
                <w:sz w:val="20"/>
                <w:lang w:val="pl"/>
              </w:rPr>
            </w:pPr>
            <w:r w:rsidRPr="003E6B27">
              <w:rPr>
                <w:sz w:val="20"/>
                <w:lang w:val="pl"/>
              </w:rPr>
              <w:t>turystyka i dziedzictwo kulturowe</w:t>
            </w:r>
          </w:p>
        </w:tc>
        <w:tc>
          <w:tcPr>
            <w:tcW w:w="2693" w:type="dxa"/>
            <w:vAlign w:val="center"/>
          </w:tcPr>
          <w:p w14:paraId="486B39C0" w14:textId="574AB2DA" w:rsidR="00064048" w:rsidRPr="003E6B27" w:rsidRDefault="00064048" w:rsidP="00042B57">
            <w:pPr>
              <w:rPr>
                <w:sz w:val="20"/>
                <w:lang w:val="pl"/>
              </w:rPr>
            </w:pPr>
            <w:r w:rsidRPr="003E6B27">
              <w:rPr>
                <w:sz w:val="20"/>
                <w:lang w:val="pl"/>
              </w:rPr>
              <w:t>burze, deszcze nawalne, fale upałów, opady śniegu, wiatr, susze</w:t>
            </w:r>
          </w:p>
        </w:tc>
        <w:tc>
          <w:tcPr>
            <w:tcW w:w="2126" w:type="dxa"/>
            <w:vAlign w:val="center"/>
          </w:tcPr>
          <w:p w14:paraId="0C00F2F1" w14:textId="60A611DA" w:rsidR="00064048" w:rsidRPr="003E6B27" w:rsidRDefault="00064048" w:rsidP="00042B57">
            <w:pPr>
              <w:rPr>
                <w:sz w:val="20"/>
                <w:lang w:val="pl"/>
              </w:rPr>
            </w:pPr>
            <w:r>
              <w:rPr>
                <w:sz w:val="20"/>
                <w:lang w:val="pl"/>
              </w:rPr>
              <w:t>północna i północno-zachodnia, centrum miasta</w:t>
            </w:r>
          </w:p>
        </w:tc>
        <w:tc>
          <w:tcPr>
            <w:tcW w:w="2693" w:type="dxa"/>
          </w:tcPr>
          <w:p w14:paraId="4D49B1B6" w14:textId="6E12DAB8" w:rsidR="00064048" w:rsidRDefault="00064048" w:rsidP="00042B57">
            <w:pPr>
              <w:rPr>
                <w:sz w:val="20"/>
                <w:lang w:val="pl"/>
              </w:rPr>
            </w:pPr>
            <w:r>
              <w:rPr>
                <w:sz w:val="20"/>
                <w:lang w:val="pl"/>
              </w:rPr>
              <w:t>zwłaszcza w zakresie ochrony termicznej</w:t>
            </w:r>
          </w:p>
        </w:tc>
      </w:tr>
      <w:tr w:rsidR="00064048" w:rsidRPr="003E6B27" w14:paraId="07E04CC9" w14:textId="643EC25D" w:rsidTr="00E50668">
        <w:tc>
          <w:tcPr>
            <w:tcW w:w="1555" w:type="dxa"/>
            <w:vAlign w:val="center"/>
          </w:tcPr>
          <w:p w14:paraId="3340951B" w14:textId="7EF5DD7A" w:rsidR="00064048" w:rsidRPr="003E6B27" w:rsidRDefault="00064048" w:rsidP="00042B57">
            <w:pPr>
              <w:rPr>
                <w:sz w:val="20"/>
                <w:lang w:val="pl"/>
              </w:rPr>
            </w:pPr>
            <w:r w:rsidRPr="003E6B27">
              <w:rPr>
                <w:sz w:val="20"/>
                <w:lang w:val="pl"/>
              </w:rPr>
              <w:t>zdrowie publiczne i energetyka</w:t>
            </w:r>
          </w:p>
        </w:tc>
        <w:tc>
          <w:tcPr>
            <w:tcW w:w="2693" w:type="dxa"/>
            <w:vAlign w:val="center"/>
          </w:tcPr>
          <w:p w14:paraId="4FA4FF3B" w14:textId="5E6CA770" w:rsidR="00064048" w:rsidRPr="003E6B27" w:rsidRDefault="00064048" w:rsidP="00042B57">
            <w:pPr>
              <w:rPr>
                <w:sz w:val="20"/>
                <w:lang w:val="pl"/>
              </w:rPr>
            </w:pPr>
            <w:r w:rsidRPr="003E6B27">
              <w:rPr>
                <w:sz w:val="20"/>
                <w:lang w:val="pl"/>
              </w:rPr>
              <w:t xml:space="preserve">fale upałów i chłodu, silne opady, </w:t>
            </w:r>
          </w:p>
        </w:tc>
        <w:tc>
          <w:tcPr>
            <w:tcW w:w="2126" w:type="dxa"/>
            <w:vAlign w:val="center"/>
          </w:tcPr>
          <w:p w14:paraId="6B4E49A6" w14:textId="2DCD1F75" w:rsidR="00064048" w:rsidRPr="003E6B27" w:rsidRDefault="00064048" w:rsidP="00042B57">
            <w:pPr>
              <w:rPr>
                <w:sz w:val="20"/>
                <w:lang w:val="pl"/>
              </w:rPr>
            </w:pPr>
            <w:r w:rsidRPr="003E6B27">
              <w:rPr>
                <w:sz w:val="20"/>
                <w:lang w:val="pl"/>
              </w:rPr>
              <w:t xml:space="preserve">południowa oraz osiedle Kormoran </w:t>
            </w:r>
          </w:p>
        </w:tc>
        <w:tc>
          <w:tcPr>
            <w:tcW w:w="2693" w:type="dxa"/>
          </w:tcPr>
          <w:p w14:paraId="56B352FC" w14:textId="2E2CBEA1" w:rsidR="00064048" w:rsidRPr="003E6B27" w:rsidRDefault="00064048" w:rsidP="00064048">
            <w:pPr>
              <w:rPr>
                <w:sz w:val="20"/>
                <w:lang w:val="pl"/>
              </w:rPr>
            </w:pPr>
            <w:r w:rsidRPr="00064048">
              <w:rPr>
                <w:sz w:val="20"/>
                <w:lang w:val="pl"/>
              </w:rPr>
              <w:t>działa</w:t>
            </w:r>
            <w:r>
              <w:rPr>
                <w:sz w:val="20"/>
                <w:lang w:val="pl"/>
              </w:rPr>
              <w:t>nia</w:t>
            </w:r>
            <w:r w:rsidRPr="00064048">
              <w:rPr>
                <w:sz w:val="20"/>
                <w:lang w:val="pl"/>
              </w:rPr>
              <w:t xml:space="preserve"> w perspektywie 2050 roku związan</w:t>
            </w:r>
            <w:r w:rsidR="004A54EF">
              <w:rPr>
                <w:sz w:val="20"/>
                <w:lang w:val="pl"/>
              </w:rPr>
              <w:t>e</w:t>
            </w:r>
            <w:r w:rsidRPr="00064048">
              <w:rPr>
                <w:sz w:val="20"/>
                <w:lang w:val="pl"/>
              </w:rPr>
              <w:t xml:space="preserve"> przymrozkami, upałami i chłodem będącymi zagrożeniem dla instalacji energetycznej oraz niskimi temperaturami mającymi znaczenie dla mieszkańców</w:t>
            </w:r>
            <w:r>
              <w:rPr>
                <w:sz w:val="20"/>
                <w:lang w:val="pl"/>
              </w:rPr>
              <w:t>;</w:t>
            </w:r>
            <w:r w:rsidRPr="00064048">
              <w:rPr>
                <w:sz w:val="20"/>
                <w:lang w:val="pl"/>
              </w:rPr>
              <w:t xml:space="preserve"> </w:t>
            </w:r>
            <w:r>
              <w:rPr>
                <w:sz w:val="20"/>
                <w:lang w:val="pl"/>
              </w:rPr>
              <w:t>w</w:t>
            </w:r>
            <w:r w:rsidRPr="00064048">
              <w:rPr>
                <w:sz w:val="20"/>
                <w:lang w:val="pl"/>
              </w:rPr>
              <w:t xml:space="preserve"> </w:t>
            </w:r>
            <w:r>
              <w:rPr>
                <w:sz w:val="20"/>
                <w:lang w:val="pl"/>
              </w:rPr>
              <w:t>perspektywie</w:t>
            </w:r>
            <w:r w:rsidRPr="00064048">
              <w:rPr>
                <w:sz w:val="20"/>
                <w:lang w:val="pl"/>
              </w:rPr>
              <w:t xml:space="preserve"> 2030 roku powinny zostać podjęte działania pod względem zag</w:t>
            </w:r>
            <w:r>
              <w:rPr>
                <w:sz w:val="20"/>
                <w:lang w:val="pl"/>
              </w:rPr>
              <w:t>rożenia opadami atmosferycznymi</w:t>
            </w:r>
          </w:p>
        </w:tc>
      </w:tr>
      <w:tr w:rsidR="00064048" w:rsidRPr="003E6B27" w14:paraId="088BA2E4" w14:textId="757EC74A" w:rsidTr="00E50668">
        <w:tc>
          <w:tcPr>
            <w:tcW w:w="1555" w:type="dxa"/>
            <w:vAlign w:val="center"/>
          </w:tcPr>
          <w:p w14:paraId="3FA343B1" w14:textId="6FF4CCC2" w:rsidR="00064048" w:rsidRPr="003E6B27" w:rsidRDefault="00064048" w:rsidP="00042B57">
            <w:pPr>
              <w:rPr>
                <w:sz w:val="20"/>
                <w:lang w:val="pl"/>
              </w:rPr>
            </w:pPr>
            <w:r w:rsidRPr="003E6B27">
              <w:rPr>
                <w:sz w:val="20"/>
                <w:lang w:val="pl"/>
              </w:rPr>
              <w:t>transport</w:t>
            </w:r>
          </w:p>
        </w:tc>
        <w:tc>
          <w:tcPr>
            <w:tcW w:w="2693" w:type="dxa"/>
            <w:vAlign w:val="center"/>
          </w:tcPr>
          <w:p w14:paraId="7568BC28" w14:textId="12B203DF" w:rsidR="00064048" w:rsidRPr="003E6B27" w:rsidRDefault="00064048" w:rsidP="00042B57">
            <w:pPr>
              <w:rPr>
                <w:sz w:val="20"/>
                <w:lang w:val="pl"/>
              </w:rPr>
            </w:pPr>
            <w:r w:rsidRPr="003E6B27">
              <w:rPr>
                <w:sz w:val="20"/>
                <w:lang w:val="pl"/>
              </w:rPr>
              <w:t>deszcze nawalne, fale upałów, gołoledź</w:t>
            </w:r>
          </w:p>
        </w:tc>
        <w:tc>
          <w:tcPr>
            <w:tcW w:w="2126" w:type="dxa"/>
            <w:vAlign w:val="center"/>
          </w:tcPr>
          <w:p w14:paraId="4E074916" w14:textId="6B1FA40E" w:rsidR="00064048" w:rsidRPr="003E6B27" w:rsidRDefault="00064048" w:rsidP="00042B57">
            <w:pPr>
              <w:rPr>
                <w:sz w:val="20"/>
                <w:lang w:val="pl"/>
              </w:rPr>
            </w:pPr>
            <w:r w:rsidRPr="003E6B27">
              <w:rPr>
                <w:sz w:val="20"/>
                <w:lang w:val="pl"/>
              </w:rPr>
              <w:t>środkowo-zachodnia</w:t>
            </w:r>
          </w:p>
        </w:tc>
        <w:tc>
          <w:tcPr>
            <w:tcW w:w="2693" w:type="dxa"/>
          </w:tcPr>
          <w:p w14:paraId="1BB05AF8" w14:textId="0C5A47FA" w:rsidR="00064048" w:rsidRPr="003E6B27" w:rsidRDefault="009C336C" w:rsidP="00042B57">
            <w:pPr>
              <w:rPr>
                <w:sz w:val="20"/>
                <w:lang w:val="pl"/>
              </w:rPr>
            </w:pPr>
            <w:r>
              <w:rPr>
                <w:sz w:val="20"/>
                <w:lang w:val="pl"/>
              </w:rPr>
              <w:t>usprawnienie systemu kanalizacji</w:t>
            </w:r>
          </w:p>
        </w:tc>
      </w:tr>
      <w:tr w:rsidR="00064048" w:rsidRPr="003E6B27" w14:paraId="7A8D4D7E" w14:textId="541092C4" w:rsidTr="00E50668">
        <w:tc>
          <w:tcPr>
            <w:tcW w:w="1555" w:type="dxa"/>
            <w:vAlign w:val="center"/>
          </w:tcPr>
          <w:p w14:paraId="5D094C67" w14:textId="52731660" w:rsidR="00064048" w:rsidRPr="003E6B27" w:rsidRDefault="00064048" w:rsidP="00042B57">
            <w:pPr>
              <w:rPr>
                <w:sz w:val="20"/>
                <w:lang w:val="pl"/>
              </w:rPr>
            </w:pPr>
            <w:r w:rsidRPr="003E6B27">
              <w:rPr>
                <w:sz w:val="20"/>
                <w:lang w:val="pl"/>
              </w:rPr>
              <w:t>gospodarka wodna i różnorodność biologiczna</w:t>
            </w:r>
          </w:p>
        </w:tc>
        <w:tc>
          <w:tcPr>
            <w:tcW w:w="2693" w:type="dxa"/>
            <w:vAlign w:val="center"/>
          </w:tcPr>
          <w:p w14:paraId="48C4EAE0" w14:textId="1356A88D" w:rsidR="00064048" w:rsidRPr="003E6B27" w:rsidRDefault="00064048" w:rsidP="00042B57">
            <w:pPr>
              <w:rPr>
                <w:sz w:val="20"/>
                <w:lang w:val="pl"/>
              </w:rPr>
            </w:pPr>
            <w:r w:rsidRPr="003E6B27">
              <w:rPr>
                <w:sz w:val="20"/>
                <w:lang w:val="pl"/>
              </w:rPr>
              <w:t>intensywne opady deszczu</w:t>
            </w:r>
          </w:p>
        </w:tc>
        <w:tc>
          <w:tcPr>
            <w:tcW w:w="2126" w:type="dxa"/>
            <w:vAlign w:val="center"/>
          </w:tcPr>
          <w:p w14:paraId="45737CF3" w14:textId="6E74D685" w:rsidR="00064048" w:rsidRPr="003E6B27" w:rsidRDefault="00064048" w:rsidP="00042B57">
            <w:pPr>
              <w:rPr>
                <w:sz w:val="20"/>
                <w:lang w:val="pl"/>
              </w:rPr>
            </w:pPr>
            <w:r w:rsidRPr="003E6B27">
              <w:rPr>
                <w:sz w:val="20"/>
                <w:lang w:val="pl"/>
              </w:rPr>
              <w:t>środkowo-zachodnia</w:t>
            </w:r>
          </w:p>
        </w:tc>
        <w:tc>
          <w:tcPr>
            <w:tcW w:w="2693" w:type="dxa"/>
          </w:tcPr>
          <w:p w14:paraId="1ADB50AF" w14:textId="791881E6" w:rsidR="00064048" w:rsidRPr="003E6B27" w:rsidRDefault="009C336C" w:rsidP="00042B57">
            <w:pPr>
              <w:rPr>
                <w:sz w:val="20"/>
                <w:lang w:val="pl"/>
              </w:rPr>
            </w:pPr>
            <w:r w:rsidRPr="009C336C">
              <w:rPr>
                <w:sz w:val="20"/>
                <w:lang w:val="pl"/>
              </w:rPr>
              <w:t>system ochrony i kształtowania ekosystemów, czy przygotowanie służb oraz współpraca z sąsiadującymi gminami, które razem będą prowadzić działania w zakresie zarządzania kryzysowego</w:t>
            </w:r>
          </w:p>
        </w:tc>
      </w:tr>
    </w:tbl>
    <w:p w14:paraId="1D8F969A" w14:textId="25E800A4" w:rsidR="007940BD" w:rsidRPr="00EC029F" w:rsidRDefault="00EC029F" w:rsidP="00EC029F">
      <w:pPr>
        <w:jc w:val="center"/>
        <w:rPr>
          <w:i/>
          <w:sz w:val="20"/>
          <w:szCs w:val="20"/>
        </w:rPr>
      </w:pPr>
      <w:r w:rsidRPr="00EC029F">
        <w:rPr>
          <w:i/>
          <w:sz w:val="20"/>
          <w:szCs w:val="20"/>
        </w:rPr>
        <w:t>ź</w:t>
      </w:r>
      <w:r w:rsidR="007940BD" w:rsidRPr="00EC029F">
        <w:rPr>
          <w:i/>
          <w:sz w:val="20"/>
          <w:szCs w:val="20"/>
        </w:rPr>
        <w:t>ródło: Plan adaptacji do zmian klimatu miasta Olsztyn</w:t>
      </w:r>
      <w:r w:rsidRPr="00EC029F">
        <w:rPr>
          <w:i/>
          <w:sz w:val="20"/>
          <w:szCs w:val="20"/>
        </w:rPr>
        <w:t xml:space="preserve"> do roku 2030</w:t>
      </w:r>
    </w:p>
    <w:p w14:paraId="28C96149" w14:textId="61DB6F53" w:rsidR="00780AAA" w:rsidRDefault="00780AAA" w:rsidP="007940BD">
      <w:pPr>
        <w:pStyle w:val="Legenda"/>
        <w:rPr>
          <w:sz w:val="20"/>
          <w:lang w:val="pl"/>
        </w:rPr>
      </w:pPr>
    </w:p>
    <w:p w14:paraId="44C0ED8A" w14:textId="77777777" w:rsidR="004E759C" w:rsidRDefault="0067760D" w:rsidP="002A466C">
      <w:pPr>
        <w:pStyle w:val="Nagwek2"/>
      </w:pPr>
      <w:bookmarkStart w:id="147" w:name="_Toc73534907"/>
      <w:r>
        <w:t xml:space="preserve">2.2 </w:t>
      </w:r>
      <w:r w:rsidR="007C0AE6" w:rsidRPr="007C0AE6">
        <w:t>Infrastruktura ochrony środowiska</w:t>
      </w:r>
      <w:bookmarkEnd w:id="147"/>
    </w:p>
    <w:p w14:paraId="38659283" w14:textId="77777777" w:rsidR="00C54DAF" w:rsidRDefault="0067760D" w:rsidP="00C54DAF">
      <w:pPr>
        <w:pStyle w:val="Nagwek3"/>
      </w:pPr>
      <w:bookmarkStart w:id="148" w:name="_Toc73534908"/>
      <w:r>
        <w:t xml:space="preserve">2.2.1 </w:t>
      </w:r>
      <w:r w:rsidR="00C54DAF">
        <w:t>Sieci</w:t>
      </w:r>
      <w:bookmarkEnd w:id="148"/>
    </w:p>
    <w:p w14:paraId="2BB27B17" w14:textId="1D518D5D" w:rsidR="0082472B" w:rsidRDefault="0082472B" w:rsidP="004E756A">
      <w:pPr>
        <w:jc w:val="both"/>
      </w:pPr>
      <w:r>
        <w:t>Najbardziej korzystne warunki</w:t>
      </w:r>
      <w:r w:rsidR="00F2085F">
        <w:t xml:space="preserve"> zabezpieczające mieszkańców i umożliwiające korzystanie z sieci infrastruktury technicznej istnieją w Olsztynie, w szczególności w zakresie sieci wodociągowej </w:t>
      </w:r>
      <w:r w:rsidR="004E756A">
        <w:br/>
      </w:r>
      <w:r w:rsidR="00F2085F">
        <w:t xml:space="preserve">i kanalizacyjnej. </w:t>
      </w:r>
      <w:r w:rsidR="004E756A">
        <w:t>Korzystających z istniejących sieci było 100% olsztynian (kanalizacja) i 99,9% (wodociąg). Najmniejszy odsetek osób podłączonych do sieci zanotowano w Lublinie – sieci wodociągowej 95,5% mieszkańców, sieci kanalizacyjnej – 91,</w:t>
      </w:r>
      <w:r w:rsidR="008678EB">
        <w:t>9</w:t>
      </w:r>
      <w:r w:rsidR="004E756A">
        <w:t xml:space="preserve">% osób. </w:t>
      </w:r>
      <w:r w:rsidR="00854388">
        <w:t xml:space="preserve">Najwięcej osób korzystających </w:t>
      </w:r>
      <w:r w:rsidR="000E2699">
        <w:br/>
      </w:r>
      <w:r w:rsidR="00854388">
        <w:t>z sieci gazowej zaobserwowano w Rzeszowie (</w:t>
      </w:r>
      <w:r w:rsidR="008678EB">
        <w:t>89,3</w:t>
      </w:r>
      <w:r w:rsidR="00854388">
        <w:t xml:space="preserve">%), najmniejszy odsetek stanowią olsztynianie – </w:t>
      </w:r>
      <w:r w:rsidR="00854388">
        <w:lastRenderedPageBreak/>
        <w:t>7</w:t>
      </w:r>
      <w:r w:rsidR="008678EB">
        <w:t>1</w:t>
      </w:r>
      <w:r w:rsidR="00854388">
        <w:t>,1%.</w:t>
      </w:r>
      <w:r w:rsidR="003B4CF3">
        <w:t xml:space="preserve"> </w:t>
      </w:r>
      <w:r w:rsidR="007C05B3">
        <w:t>W badanych latach 2013-2019 w Olsztynie nastąpił wzrost liczby gospodarstw domowych podłączonych do sieci wodociągowej (więcej o 4,2 p.p.), sieci kanalizacyjnej (więcej o 5,7 p.p.) oraz spadek korzystających z sieci gazowej (mniej o 4,2 p.p.).</w:t>
      </w:r>
    </w:p>
    <w:p w14:paraId="0B3377DF" w14:textId="3C81A7FF" w:rsidR="00EC029F" w:rsidRDefault="00EC029F" w:rsidP="00EC029F">
      <w:pPr>
        <w:pStyle w:val="Legenda"/>
        <w:rPr>
          <w:bCs/>
          <w:sz w:val="22"/>
          <w:szCs w:val="22"/>
          <w:lang w:val="pl-PL"/>
        </w:rPr>
      </w:pPr>
      <w:bookmarkStart w:id="149" w:name="_Toc73516106"/>
      <w:r w:rsidRPr="00EC029F">
        <w:rPr>
          <w:sz w:val="22"/>
          <w:szCs w:val="22"/>
        </w:rPr>
        <w:t xml:space="preserve">Wykres </w:t>
      </w:r>
      <w:r w:rsidRPr="00EC029F">
        <w:rPr>
          <w:sz w:val="22"/>
          <w:szCs w:val="22"/>
        </w:rPr>
        <w:fldChar w:fldCharType="begin"/>
      </w:r>
      <w:r w:rsidRPr="00EC029F">
        <w:rPr>
          <w:sz w:val="22"/>
          <w:szCs w:val="22"/>
        </w:rPr>
        <w:instrText xml:space="preserve"> SEQ Wykres \* ARABIC </w:instrText>
      </w:r>
      <w:r w:rsidRPr="00EC029F">
        <w:rPr>
          <w:sz w:val="22"/>
          <w:szCs w:val="22"/>
        </w:rPr>
        <w:fldChar w:fldCharType="separate"/>
      </w:r>
      <w:r w:rsidR="00AD58C3">
        <w:rPr>
          <w:noProof/>
          <w:sz w:val="22"/>
          <w:szCs w:val="22"/>
        </w:rPr>
        <w:t>44</w:t>
      </w:r>
      <w:r w:rsidRPr="00EC029F">
        <w:rPr>
          <w:sz w:val="22"/>
          <w:szCs w:val="22"/>
        </w:rPr>
        <w:fldChar w:fldCharType="end"/>
      </w:r>
      <w:r w:rsidRPr="00EC029F">
        <w:rPr>
          <w:sz w:val="22"/>
          <w:szCs w:val="22"/>
        </w:rPr>
        <w:t>.</w:t>
      </w:r>
      <w:r w:rsidRPr="00EC029F">
        <w:rPr>
          <w:rFonts w:eastAsiaTheme="minorEastAsia" w:hAnsi="Times New Roman"/>
          <w:bCs/>
          <w:color w:val="000000"/>
          <w:kern w:val="24"/>
          <w:sz w:val="22"/>
          <w:szCs w:val="22"/>
          <w:lang w:eastAsia="pl-PL"/>
        </w:rPr>
        <w:t xml:space="preserve"> </w:t>
      </w:r>
      <w:r w:rsidRPr="00EC029F">
        <w:rPr>
          <w:bCs/>
          <w:sz w:val="22"/>
          <w:szCs w:val="22"/>
          <w:lang w:val="pl-PL"/>
        </w:rPr>
        <w:t>Odsetek ludności korzystającej z infrastruktury technicznej w roku 201</w:t>
      </w:r>
      <w:r w:rsidR="008678EB">
        <w:rPr>
          <w:bCs/>
          <w:sz w:val="22"/>
          <w:szCs w:val="22"/>
          <w:lang w:val="pl-PL"/>
        </w:rPr>
        <w:t>9</w:t>
      </w:r>
      <w:r w:rsidR="007C05B3">
        <w:rPr>
          <w:bCs/>
          <w:sz w:val="22"/>
          <w:szCs w:val="22"/>
          <w:lang w:val="pl-PL"/>
        </w:rPr>
        <w:t xml:space="preserve"> w stosunku do ogółu ludności</w:t>
      </w:r>
      <w:bookmarkEnd w:id="149"/>
    </w:p>
    <w:p w14:paraId="7928F07A" w14:textId="2A8DAF2B" w:rsidR="007C0AE6" w:rsidRPr="008678EB" w:rsidRDefault="008678EB" w:rsidP="008678EB">
      <w:pPr>
        <w:spacing w:after="0" w:line="240" w:lineRule="auto"/>
        <w:jc w:val="center"/>
        <w:rPr>
          <w:rFonts w:ascii="Times New Roman" w:eastAsia="Times New Roman" w:hAnsi="Times New Roman" w:cs="Times New Roman"/>
          <w:sz w:val="24"/>
          <w:szCs w:val="24"/>
          <w:lang w:eastAsia="pl-PL"/>
        </w:rPr>
      </w:pPr>
      <w:r>
        <w:rPr>
          <w:noProof/>
          <w:lang w:eastAsia="pl-PL"/>
        </w:rPr>
        <w:drawing>
          <wp:inline distT="0" distB="0" distL="0" distR="0" wp14:anchorId="40777C24" wp14:editId="5B9787DD">
            <wp:extent cx="4520241" cy="2286000"/>
            <wp:effectExtent l="0" t="0" r="13970" b="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29E7155" w14:textId="77777777" w:rsidR="000D217D" w:rsidRDefault="000D217D" w:rsidP="000D217D">
      <w:pPr>
        <w:spacing w:after="120"/>
        <w:jc w:val="center"/>
      </w:pPr>
      <w:r w:rsidRPr="0091031D">
        <w:rPr>
          <w:i/>
          <w:sz w:val="20"/>
          <w:szCs w:val="20"/>
        </w:rPr>
        <w:t>źródło: opracowanie własne na podstawie danych GUS</w:t>
      </w:r>
    </w:p>
    <w:p w14:paraId="7BB19012" w14:textId="7A6214EE" w:rsidR="00B811C7" w:rsidRDefault="00B811C7">
      <w:pPr>
        <w:rPr>
          <w:rFonts w:asciiTheme="majorHAnsi" w:eastAsiaTheme="majorEastAsia" w:hAnsiTheme="majorHAnsi" w:cstheme="majorBidi"/>
          <w:color w:val="1F4D78" w:themeColor="accent1" w:themeShade="7F"/>
          <w:sz w:val="24"/>
          <w:szCs w:val="24"/>
        </w:rPr>
      </w:pPr>
    </w:p>
    <w:p w14:paraId="20EE2AE1" w14:textId="3F3285D5" w:rsidR="006163E9" w:rsidRPr="006163E9" w:rsidRDefault="0067760D" w:rsidP="006163E9">
      <w:pPr>
        <w:pStyle w:val="Nagwek3"/>
      </w:pPr>
      <w:bookmarkStart w:id="150" w:name="_Toc73534909"/>
      <w:r>
        <w:t xml:space="preserve">2.2.2 </w:t>
      </w:r>
      <w:r w:rsidR="006163E9">
        <w:t>Oczyszczalnie ścieków</w:t>
      </w:r>
      <w:bookmarkEnd w:id="150"/>
    </w:p>
    <w:p w14:paraId="6BEFB168" w14:textId="303842AE" w:rsidR="00854388" w:rsidRDefault="00FB56BD" w:rsidP="00FB56BD">
      <w:pPr>
        <w:jc w:val="both"/>
      </w:pPr>
      <w:r>
        <w:t xml:space="preserve">W analizowanym okresie 2013-2019 niezmienną liczbę oczyszczalni notuje się w Olsztynie </w:t>
      </w:r>
      <w:r w:rsidR="00EC029F">
        <w:br/>
      </w:r>
      <w:r>
        <w:t>(1 instalacja), Białymstoku (2) i Lublinie (2). Spadek nastąpił w Rzeszowie – 2 oczyszczalnie w roku 2019 (mniej o 5 instalacji w porównaniu do roku 2013) oraz w Kielcach – 1 oczyszczalnia (mniej o 1 instalację w roku 2019 porównując do roku 2013).</w:t>
      </w:r>
    </w:p>
    <w:p w14:paraId="6575E168" w14:textId="078ADB45" w:rsidR="006C0284" w:rsidRDefault="006C0284" w:rsidP="00FB56BD">
      <w:pPr>
        <w:jc w:val="both"/>
      </w:pPr>
      <w:r>
        <w:t>Przepustowość oczyszczalni w Olsztynie pozostaje na poziomie 72000 m</w:t>
      </w:r>
      <w:r>
        <w:rPr>
          <w:vertAlign w:val="superscript"/>
        </w:rPr>
        <w:t>3</w:t>
      </w:r>
      <w:r w:rsidR="00AF6D39">
        <w:t>/dobę. Na przestrzeni lat 2013-2019 wydajność olsztyńskich instalacji oczyszczania ścieków nie ulega zmianom.</w:t>
      </w:r>
    </w:p>
    <w:p w14:paraId="750A9D96" w14:textId="69FA9B75" w:rsidR="00EC029F" w:rsidRPr="00EC029F" w:rsidRDefault="00EC029F" w:rsidP="00EC029F">
      <w:pPr>
        <w:pStyle w:val="Legenda"/>
        <w:rPr>
          <w:sz w:val="22"/>
          <w:szCs w:val="22"/>
        </w:rPr>
      </w:pPr>
      <w:bookmarkStart w:id="151" w:name="_Toc73516107"/>
      <w:r w:rsidRPr="00EC029F">
        <w:rPr>
          <w:sz w:val="22"/>
          <w:szCs w:val="22"/>
        </w:rPr>
        <w:t xml:space="preserve">Wykres </w:t>
      </w:r>
      <w:r w:rsidRPr="00EC029F">
        <w:rPr>
          <w:sz w:val="22"/>
          <w:szCs w:val="22"/>
        </w:rPr>
        <w:fldChar w:fldCharType="begin"/>
      </w:r>
      <w:r w:rsidRPr="00EC029F">
        <w:rPr>
          <w:sz w:val="22"/>
          <w:szCs w:val="22"/>
        </w:rPr>
        <w:instrText xml:space="preserve"> SEQ Wykres \* ARABIC </w:instrText>
      </w:r>
      <w:r w:rsidRPr="00EC029F">
        <w:rPr>
          <w:sz w:val="22"/>
          <w:szCs w:val="22"/>
        </w:rPr>
        <w:fldChar w:fldCharType="separate"/>
      </w:r>
      <w:r w:rsidR="00AD58C3">
        <w:rPr>
          <w:noProof/>
          <w:sz w:val="22"/>
          <w:szCs w:val="22"/>
        </w:rPr>
        <w:t>45</w:t>
      </w:r>
      <w:r w:rsidRPr="00EC029F">
        <w:rPr>
          <w:sz w:val="22"/>
          <w:szCs w:val="22"/>
        </w:rPr>
        <w:fldChar w:fldCharType="end"/>
      </w:r>
      <w:r w:rsidRPr="00EC029F">
        <w:rPr>
          <w:sz w:val="22"/>
          <w:szCs w:val="22"/>
        </w:rPr>
        <w:t xml:space="preserve">. </w:t>
      </w:r>
      <w:r w:rsidRPr="00EC029F">
        <w:rPr>
          <w:sz w:val="22"/>
          <w:szCs w:val="22"/>
          <w:lang w:val="pl-PL"/>
        </w:rPr>
        <w:t>Przepustowość oczyszczalni (m</w:t>
      </w:r>
      <w:r w:rsidRPr="00EC029F">
        <w:rPr>
          <w:sz w:val="22"/>
          <w:szCs w:val="22"/>
          <w:vertAlign w:val="superscript"/>
          <w:lang w:val="pl-PL"/>
        </w:rPr>
        <w:t>3</w:t>
      </w:r>
      <w:r w:rsidRPr="00EC029F">
        <w:rPr>
          <w:sz w:val="22"/>
          <w:szCs w:val="22"/>
          <w:lang w:val="pl-PL"/>
        </w:rPr>
        <w:t>/dobę) w latach 2013 i 2019</w:t>
      </w:r>
      <w:bookmarkEnd w:id="151"/>
    </w:p>
    <w:p w14:paraId="76555215" w14:textId="77777777" w:rsidR="00FB56BD" w:rsidRDefault="00FB56BD" w:rsidP="007206CE">
      <w:pPr>
        <w:spacing w:after="0"/>
        <w:jc w:val="center"/>
      </w:pPr>
      <w:r>
        <w:rPr>
          <w:noProof/>
          <w:lang w:eastAsia="pl-PL"/>
        </w:rPr>
        <w:drawing>
          <wp:inline distT="0" distB="0" distL="0" distR="0" wp14:anchorId="5A442EB6" wp14:editId="409D6543">
            <wp:extent cx="4708477" cy="2456597"/>
            <wp:effectExtent l="0" t="0" r="16510" b="1270"/>
            <wp:docPr id="30" name="Wykres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23AE0C5" w14:textId="77777777" w:rsidR="001A61D5" w:rsidRDefault="001A61D5" w:rsidP="007206CE">
      <w:pPr>
        <w:spacing w:after="0"/>
        <w:jc w:val="center"/>
      </w:pPr>
      <w:r w:rsidRPr="0091031D">
        <w:rPr>
          <w:i/>
          <w:sz w:val="20"/>
          <w:szCs w:val="20"/>
        </w:rPr>
        <w:t>źródło: opracowanie własne na podstawie danych GUS</w:t>
      </w:r>
    </w:p>
    <w:p w14:paraId="67CDCA31" w14:textId="77777777" w:rsidR="001A61D5" w:rsidRDefault="001A61D5" w:rsidP="00FB56BD">
      <w:pPr>
        <w:jc w:val="both"/>
      </w:pPr>
    </w:p>
    <w:p w14:paraId="5CD2B7D4" w14:textId="068F34A8" w:rsidR="001A61D5" w:rsidRDefault="001A61D5" w:rsidP="00FB56BD">
      <w:pPr>
        <w:jc w:val="both"/>
      </w:pPr>
      <w:r>
        <w:lastRenderedPageBreak/>
        <w:t xml:space="preserve">100% olsztynian korzysta z oczyszczalni ścieków. We wszystkich pozostałych miastach Polski </w:t>
      </w:r>
      <w:r>
        <w:br/>
        <w:t xml:space="preserve">Wschodniej odsetek skanalizowania przekracza wartość 95%. </w:t>
      </w:r>
      <w:r w:rsidR="006C0284">
        <w:t>W roku 2019 n</w:t>
      </w:r>
      <w:r>
        <w:t xml:space="preserve">ajniższy poziom </w:t>
      </w:r>
      <w:r w:rsidR="006C0284">
        <w:t xml:space="preserve">zaobserwowano w Lublinie (95,8%), w którym ponadto - jako jedynym spośród analizowanych miast  - nastąpił spadek użytkowników podłączonych do oczyszczalni (porównując dane za rok 2019 </w:t>
      </w:r>
      <w:r w:rsidR="006C0284">
        <w:br/>
        <w:t>w stosunku do roku 2013).</w:t>
      </w:r>
    </w:p>
    <w:p w14:paraId="34AF1783" w14:textId="7E9221B6" w:rsidR="00EC029F" w:rsidRPr="00EC029F" w:rsidRDefault="00EC029F" w:rsidP="00EC029F">
      <w:pPr>
        <w:pStyle w:val="Legenda"/>
        <w:rPr>
          <w:sz w:val="22"/>
          <w:szCs w:val="22"/>
          <w:lang w:val="pl-PL"/>
        </w:rPr>
      </w:pPr>
      <w:bookmarkStart w:id="152" w:name="_Toc73516108"/>
      <w:r w:rsidRPr="00EC029F">
        <w:rPr>
          <w:sz w:val="22"/>
          <w:szCs w:val="22"/>
        </w:rPr>
        <w:t xml:space="preserve">Wykres </w:t>
      </w:r>
      <w:r w:rsidRPr="00EC029F">
        <w:rPr>
          <w:sz w:val="22"/>
          <w:szCs w:val="22"/>
        </w:rPr>
        <w:fldChar w:fldCharType="begin"/>
      </w:r>
      <w:r w:rsidRPr="00EC029F">
        <w:rPr>
          <w:sz w:val="22"/>
          <w:szCs w:val="22"/>
        </w:rPr>
        <w:instrText xml:space="preserve"> SEQ Wykres \* ARABIC </w:instrText>
      </w:r>
      <w:r w:rsidRPr="00EC029F">
        <w:rPr>
          <w:sz w:val="22"/>
          <w:szCs w:val="22"/>
        </w:rPr>
        <w:fldChar w:fldCharType="separate"/>
      </w:r>
      <w:r w:rsidR="00AD58C3">
        <w:rPr>
          <w:noProof/>
          <w:sz w:val="22"/>
          <w:szCs w:val="22"/>
        </w:rPr>
        <w:t>46</w:t>
      </w:r>
      <w:r w:rsidRPr="00EC029F">
        <w:rPr>
          <w:sz w:val="22"/>
          <w:szCs w:val="22"/>
        </w:rPr>
        <w:fldChar w:fldCharType="end"/>
      </w:r>
      <w:r w:rsidRPr="00EC029F">
        <w:rPr>
          <w:sz w:val="22"/>
          <w:szCs w:val="22"/>
        </w:rPr>
        <w:t xml:space="preserve">. </w:t>
      </w:r>
      <w:r w:rsidRPr="00EC029F">
        <w:rPr>
          <w:bCs/>
          <w:sz w:val="22"/>
          <w:szCs w:val="22"/>
          <w:lang w:val="pl-PL"/>
        </w:rPr>
        <w:t>Ludność korzystająca z oczyszczalni ścieków w % ogólnej liczbie mieszkańców w latach 2013 i 2019</w:t>
      </w:r>
      <w:bookmarkEnd w:id="152"/>
    </w:p>
    <w:p w14:paraId="1AE32DCA" w14:textId="77777777" w:rsidR="001A61D5" w:rsidRDefault="001A61D5" w:rsidP="007206CE">
      <w:pPr>
        <w:spacing w:after="0"/>
        <w:jc w:val="center"/>
      </w:pPr>
      <w:r>
        <w:rPr>
          <w:noProof/>
          <w:lang w:eastAsia="pl-PL"/>
        </w:rPr>
        <w:drawing>
          <wp:inline distT="0" distB="0" distL="0" distR="0" wp14:anchorId="7594E165" wp14:editId="629D1227">
            <wp:extent cx="4558352" cy="2545308"/>
            <wp:effectExtent l="0" t="0" r="13970" b="7620"/>
            <wp:docPr id="64" name="Wykres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86055D5" w14:textId="77777777" w:rsidR="001A61D5" w:rsidRDefault="001A61D5" w:rsidP="007206CE">
      <w:pPr>
        <w:spacing w:after="0"/>
        <w:jc w:val="center"/>
      </w:pPr>
      <w:r w:rsidRPr="0091031D">
        <w:rPr>
          <w:i/>
          <w:sz w:val="20"/>
          <w:szCs w:val="20"/>
        </w:rPr>
        <w:t>źródło: opracowanie własne na podstawie danych GUS</w:t>
      </w:r>
    </w:p>
    <w:p w14:paraId="42C98FBD" w14:textId="77777777" w:rsidR="001442EE" w:rsidRDefault="001442EE" w:rsidP="00FB56BD">
      <w:pPr>
        <w:jc w:val="both"/>
      </w:pPr>
    </w:p>
    <w:p w14:paraId="499C2AD0" w14:textId="28569AB3" w:rsidR="00C75B23" w:rsidRDefault="00C75B23" w:rsidP="00C75B23">
      <w:pPr>
        <w:jc w:val="both"/>
      </w:pPr>
      <w:r>
        <w:t xml:space="preserve">Najwyższe roczne zapotrzebowanie na wodę ogółem obserwuje się w roku 2019 w Lublinie (prawie </w:t>
      </w:r>
      <w:r>
        <w:br/>
        <w:t>19 412 dam</w:t>
      </w:r>
      <w:r>
        <w:rPr>
          <w:vertAlign w:val="superscript"/>
        </w:rPr>
        <w:t>3</w:t>
      </w:r>
      <w:r>
        <w:t xml:space="preserve">). </w:t>
      </w:r>
      <w:r w:rsidR="00432DA6">
        <w:t xml:space="preserve">W </w:t>
      </w:r>
      <w:r>
        <w:t xml:space="preserve">Olsztynie </w:t>
      </w:r>
      <w:r w:rsidR="00432DA6">
        <w:t>zapotrzebowanie na wodę</w:t>
      </w:r>
      <w:r w:rsidR="00017BC0">
        <w:t xml:space="preserve"> </w:t>
      </w:r>
      <w:r w:rsidR="00432DA6">
        <w:t xml:space="preserve">było </w:t>
      </w:r>
      <w:r w:rsidR="00017BC0">
        <w:t>n</w:t>
      </w:r>
      <w:r w:rsidR="00432DA6">
        <w:t>iższe o 2 179 dam</w:t>
      </w:r>
      <w:r w:rsidR="00432DA6">
        <w:rPr>
          <w:vertAlign w:val="superscript"/>
        </w:rPr>
        <w:t xml:space="preserve">3 </w:t>
      </w:r>
      <w:r w:rsidR="00432DA6">
        <w:t>w roku 2019 (11 288,5 dam</w:t>
      </w:r>
      <w:r w:rsidR="00432DA6">
        <w:rPr>
          <w:vertAlign w:val="superscript"/>
        </w:rPr>
        <w:t>3</w:t>
      </w:r>
      <w:r w:rsidR="00432DA6">
        <w:t>) w porównaniu do roku 2013 (13 467,5 dam</w:t>
      </w:r>
      <w:r w:rsidR="00432DA6">
        <w:rPr>
          <w:vertAlign w:val="superscript"/>
        </w:rPr>
        <w:t>3</w:t>
      </w:r>
      <w:r w:rsidR="00432DA6">
        <w:t xml:space="preserve">). </w:t>
      </w:r>
      <w:r w:rsidR="00017BC0">
        <w:t>Jednocześnie było ono mniejsze o około 42% niż zużycie wykazane w roku 2019 w Lublinie.</w:t>
      </w:r>
    </w:p>
    <w:p w14:paraId="451DC7DB" w14:textId="2AC70803" w:rsidR="00EC029F" w:rsidRPr="00EC029F" w:rsidRDefault="00EC029F" w:rsidP="00EC029F">
      <w:pPr>
        <w:pStyle w:val="Legenda"/>
        <w:rPr>
          <w:sz w:val="22"/>
          <w:szCs w:val="22"/>
          <w:lang w:val="pl-PL"/>
        </w:rPr>
      </w:pPr>
      <w:bookmarkStart w:id="153" w:name="_Toc73516109"/>
      <w:r w:rsidRPr="00EC029F">
        <w:rPr>
          <w:sz w:val="22"/>
          <w:szCs w:val="22"/>
        </w:rPr>
        <w:t xml:space="preserve">Wykres </w:t>
      </w:r>
      <w:r w:rsidRPr="00EC029F">
        <w:rPr>
          <w:sz w:val="22"/>
          <w:szCs w:val="22"/>
        </w:rPr>
        <w:fldChar w:fldCharType="begin"/>
      </w:r>
      <w:r w:rsidRPr="00EC029F">
        <w:rPr>
          <w:sz w:val="22"/>
          <w:szCs w:val="22"/>
        </w:rPr>
        <w:instrText xml:space="preserve"> SEQ Wykres \* ARABIC </w:instrText>
      </w:r>
      <w:r w:rsidRPr="00EC029F">
        <w:rPr>
          <w:sz w:val="22"/>
          <w:szCs w:val="22"/>
        </w:rPr>
        <w:fldChar w:fldCharType="separate"/>
      </w:r>
      <w:r w:rsidR="00AD58C3">
        <w:rPr>
          <w:noProof/>
          <w:sz w:val="22"/>
          <w:szCs w:val="22"/>
        </w:rPr>
        <w:t>47</w:t>
      </w:r>
      <w:r w:rsidRPr="00EC029F">
        <w:rPr>
          <w:sz w:val="22"/>
          <w:szCs w:val="22"/>
        </w:rPr>
        <w:fldChar w:fldCharType="end"/>
      </w:r>
      <w:r w:rsidRPr="00EC029F">
        <w:rPr>
          <w:sz w:val="22"/>
          <w:szCs w:val="22"/>
        </w:rPr>
        <w:t xml:space="preserve">. </w:t>
      </w:r>
      <w:r w:rsidRPr="00EC029F">
        <w:rPr>
          <w:bCs/>
          <w:sz w:val="22"/>
          <w:szCs w:val="22"/>
          <w:lang w:val="pl-PL"/>
        </w:rPr>
        <w:t>Zużycie wody na potrzeby gospodarki narodowej i ludności w ciągu roku ogółem (dam</w:t>
      </w:r>
      <w:r w:rsidRPr="00EC029F">
        <w:rPr>
          <w:bCs/>
          <w:sz w:val="22"/>
          <w:szCs w:val="22"/>
          <w:vertAlign w:val="superscript"/>
          <w:lang w:val="pl-PL"/>
        </w:rPr>
        <w:t>3</w:t>
      </w:r>
      <w:r w:rsidRPr="00EC029F">
        <w:rPr>
          <w:bCs/>
          <w:sz w:val="22"/>
          <w:szCs w:val="22"/>
          <w:lang w:val="pl-PL"/>
        </w:rPr>
        <w:t xml:space="preserve">) </w:t>
      </w:r>
      <w:r w:rsidR="00206773">
        <w:rPr>
          <w:bCs/>
          <w:sz w:val="22"/>
          <w:szCs w:val="22"/>
          <w:lang w:val="pl-PL"/>
        </w:rPr>
        <w:br/>
      </w:r>
      <w:r w:rsidRPr="00EC029F">
        <w:rPr>
          <w:bCs/>
          <w:sz w:val="22"/>
          <w:szCs w:val="22"/>
          <w:lang w:val="pl-PL"/>
        </w:rPr>
        <w:t>w latach 2013 i 2019</w:t>
      </w:r>
      <w:bookmarkEnd w:id="153"/>
    </w:p>
    <w:p w14:paraId="07234FA6" w14:textId="77777777" w:rsidR="00C75B23" w:rsidRDefault="00C75B23" w:rsidP="009F02A4">
      <w:pPr>
        <w:spacing w:after="0"/>
        <w:jc w:val="center"/>
      </w:pPr>
      <w:r>
        <w:rPr>
          <w:noProof/>
          <w:lang w:eastAsia="pl-PL"/>
        </w:rPr>
        <w:drawing>
          <wp:inline distT="0" distB="0" distL="0" distR="0" wp14:anchorId="3D1BDE70" wp14:editId="3BDCEEAF">
            <wp:extent cx="4565176" cy="2681785"/>
            <wp:effectExtent l="0" t="0" r="6985" b="4445"/>
            <wp:docPr id="67" name="Wykres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0B33DDC" w14:textId="77777777" w:rsidR="009F02A4" w:rsidRDefault="009F02A4" w:rsidP="009F02A4">
      <w:pPr>
        <w:spacing w:after="0"/>
        <w:jc w:val="center"/>
      </w:pPr>
      <w:r w:rsidRPr="0091031D">
        <w:rPr>
          <w:i/>
          <w:sz w:val="20"/>
          <w:szCs w:val="20"/>
        </w:rPr>
        <w:t>źródło: opracowanie własne na podstawie danych GUS</w:t>
      </w:r>
    </w:p>
    <w:p w14:paraId="275927B8" w14:textId="77777777" w:rsidR="00C75B23" w:rsidRDefault="00C75B23" w:rsidP="00C75B23">
      <w:pPr>
        <w:jc w:val="both"/>
      </w:pPr>
    </w:p>
    <w:p w14:paraId="22558EFE" w14:textId="7C0EF891" w:rsidR="00C75B23" w:rsidRDefault="00547381" w:rsidP="00C75B23">
      <w:pPr>
        <w:jc w:val="both"/>
      </w:pPr>
      <w:r>
        <w:lastRenderedPageBreak/>
        <w:t xml:space="preserve">Na terenie omawianych miast, w analizowanych latach 2013 i 2019 najwyższy udział % przemysłu </w:t>
      </w:r>
      <w:r>
        <w:br/>
        <w:t xml:space="preserve">w zapotrzebowaniu na wodę wykazuje Olsztyn (35,9% w roku 2013 i 28,2% w roku 2019). </w:t>
      </w:r>
      <w:r w:rsidR="00206773">
        <w:br/>
      </w:r>
      <w:r>
        <w:t xml:space="preserve">W pozostałych miastach zużycie wody na potrzeby przemysłu kształtuje się na poziomie od 4,6% </w:t>
      </w:r>
      <w:r w:rsidR="001C6CED">
        <w:br/>
      </w:r>
      <w:r>
        <w:t>w Kielcach do 16,3% w Lublinie</w:t>
      </w:r>
      <w:r w:rsidR="001C6CED">
        <w:t xml:space="preserve"> (2019)</w:t>
      </w:r>
      <w:r>
        <w:t>.</w:t>
      </w:r>
    </w:p>
    <w:p w14:paraId="1EE153BA" w14:textId="03B82222" w:rsidR="00EC029F" w:rsidRPr="00EC029F" w:rsidRDefault="00EC029F" w:rsidP="00EC029F">
      <w:pPr>
        <w:pStyle w:val="Legenda"/>
        <w:rPr>
          <w:sz w:val="22"/>
          <w:szCs w:val="22"/>
          <w:lang w:val="pl-PL"/>
        </w:rPr>
      </w:pPr>
      <w:bookmarkStart w:id="154" w:name="_Toc73516110"/>
      <w:r w:rsidRPr="00EC029F">
        <w:rPr>
          <w:sz w:val="22"/>
          <w:szCs w:val="22"/>
        </w:rPr>
        <w:t xml:space="preserve">Wykres </w:t>
      </w:r>
      <w:r w:rsidRPr="00EC029F">
        <w:rPr>
          <w:sz w:val="22"/>
          <w:szCs w:val="22"/>
        </w:rPr>
        <w:fldChar w:fldCharType="begin"/>
      </w:r>
      <w:r w:rsidRPr="00EC029F">
        <w:rPr>
          <w:sz w:val="22"/>
          <w:szCs w:val="22"/>
        </w:rPr>
        <w:instrText xml:space="preserve"> SEQ Wykres \* ARABIC </w:instrText>
      </w:r>
      <w:r w:rsidRPr="00EC029F">
        <w:rPr>
          <w:sz w:val="22"/>
          <w:szCs w:val="22"/>
        </w:rPr>
        <w:fldChar w:fldCharType="separate"/>
      </w:r>
      <w:r w:rsidR="00AD58C3">
        <w:rPr>
          <w:noProof/>
          <w:sz w:val="22"/>
          <w:szCs w:val="22"/>
        </w:rPr>
        <w:t>48</w:t>
      </w:r>
      <w:r w:rsidRPr="00EC029F">
        <w:rPr>
          <w:sz w:val="22"/>
          <w:szCs w:val="22"/>
        </w:rPr>
        <w:fldChar w:fldCharType="end"/>
      </w:r>
      <w:r w:rsidRPr="00EC029F">
        <w:rPr>
          <w:sz w:val="22"/>
          <w:szCs w:val="22"/>
        </w:rPr>
        <w:t>.</w:t>
      </w:r>
      <w:r w:rsidRPr="00EC029F">
        <w:rPr>
          <w:rFonts w:eastAsiaTheme="minorEastAsia" w:hAnsi="Times New Roman"/>
          <w:bCs/>
          <w:color w:val="000000"/>
          <w:kern w:val="24"/>
          <w:sz w:val="22"/>
          <w:szCs w:val="22"/>
          <w:lang w:eastAsia="pl-PL"/>
        </w:rPr>
        <w:t xml:space="preserve"> </w:t>
      </w:r>
      <w:r w:rsidRPr="00EC029F">
        <w:rPr>
          <w:bCs/>
          <w:sz w:val="22"/>
          <w:szCs w:val="22"/>
          <w:lang w:val="pl-PL"/>
        </w:rPr>
        <w:t>Udział % przemysłu w zużyciu wody ogółem w latach 2013 i 2019</w:t>
      </w:r>
      <w:bookmarkEnd w:id="154"/>
    </w:p>
    <w:p w14:paraId="475B753F" w14:textId="77777777" w:rsidR="00C75B23" w:rsidRDefault="00C75B23" w:rsidP="009F02A4">
      <w:pPr>
        <w:spacing w:after="0"/>
        <w:jc w:val="center"/>
      </w:pPr>
      <w:r>
        <w:rPr>
          <w:noProof/>
          <w:lang w:eastAsia="pl-PL"/>
        </w:rPr>
        <w:drawing>
          <wp:inline distT="0" distB="0" distL="0" distR="0" wp14:anchorId="0A61F899" wp14:editId="36BEC7E6">
            <wp:extent cx="4585648" cy="2518012"/>
            <wp:effectExtent l="0" t="0" r="5715" b="15875"/>
            <wp:docPr id="70" name="Wykres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AADDCF6" w14:textId="77777777" w:rsidR="009F02A4" w:rsidRDefault="009F02A4" w:rsidP="009F02A4">
      <w:pPr>
        <w:spacing w:after="0"/>
        <w:jc w:val="center"/>
      </w:pPr>
      <w:r w:rsidRPr="0091031D">
        <w:rPr>
          <w:i/>
          <w:sz w:val="20"/>
          <w:szCs w:val="20"/>
        </w:rPr>
        <w:t>źródło: opracowanie własne na podstawie danych GUS</w:t>
      </w:r>
    </w:p>
    <w:p w14:paraId="1B029280" w14:textId="77777777" w:rsidR="00C75B23" w:rsidRDefault="00C75B23" w:rsidP="00C75B23">
      <w:pPr>
        <w:jc w:val="both"/>
      </w:pPr>
    </w:p>
    <w:p w14:paraId="4CBAF6C4" w14:textId="77777777" w:rsidR="00C75B23" w:rsidRDefault="00C75B23" w:rsidP="00C75B23">
      <w:pPr>
        <w:jc w:val="both"/>
      </w:pPr>
    </w:p>
    <w:p w14:paraId="25C45EB8" w14:textId="0B40C18B" w:rsidR="00EC029F" w:rsidRPr="00EC029F" w:rsidRDefault="00EC029F" w:rsidP="00EC029F">
      <w:pPr>
        <w:pStyle w:val="Legenda"/>
        <w:rPr>
          <w:sz w:val="22"/>
          <w:szCs w:val="22"/>
          <w:lang w:val="pl-PL"/>
        </w:rPr>
      </w:pPr>
      <w:bookmarkStart w:id="155" w:name="_Toc73516111"/>
      <w:r w:rsidRPr="00EC029F">
        <w:rPr>
          <w:sz w:val="22"/>
          <w:szCs w:val="22"/>
        </w:rPr>
        <w:t xml:space="preserve">Wykres </w:t>
      </w:r>
      <w:r w:rsidRPr="00EC029F">
        <w:rPr>
          <w:sz w:val="22"/>
          <w:szCs w:val="22"/>
        </w:rPr>
        <w:fldChar w:fldCharType="begin"/>
      </w:r>
      <w:r w:rsidRPr="00EC029F">
        <w:rPr>
          <w:sz w:val="22"/>
          <w:szCs w:val="22"/>
        </w:rPr>
        <w:instrText xml:space="preserve"> SEQ Wykres \* ARABIC </w:instrText>
      </w:r>
      <w:r w:rsidRPr="00EC029F">
        <w:rPr>
          <w:sz w:val="22"/>
          <w:szCs w:val="22"/>
        </w:rPr>
        <w:fldChar w:fldCharType="separate"/>
      </w:r>
      <w:r w:rsidR="00AD58C3">
        <w:rPr>
          <w:noProof/>
          <w:sz w:val="22"/>
          <w:szCs w:val="22"/>
        </w:rPr>
        <w:t>49</w:t>
      </w:r>
      <w:r w:rsidRPr="00EC029F">
        <w:rPr>
          <w:sz w:val="22"/>
          <w:szCs w:val="22"/>
        </w:rPr>
        <w:fldChar w:fldCharType="end"/>
      </w:r>
      <w:r w:rsidRPr="00EC029F">
        <w:rPr>
          <w:sz w:val="22"/>
          <w:szCs w:val="22"/>
        </w:rPr>
        <w:t xml:space="preserve">. </w:t>
      </w:r>
      <w:r w:rsidRPr="00EC029F">
        <w:rPr>
          <w:bCs/>
          <w:sz w:val="22"/>
          <w:szCs w:val="22"/>
          <w:lang w:val="pl-PL"/>
        </w:rPr>
        <w:t>Zużycie wody ogółem w przeliczeniu na 1 mieszkańca (m</w:t>
      </w:r>
      <w:r w:rsidRPr="00EC029F">
        <w:rPr>
          <w:bCs/>
          <w:sz w:val="22"/>
          <w:szCs w:val="22"/>
          <w:vertAlign w:val="superscript"/>
          <w:lang w:val="pl-PL"/>
        </w:rPr>
        <w:t>3</w:t>
      </w:r>
      <w:r w:rsidRPr="00EC029F">
        <w:rPr>
          <w:bCs/>
          <w:sz w:val="22"/>
          <w:szCs w:val="22"/>
          <w:lang w:val="pl-PL"/>
        </w:rPr>
        <w:t>) w latach 2013 i 2019</w:t>
      </w:r>
      <w:bookmarkEnd w:id="155"/>
    </w:p>
    <w:p w14:paraId="0DF0F66C" w14:textId="77777777" w:rsidR="00C75B23" w:rsidRDefault="00C75B23" w:rsidP="00EC029F">
      <w:pPr>
        <w:spacing w:after="0"/>
        <w:jc w:val="center"/>
      </w:pPr>
      <w:r>
        <w:rPr>
          <w:noProof/>
          <w:lang w:eastAsia="pl-PL"/>
        </w:rPr>
        <w:drawing>
          <wp:inline distT="0" distB="0" distL="0" distR="0" wp14:anchorId="4520B827" wp14:editId="4F399C95">
            <wp:extent cx="4572000" cy="2743200"/>
            <wp:effectExtent l="0" t="0" r="0" b="0"/>
            <wp:docPr id="69" name="Wykres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D877807" w14:textId="77777777" w:rsidR="00EC029F" w:rsidRDefault="00EC029F" w:rsidP="00EC029F">
      <w:pPr>
        <w:spacing w:after="0"/>
        <w:jc w:val="center"/>
      </w:pPr>
      <w:r w:rsidRPr="0091031D">
        <w:rPr>
          <w:i/>
          <w:sz w:val="20"/>
          <w:szCs w:val="20"/>
        </w:rPr>
        <w:t>źródło: opracowanie własne na podstawie danych GUS</w:t>
      </w:r>
    </w:p>
    <w:p w14:paraId="702A44AE" w14:textId="77777777" w:rsidR="00C75B23" w:rsidRDefault="00C75B23" w:rsidP="00C75B23">
      <w:pPr>
        <w:jc w:val="both"/>
      </w:pPr>
    </w:p>
    <w:p w14:paraId="2099B0F0" w14:textId="77777777" w:rsidR="001442EE" w:rsidRDefault="0067760D" w:rsidP="005A5BEB">
      <w:pPr>
        <w:pStyle w:val="Nagwek3"/>
      </w:pPr>
      <w:bookmarkStart w:id="156" w:name="_Toc73534910"/>
      <w:r>
        <w:t xml:space="preserve">2.2.3 </w:t>
      </w:r>
      <w:r w:rsidR="001442EE">
        <w:t>Woda pitna</w:t>
      </w:r>
      <w:bookmarkEnd w:id="156"/>
    </w:p>
    <w:p w14:paraId="4325A60D" w14:textId="5DBEE396" w:rsidR="001442EE" w:rsidRDefault="001442EE" w:rsidP="00F13C7E">
      <w:pPr>
        <w:pStyle w:val="NormalnyWeb"/>
        <w:jc w:val="both"/>
        <w:rPr>
          <w:rFonts w:asciiTheme="minorHAnsi" w:eastAsia="Times New Roman" w:hAnsiTheme="minorHAnsi"/>
          <w:bCs/>
          <w:sz w:val="22"/>
          <w:szCs w:val="22"/>
          <w:lang w:eastAsia="pl-PL"/>
        </w:rPr>
      </w:pPr>
      <w:r w:rsidRPr="00F13C7E">
        <w:rPr>
          <w:rFonts w:asciiTheme="minorHAnsi" w:hAnsiTheme="minorHAnsi"/>
          <w:sz w:val="22"/>
          <w:szCs w:val="22"/>
        </w:rPr>
        <w:t>Woda wodociągowa w Olsztynie pochodzi ze studni wierconych z utworów czwartorzędowych (studnie o głębokości 50-100 m) oraz z utworów trzeciorzędowych (studnie o głębokości 250-320 m).</w:t>
      </w:r>
      <w:r w:rsidRPr="00F13C7E">
        <w:rPr>
          <w:rFonts w:asciiTheme="minorHAnsi" w:hAnsiTheme="minorHAnsi" w:cs="Arial"/>
          <w:sz w:val="22"/>
          <w:szCs w:val="22"/>
        </w:rPr>
        <w:t xml:space="preserve"> </w:t>
      </w:r>
      <w:r w:rsidRPr="00F13C7E">
        <w:rPr>
          <w:rFonts w:asciiTheme="minorHAnsi" w:eastAsia="Times New Roman" w:hAnsiTheme="minorHAnsi" w:cs="Arial"/>
          <w:sz w:val="22"/>
          <w:szCs w:val="22"/>
          <w:lang w:eastAsia="pl-PL"/>
        </w:rPr>
        <w:t>Woda wydobywana </w:t>
      </w:r>
      <w:r w:rsidR="0056452A">
        <w:rPr>
          <w:rFonts w:asciiTheme="minorHAnsi" w:eastAsia="Times New Roman" w:hAnsiTheme="minorHAnsi" w:cs="Arial"/>
          <w:sz w:val="22"/>
          <w:szCs w:val="22"/>
          <w:lang w:eastAsia="pl-PL"/>
        </w:rPr>
        <w:t xml:space="preserve"> </w:t>
      </w:r>
      <w:r w:rsidRPr="00F13C7E">
        <w:rPr>
          <w:rFonts w:asciiTheme="minorHAnsi" w:eastAsia="Times New Roman" w:hAnsiTheme="minorHAnsi" w:cs="Arial"/>
          <w:sz w:val="22"/>
          <w:szCs w:val="22"/>
          <w:lang w:eastAsia="pl-PL"/>
        </w:rPr>
        <w:t>ze </w:t>
      </w:r>
      <w:r w:rsidR="0056452A">
        <w:rPr>
          <w:rFonts w:asciiTheme="minorHAnsi" w:eastAsia="Times New Roman" w:hAnsiTheme="minorHAnsi" w:cs="Arial"/>
          <w:sz w:val="22"/>
          <w:szCs w:val="22"/>
          <w:lang w:eastAsia="pl-PL"/>
        </w:rPr>
        <w:t xml:space="preserve"> </w:t>
      </w:r>
      <w:r w:rsidRPr="00F13C7E">
        <w:rPr>
          <w:rFonts w:asciiTheme="minorHAnsi" w:eastAsia="Times New Roman" w:hAnsiTheme="minorHAnsi" w:cs="Arial"/>
          <w:sz w:val="22"/>
          <w:szCs w:val="22"/>
          <w:lang w:eastAsia="pl-PL"/>
        </w:rPr>
        <w:t>studni, </w:t>
      </w:r>
      <w:r w:rsidR="0056452A">
        <w:rPr>
          <w:rFonts w:asciiTheme="minorHAnsi" w:eastAsia="Times New Roman" w:hAnsiTheme="minorHAnsi" w:cs="Arial"/>
          <w:sz w:val="22"/>
          <w:szCs w:val="22"/>
          <w:lang w:eastAsia="pl-PL"/>
        </w:rPr>
        <w:t xml:space="preserve"> </w:t>
      </w:r>
      <w:r w:rsidRPr="00F13C7E">
        <w:rPr>
          <w:rFonts w:asciiTheme="minorHAnsi" w:eastAsia="Times New Roman" w:hAnsiTheme="minorHAnsi" w:cs="Arial"/>
          <w:sz w:val="22"/>
          <w:szCs w:val="22"/>
          <w:lang w:eastAsia="pl-PL"/>
        </w:rPr>
        <w:t>nazywana </w:t>
      </w:r>
      <w:r w:rsidR="0056452A">
        <w:rPr>
          <w:rFonts w:asciiTheme="minorHAnsi" w:eastAsia="Times New Roman" w:hAnsiTheme="minorHAnsi" w:cs="Arial"/>
          <w:sz w:val="22"/>
          <w:szCs w:val="22"/>
          <w:lang w:eastAsia="pl-PL"/>
        </w:rPr>
        <w:t xml:space="preserve"> </w:t>
      </w:r>
      <w:r w:rsidRPr="00F13C7E">
        <w:rPr>
          <w:rFonts w:asciiTheme="minorHAnsi" w:eastAsia="Times New Roman" w:hAnsiTheme="minorHAnsi" w:cs="Arial"/>
          <w:sz w:val="22"/>
          <w:szCs w:val="22"/>
          <w:lang w:eastAsia="pl-PL"/>
        </w:rPr>
        <w:t>surową, </w:t>
      </w:r>
      <w:r w:rsidR="0056452A">
        <w:rPr>
          <w:rFonts w:asciiTheme="minorHAnsi" w:eastAsia="Times New Roman" w:hAnsiTheme="minorHAnsi" w:cs="Arial"/>
          <w:sz w:val="22"/>
          <w:szCs w:val="22"/>
          <w:lang w:eastAsia="pl-PL"/>
        </w:rPr>
        <w:t xml:space="preserve"> </w:t>
      </w:r>
      <w:r w:rsidRPr="00F13C7E">
        <w:rPr>
          <w:rFonts w:asciiTheme="minorHAnsi" w:eastAsia="Times New Roman" w:hAnsiTheme="minorHAnsi" w:cs="Arial"/>
          <w:sz w:val="22"/>
          <w:szCs w:val="22"/>
          <w:lang w:eastAsia="pl-PL"/>
        </w:rPr>
        <w:t>posiada</w:t>
      </w:r>
      <w:r w:rsidR="0056452A">
        <w:rPr>
          <w:rFonts w:asciiTheme="minorHAnsi" w:eastAsia="Times New Roman" w:hAnsiTheme="minorHAnsi" w:cs="Arial"/>
          <w:sz w:val="22"/>
          <w:szCs w:val="22"/>
          <w:lang w:eastAsia="pl-PL"/>
        </w:rPr>
        <w:t xml:space="preserve"> </w:t>
      </w:r>
      <w:r w:rsidRPr="00F13C7E">
        <w:rPr>
          <w:rFonts w:asciiTheme="minorHAnsi" w:eastAsia="Times New Roman" w:hAnsiTheme="minorHAnsi" w:cs="Arial"/>
          <w:sz w:val="22"/>
          <w:szCs w:val="22"/>
          <w:lang w:eastAsia="pl-PL"/>
        </w:rPr>
        <w:t>nadmierną zawartość żelaza i manganu.</w:t>
      </w:r>
      <w:r w:rsidR="0056452A">
        <w:rPr>
          <w:rFonts w:asciiTheme="minorHAnsi" w:eastAsia="Times New Roman" w:hAnsiTheme="minorHAnsi" w:cs="Arial"/>
          <w:sz w:val="22"/>
          <w:szCs w:val="22"/>
          <w:lang w:eastAsia="pl-PL"/>
        </w:rPr>
        <w:t xml:space="preserve"> </w:t>
      </w:r>
      <w:r w:rsidR="0056452A">
        <w:rPr>
          <w:rFonts w:asciiTheme="minorHAnsi" w:eastAsia="Times New Roman" w:hAnsiTheme="minorHAnsi" w:cs="Arial"/>
          <w:sz w:val="22"/>
          <w:szCs w:val="22"/>
          <w:lang w:eastAsia="pl-PL"/>
        </w:rPr>
        <w:br/>
      </w:r>
      <w:r w:rsidR="00F13C7E" w:rsidRPr="00F13C7E">
        <w:rPr>
          <w:rFonts w:asciiTheme="minorHAnsi" w:eastAsia="Times New Roman" w:hAnsiTheme="minorHAnsi" w:cs="Arial"/>
          <w:sz w:val="22"/>
          <w:szCs w:val="22"/>
          <w:lang w:eastAsia="pl-PL"/>
        </w:rPr>
        <w:t>W celu usunięcia tych związków, w</w:t>
      </w:r>
      <w:r w:rsidRPr="00F13C7E">
        <w:rPr>
          <w:rFonts w:asciiTheme="minorHAnsi" w:eastAsia="Times New Roman" w:hAnsiTheme="minorHAnsi" w:cs="Arial"/>
          <w:sz w:val="22"/>
          <w:szCs w:val="22"/>
          <w:lang w:eastAsia="pl-PL"/>
        </w:rPr>
        <w:t>oda jest uzdatniana w Stacjach Uzdatniania Wody</w:t>
      </w:r>
      <w:r w:rsidR="00F13C7E" w:rsidRPr="00F13C7E">
        <w:rPr>
          <w:rFonts w:asciiTheme="minorHAnsi" w:eastAsia="Times New Roman" w:hAnsiTheme="minorHAnsi" w:cs="Arial"/>
          <w:sz w:val="22"/>
          <w:szCs w:val="22"/>
          <w:lang w:eastAsia="pl-PL"/>
        </w:rPr>
        <w:t>.</w:t>
      </w:r>
      <w:r w:rsidRPr="00F13C7E">
        <w:rPr>
          <w:rFonts w:asciiTheme="minorHAnsi" w:eastAsia="Times New Roman" w:hAnsiTheme="minorHAnsi" w:cs="Arial"/>
          <w:sz w:val="22"/>
          <w:szCs w:val="22"/>
          <w:lang w:eastAsia="pl-PL"/>
        </w:rPr>
        <w:t xml:space="preserve"> Woda nie </w:t>
      </w:r>
      <w:r w:rsidRPr="00F13C7E">
        <w:rPr>
          <w:rFonts w:asciiTheme="minorHAnsi" w:eastAsia="Times New Roman" w:hAnsiTheme="minorHAnsi" w:cs="Arial"/>
          <w:sz w:val="22"/>
          <w:szCs w:val="22"/>
          <w:lang w:eastAsia="pl-PL"/>
        </w:rPr>
        <w:lastRenderedPageBreak/>
        <w:t>wymaga dezynfekcji</w:t>
      </w:r>
      <w:r w:rsidRPr="00F13C7E">
        <w:rPr>
          <w:rFonts w:asciiTheme="minorHAnsi" w:eastAsia="Times New Roman" w:hAnsiTheme="minorHAnsi"/>
          <w:b/>
          <w:bCs/>
          <w:sz w:val="22"/>
          <w:szCs w:val="22"/>
          <w:lang w:eastAsia="pl-PL"/>
        </w:rPr>
        <w:t>.</w:t>
      </w:r>
      <w:r w:rsidR="00F13C7E">
        <w:rPr>
          <w:rFonts w:asciiTheme="minorHAnsi" w:eastAsia="Times New Roman" w:hAnsiTheme="minorHAnsi"/>
          <w:b/>
          <w:bCs/>
          <w:sz w:val="22"/>
          <w:szCs w:val="22"/>
          <w:lang w:eastAsia="pl-PL"/>
        </w:rPr>
        <w:t xml:space="preserve"> </w:t>
      </w:r>
      <w:r w:rsidR="00F13C7E" w:rsidRPr="00F13C7E">
        <w:rPr>
          <w:rFonts w:asciiTheme="minorHAnsi" w:eastAsia="Times New Roman" w:hAnsiTheme="minorHAnsi"/>
          <w:bCs/>
          <w:sz w:val="22"/>
          <w:szCs w:val="22"/>
          <w:lang w:eastAsia="pl-PL"/>
        </w:rPr>
        <w:t>Jakość wody na ujęciach wody i sieci wodociągowej jest na bieżąco kontrolowana przez laboratorium Przedsiębiorstwa Wodociągów i Kanalizacji or</w:t>
      </w:r>
      <w:r w:rsidR="00880B2E">
        <w:rPr>
          <w:rFonts w:asciiTheme="minorHAnsi" w:eastAsia="Times New Roman" w:hAnsiTheme="minorHAnsi"/>
          <w:bCs/>
          <w:sz w:val="22"/>
          <w:szCs w:val="22"/>
          <w:lang w:eastAsia="pl-PL"/>
        </w:rPr>
        <w:t>a</w:t>
      </w:r>
      <w:r w:rsidR="00F13C7E" w:rsidRPr="00F13C7E">
        <w:rPr>
          <w:rFonts w:asciiTheme="minorHAnsi" w:eastAsia="Times New Roman" w:hAnsiTheme="minorHAnsi"/>
          <w:bCs/>
          <w:sz w:val="22"/>
          <w:szCs w:val="22"/>
          <w:lang w:eastAsia="pl-PL"/>
        </w:rPr>
        <w:t>z Stację Sanitarno-Epidemiologiczną. Badane parametry fizykochemiczne i bakteriologiczne nie przekraczają dopuszczalnych norm, jakim powinna odpowiadać woda przeznaczona do spożycia przez ludzi (Rozporządzenie Ministra Zdrow</w:t>
      </w:r>
      <w:r w:rsidR="0056452A">
        <w:rPr>
          <w:rFonts w:asciiTheme="minorHAnsi" w:eastAsia="Times New Roman" w:hAnsiTheme="minorHAnsi"/>
          <w:bCs/>
          <w:sz w:val="22"/>
          <w:szCs w:val="22"/>
          <w:lang w:eastAsia="pl-PL"/>
        </w:rPr>
        <w:t xml:space="preserve">ia z dnia 07 grudnia 2017 roku - </w:t>
      </w:r>
      <w:r w:rsidR="00F13C7E" w:rsidRPr="00F13C7E">
        <w:rPr>
          <w:rFonts w:asciiTheme="minorHAnsi" w:eastAsia="Times New Roman" w:hAnsiTheme="minorHAnsi"/>
          <w:bCs/>
          <w:sz w:val="22"/>
          <w:szCs w:val="22"/>
          <w:lang w:eastAsia="pl-PL"/>
        </w:rPr>
        <w:t>Dz.U.2017 poz. 2294).</w:t>
      </w:r>
      <w:r w:rsidR="00F13C7E">
        <w:rPr>
          <w:rStyle w:val="Odwoanieprzypisudolnego"/>
          <w:rFonts w:asciiTheme="minorHAnsi" w:eastAsia="Times New Roman" w:hAnsiTheme="minorHAnsi"/>
          <w:b/>
          <w:bCs/>
          <w:sz w:val="22"/>
          <w:szCs w:val="22"/>
          <w:lang w:eastAsia="pl-PL"/>
        </w:rPr>
        <w:footnoteReference w:id="44"/>
      </w:r>
    </w:p>
    <w:p w14:paraId="166029C6" w14:textId="77777777" w:rsidR="006B68B5" w:rsidRDefault="006B68B5" w:rsidP="00F13C7E">
      <w:pPr>
        <w:pStyle w:val="NormalnyWeb"/>
        <w:jc w:val="both"/>
        <w:rPr>
          <w:rFonts w:asciiTheme="minorHAnsi" w:eastAsia="Times New Roman" w:hAnsiTheme="minorHAnsi"/>
          <w:bCs/>
          <w:sz w:val="22"/>
          <w:szCs w:val="22"/>
          <w:lang w:eastAsia="pl-PL"/>
        </w:rPr>
      </w:pPr>
      <w:r>
        <w:rPr>
          <w:rFonts w:asciiTheme="minorHAnsi" w:eastAsia="Times New Roman" w:hAnsiTheme="minorHAnsi"/>
          <w:bCs/>
          <w:sz w:val="22"/>
          <w:szCs w:val="22"/>
          <w:lang w:eastAsia="pl-PL"/>
        </w:rPr>
        <w:t>W</w:t>
      </w:r>
      <w:r w:rsidR="00931698">
        <w:rPr>
          <w:rFonts w:asciiTheme="minorHAnsi" w:eastAsia="Times New Roman" w:hAnsiTheme="minorHAnsi"/>
          <w:bCs/>
          <w:sz w:val="22"/>
          <w:szCs w:val="22"/>
          <w:lang w:eastAsia="pl-PL"/>
        </w:rPr>
        <w:t>oda pitna dla</w:t>
      </w:r>
      <w:r>
        <w:rPr>
          <w:rFonts w:asciiTheme="minorHAnsi" w:eastAsia="Times New Roman" w:hAnsiTheme="minorHAnsi"/>
          <w:bCs/>
          <w:sz w:val="22"/>
          <w:szCs w:val="22"/>
          <w:lang w:eastAsia="pl-PL"/>
        </w:rPr>
        <w:t xml:space="preserve"> Olsztyn</w:t>
      </w:r>
      <w:r w:rsidR="00931698">
        <w:rPr>
          <w:rFonts w:asciiTheme="minorHAnsi" w:eastAsia="Times New Roman" w:hAnsiTheme="minorHAnsi"/>
          <w:bCs/>
          <w:sz w:val="22"/>
          <w:szCs w:val="22"/>
          <w:lang w:eastAsia="pl-PL"/>
        </w:rPr>
        <w:t>a</w:t>
      </w:r>
      <w:r>
        <w:rPr>
          <w:rFonts w:asciiTheme="minorHAnsi" w:eastAsia="Times New Roman" w:hAnsiTheme="minorHAnsi"/>
          <w:bCs/>
          <w:sz w:val="22"/>
          <w:szCs w:val="22"/>
          <w:lang w:eastAsia="pl-PL"/>
        </w:rPr>
        <w:t xml:space="preserve"> pochodzi z niżej wymienionych ujęć:</w:t>
      </w:r>
    </w:p>
    <w:tbl>
      <w:tblPr>
        <w:tblStyle w:val="Tabela-Siatka1"/>
        <w:tblW w:w="0" w:type="auto"/>
        <w:jc w:val="center"/>
        <w:tblLook w:val="04A0" w:firstRow="1" w:lastRow="0" w:firstColumn="1" w:lastColumn="0" w:noHBand="0" w:noVBand="1"/>
      </w:tblPr>
      <w:tblGrid>
        <w:gridCol w:w="1413"/>
        <w:gridCol w:w="2947"/>
      </w:tblGrid>
      <w:tr w:rsidR="006B68B5" w:rsidRPr="0051542D" w14:paraId="6B04CD2B" w14:textId="77777777" w:rsidTr="006B68B5">
        <w:trPr>
          <w:trHeight w:val="300"/>
          <w:jc w:val="center"/>
        </w:trPr>
        <w:tc>
          <w:tcPr>
            <w:tcW w:w="1413" w:type="dxa"/>
            <w:shd w:val="clear" w:color="auto" w:fill="92D050"/>
          </w:tcPr>
          <w:p w14:paraId="022F5DBC" w14:textId="77777777" w:rsidR="006B68B5" w:rsidRPr="006B68B5" w:rsidRDefault="006B68B5" w:rsidP="006B68B5">
            <w:pPr>
              <w:jc w:val="center"/>
              <w:rPr>
                <w:b/>
              </w:rPr>
            </w:pPr>
            <w:r>
              <w:rPr>
                <w:b/>
              </w:rPr>
              <w:t>U</w:t>
            </w:r>
            <w:r w:rsidRPr="006B68B5">
              <w:rPr>
                <w:b/>
              </w:rPr>
              <w:t>jęcie</w:t>
            </w:r>
          </w:p>
        </w:tc>
        <w:tc>
          <w:tcPr>
            <w:tcW w:w="2947" w:type="dxa"/>
            <w:shd w:val="clear" w:color="auto" w:fill="92D050"/>
          </w:tcPr>
          <w:p w14:paraId="6E2BAFBD" w14:textId="77777777" w:rsidR="006B68B5" w:rsidRDefault="006B68B5" w:rsidP="006B68B5">
            <w:pPr>
              <w:jc w:val="center"/>
              <w:rPr>
                <w:b/>
              </w:rPr>
            </w:pPr>
            <w:r>
              <w:rPr>
                <w:b/>
              </w:rPr>
              <w:t>I</w:t>
            </w:r>
            <w:r w:rsidRPr="006B68B5">
              <w:rPr>
                <w:b/>
              </w:rPr>
              <w:t>lość pobranej wody m</w:t>
            </w:r>
            <w:r w:rsidRPr="006B68B5">
              <w:rPr>
                <w:b/>
                <w:vertAlign w:val="superscript"/>
              </w:rPr>
              <w:t>3</w:t>
            </w:r>
            <w:r w:rsidRPr="006B68B5">
              <w:rPr>
                <w:b/>
              </w:rPr>
              <w:t xml:space="preserve"> </w:t>
            </w:r>
          </w:p>
          <w:p w14:paraId="1D01D994" w14:textId="77777777" w:rsidR="006B68B5" w:rsidRPr="006B68B5" w:rsidRDefault="006B68B5" w:rsidP="006B68B5">
            <w:pPr>
              <w:jc w:val="center"/>
              <w:rPr>
                <w:b/>
              </w:rPr>
            </w:pPr>
            <w:r>
              <w:rPr>
                <w:b/>
              </w:rPr>
              <w:t>w roku</w:t>
            </w:r>
            <w:r w:rsidRPr="006B68B5">
              <w:rPr>
                <w:b/>
              </w:rPr>
              <w:t xml:space="preserve"> 2019</w:t>
            </w:r>
          </w:p>
        </w:tc>
      </w:tr>
      <w:tr w:rsidR="006B68B5" w:rsidRPr="0051542D" w14:paraId="29F718DC" w14:textId="77777777" w:rsidTr="006B68B5">
        <w:trPr>
          <w:trHeight w:val="300"/>
          <w:jc w:val="center"/>
        </w:trPr>
        <w:tc>
          <w:tcPr>
            <w:tcW w:w="1413" w:type="dxa"/>
            <w:noWrap/>
            <w:hideMark/>
          </w:tcPr>
          <w:p w14:paraId="323FD29F" w14:textId="77777777" w:rsidR="006B68B5" w:rsidRPr="0051542D" w:rsidRDefault="006B68B5" w:rsidP="006B68B5">
            <w:pPr>
              <w:jc w:val="both"/>
            </w:pPr>
            <w:r w:rsidRPr="0051542D">
              <w:t>Wadąg</w:t>
            </w:r>
          </w:p>
        </w:tc>
        <w:tc>
          <w:tcPr>
            <w:tcW w:w="2947" w:type="dxa"/>
            <w:noWrap/>
            <w:hideMark/>
          </w:tcPr>
          <w:p w14:paraId="557FFC18" w14:textId="77777777" w:rsidR="006B68B5" w:rsidRPr="0051542D" w:rsidRDefault="006B68B5" w:rsidP="006B68B5">
            <w:pPr>
              <w:jc w:val="right"/>
            </w:pPr>
            <w:r w:rsidRPr="0051542D">
              <w:t>5</w:t>
            </w:r>
            <w:r>
              <w:t xml:space="preserve"> </w:t>
            </w:r>
            <w:r w:rsidRPr="0051542D">
              <w:t>819</w:t>
            </w:r>
            <w:r>
              <w:t xml:space="preserve"> </w:t>
            </w:r>
            <w:r w:rsidRPr="0051542D">
              <w:t>992</w:t>
            </w:r>
          </w:p>
        </w:tc>
      </w:tr>
      <w:tr w:rsidR="006B68B5" w:rsidRPr="0051542D" w14:paraId="285EE391" w14:textId="77777777" w:rsidTr="006B68B5">
        <w:trPr>
          <w:trHeight w:val="300"/>
          <w:jc w:val="center"/>
        </w:trPr>
        <w:tc>
          <w:tcPr>
            <w:tcW w:w="1413" w:type="dxa"/>
            <w:noWrap/>
            <w:hideMark/>
          </w:tcPr>
          <w:p w14:paraId="0781783B" w14:textId="77777777" w:rsidR="006B68B5" w:rsidRPr="0051542D" w:rsidRDefault="006B68B5" w:rsidP="006B68B5">
            <w:pPr>
              <w:jc w:val="both"/>
            </w:pPr>
            <w:r w:rsidRPr="0051542D">
              <w:t>Zachód</w:t>
            </w:r>
          </w:p>
        </w:tc>
        <w:tc>
          <w:tcPr>
            <w:tcW w:w="2947" w:type="dxa"/>
            <w:noWrap/>
            <w:hideMark/>
          </w:tcPr>
          <w:p w14:paraId="0CEE2DC7" w14:textId="77777777" w:rsidR="006B68B5" w:rsidRPr="0051542D" w:rsidRDefault="006B68B5" w:rsidP="006B68B5">
            <w:pPr>
              <w:jc w:val="right"/>
            </w:pPr>
            <w:r w:rsidRPr="0051542D">
              <w:t>2</w:t>
            </w:r>
            <w:r>
              <w:t xml:space="preserve"> </w:t>
            </w:r>
            <w:r w:rsidRPr="0051542D">
              <w:t>975</w:t>
            </w:r>
            <w:r>
              <w:t xml:space="preserve"> </w:t>
            </w:r>
            <w:r w:rsidRPr="0051542D">
              <w:t>153</w:t>
            </w:r>
          </w:p>
        </w:tc>
      </w:tr>
      <w:tr w:rsidR="006B68B5" w:rsidRPr="0051542D" w14:paraId="69848A6C" w14:textId="77777777" w:rsidTr="006B68B5">
        <w:trPr>
          <w:trHeight w:val="300"/>
          <w:jc w:val="center"/>
        </w:trPr>
        <w:tc>
          <w:tcPr>
            <w:tcW w:w="1413" w:type="dxa"/>
            <w:noWrap/>
            <w:hideMark/>
          </w:tcPr>
          <w:p w14:paraId="5B4CF4F6" w14:textId="77777777" w:rsidR="006B68B5" w:rsidRPr="0051542D" w:rsidRDefault="006B68B5" w:rsidP="006B68B5">
            <w:pPr>
              <w:jc w:val="both"/>
            </w:pPr>
            <w:r w:rsidRPr="0051542D">
              <w:t>Kortowo</w:t>
            </w:r>
          </w:p>
        </w:tc>
        <w:tc>
          <w:tcPr>
            <w:tcW w:w="2947" w:type="dxa"/>
            <w:noWrap/>
            <w:hideMark/>
          </w:tcPr>
          <w:p w14:paraId="325E5F8E" w14:textId="77777777" w:rsidR="006B68B5" w:rsidRPr="0051542D" w:rsidRDefault="006B68B5" w:rsidP="006B68B5">
            <w:pPr>
              <w:jc w:val="right"/>
            </w:pPr>
            <w:r w:rsidRPr="0051542D">
              <w:t>550</w:t>
            </w:r>
            <w:r>
              <w:t xml:space="preserve"> </w:t>
            </w:r>
            <w:r w:rsidRPr="0051542D">
              <w:t>448</w:t>
            </w:r>
          </w:p>
        </w:tc>
      </w:tr>
      <w:tr w:rsidR="006B68B5" w:rsidRPr="0051542D" w14:paraId="2F9FE35F" w14:textId="77777777" w:rsidTr="006B68B5">
        <w:trPr>
          <w:trHeight w:val="300"/>
          <w:jc w:val="center"/>
        </w:trPr>
        <w:tc>
          <w:tcPr>
            <w:tcW w:w="1413" w:type="dxa"/>
            <w:noWrap/>
            <w:hideMark/>
          </w:tcPr>
          <w:p w14:paraId="1CBF4826" w14:textId="77777777" w:rsidR="006B68B5" w:rsidRPr="0051542D" w:rsidRDefault="006B68B5" w:rsidP="006B68B5">
            <w:pPr>
              <w:jc w:val="both"/>
            </w:pPr>
            <w:r w:rsidRPr="0051542D">
              <w:t>Jaroty</w:t>
            </w:r>
          </w:p>
        </w:tc>
        <w:tc>
          <w:tcPr>
            <w:tcW w:w="2947" w:type="dxa"/>
            <w:noWrap/>
            <w:hideMark/>
          </w:tcPr>
          <w:p w14:paraId="713F9765" w14:textId="77777777" w:rsidR="006B68B5" w:rsidRPr="0051542D" w:rsidRDefault="006B68B5" w:rsidP="006B68B5">
            <w:pPr>
              <w:jc w:val="right"/>
            </w:pPr>
            <w:r w:rsidRPr="0051542D">
              <w:t>388</w:t>
            </w:r>
            <w:r>
              <w:t xml:space="preserve"> </w:t>
            </w:r>
            <w:r w:rsidRPr="0051542D">
              <w:t>653</w:t>
            </w:r>
          </w:p>
        </w:tc>
      </w:tr>
      <w:tr w:rsidR="006B68B5" w:rsidRPr="0051542D" w14:paraId="21269B30" w14:textId="77777777" w:rsidTr="006B68B5">
        <w:trPr>
          <w:trHeight w:val="300"/>
          <w:jc w:val="center"/>
        </w:trPr>
        <w:tc>
          <w:tcPr>
            <w:tcW w:w="1413" w:type="dxa"/>
            <w:noWrap/>
            <w:hideMark/>
          </w:tcPr>
          <w:p w14:paraId="23E279B9" w14:textId="77777777" w:rsidR="006B68B5" w:rsidRPr="0051542D" w:rsidRDefault="006B68B5" w:rsidP="006B68B5">
            <w:pPr>
              <w:jc w:val="both"/>
            </w:pPr>
            <w:r w:rsidRPr="0051542D">
              <w:t>Likusy</w:t>
            </w:r>
          </w:p>
        </w:tc>
        <w:tc>
          <w:tcPr>
            <w:tcW w:w="2947" w:type="dxa"/>
            <w:noWrap/>
            <w:hideMark/>
          </w:tcPr>
          <w:p w14:paraId="42646940" w14:textId="77777777" w:rsidR="006B68B5" w:rsidRPr="0051542D" w:rsidRDefault="006B68B5" w:rsidP="006B68B5">
            <w:pPr>
              <w:jc w:val="right"/>
            </w:pPr>
            <w:r w:rsidRPr="0051542D">
              <w:t>415</w:t>
            </w:r>
            <w:r>
              <w:t xml:space="preserve"> </w:t>
            </w:r>
            <w:r w:rsidRPr="0051542D">
              <w:t>740</w:t>
            </w:r>
          </w:p>
        </w:tc>
      </w:tr>
      <w:tr w:rsidR="006B68B5" w:rsidRPr="0051542D" w14:paraId="4A6A6FD6" w14:textId="77777777" w:rsidTr="006B68B5">
        <w:trPr>
          <w:trHeight w:val="300"/>
          <w:jc w:val="center"/>
        </w:trPr>
        <w:tc>
          <w:tcPr>
            <w:tcW w:w="1413" w:type="dxa"/>
            <w:noWrap/>
            <w:hideMark/>
          </w:tcPr>
          <w:p w14:paraId="611C393B" w14:textId="77777777" w:rsidR="006B68B5" w:rsidRPr="0051542D" w:rsidRDefault="006B68B5" w:rsidP="006B68B5">
            <w:pPr>
              <w:jc w:val="both"/>
              <w:rPr>
                <w:b/>
                <w:bCs/>
              </w:rPr>
            </w:pPr>
            <w:r w:rsidRPr="0051542D">
              <w:rPr>
                <w:b/>
                <w:bCs/>
              </w:rPr>
              <w:t>Razem</w:t>
            </w:r>
          </w:p>
        </w:tc>
        <w:tc>
          <w:tcPr>
            <w:tcW w:w="2947" w:type="dxa"/>
            <w:noWrap/>
            <w:hideMark/>
          </w:tcPr>
          <w:p w14:paraId="12CC8080" w14:textId="77777777" w:rsidR="006B68B5" w:rsidRPr="0051542D" w:rsidRDefault="006B68B5" w:rsidP="006B68B5">
            <w:pPr>
              <w:jc w:val="right"/>
              <w:rPr>
                <w:b/>
                <w:bCs/>
              </w:rPr>
            </w:pPr>
            <w:r w:rsidRPr="0051542D">
              <w:rPr>
                <w:b/>
                <w:bCs/>
              </w:rPr>
              <w:t>10 149 986</w:t>
            </w:r>
          </w:p>
        </w:tc>
      </w:tr>
    </w:tbl>
    <w:p w14:paraId="70514D90" w14:textId="77777777" w:rsidR="006B68B5" w:rsidRPr="00F13C7E" w:rsidRDefault="006B68B5" w:rsidP="00F13C7E">
      <w:pPr>
        <w:pStyle w:val="NormalnyWeb"/>
        <w:jc w:val="both"/>
        <w:rPr>
          <w:rFonts w:asciiTheme="minorHAnsi" w:eastAsia="Times New Roman" w:hAnsiTheme="minorHAnsi"/>
          <w:b/>
          <w:bCs/>
          <w:sz w:val="22"/>
          <w:szCs w:val="22"/>
          <w:lang w:eastAsia="pl-PL"/>
        </w:rPr>
      </w:pPr>
    </w:p>
    <w:p w14:paraId="7A1991EF" w14:textId="58C2CC32" w:rsidR="001442EE" w:rsidRPr="00BC45A5" w:rsidRDefault="006F794E" w:rsidP="00FB56BD">
      <w:pPr>
        <w:jc w:val="both"/>
      </w:pPr>
      <w:r>
        <w:t>W roku 2019 z</w:t>
      </w:r>
      <w:r w:rsidR="00C75B23">
        <w:t xml:space="preserve">apotrzebowanie </w:t>
      </w:r>
      <w:r w:rsidR="009924EC">
        <w:t xml:space="preserve">gospodarstw domowych </w:t>
      </w:r>
      <w:r w:rsidR="00C75B23">
        <w:t xml:space="preserve">na </w:t>
      </w:r>
      <w:r w:rsidR="007E39A0">
        <w:t>wodę</w:t>
      </w:r>
      <w:r w:rsidR="009924EC">
        <w:t xml:space="preserve"> </w:t>
      </w:r>
      <w:r w:rsidR="00283BFF">
        <w:t xml:space="preserve">(w </w:t>
      </w:r>
      <w:r w:rsidR="009924EC">
        <w:t>przelic</w:t>
      </w:r>
      <w:r w:rsidR="00283BFF">
        <w:t>zeniu na 1 korzystającego) pozostawało na zbliżonym poziomie w każdym z omawianych ośrodków wojewódzkich. Najniższe zużycie wody odnotowano w gospodar</w:t>
      </w:r>
      <w:r w:rsidR="00490733">
        <w:t>stwach na terenie Olsztyna (33,5</w:t>
      </w:r>
      <w:r w:rsidR="00283BFF">
        <w:t xml:space="preserve"> m</w:t>
      </w:r>
      <w:r w:rsidR="00283BFF">
        <w:rPr>
          <w:vertAlign w:val="superscript"/>
        </w:rPr>
        <w:t>3</w:t>
      </w:r>
      <w:r w:rsidR="00283BFF">
        <w:t xml:space="preserve">), zaś najwyższe </w:t>
      </w:r>
      <w:r w:rsidR="00283BFF">
        <w:br/>
        <w:t>w Rzeszowie (39,</w:t>
      </w:r>
      <w:r w:rsidR="00490733">
        <w:t>3</w:t>
      </w:r>
      <w:r w:rsidR="00283BFF">
        <w:t xml:space="preserve"> m</w:t>
      </w:r>
      <w:r w:rsidR="00283BFF">
        <w:rPr>
          <w:vertAlign w:val="superscript"/>
        </w:rPr>
        <w:t>3</w:t>
      </w:r>
      <w:r w:rsidR="00283BFF">
        <w:t>).</w:t>
      </w:r>
      <w:r w:rsidR="00110299">
        <w:t xml:space="preserve"> Poza </w:t>
      </w:r>
      <w:r>
        <w:t xml:space="preserve">nieznacznym wzrostem zużycia wody w przeliczeniu na 1 korzystającego zanotowanym w </w:t>
      </w:r>
      <w:r w:rsidR="00110299">
        <w:t>Białymstok</w:t>
      </w:r>
      <w:r>
        <w:t xml:space="preserve">u </w:t>
      </w:r>
      <w:r w:rsidR="00110299">
        <w:t xml:space="preserve">(wzrost o </w:t>
      </w:r>
      <w:r>
        <w:t>1,2 m</w:t>
      </w:r>
      <w:r>
        <w:rPr>
          <w:vertAlign w:val="superscript"/>
        </w:rPr>
        <w:t>3</w:t>
      </w:r>
      <w:r>
        <w:t xml:space="preserve"> w roku 2019 w porównaniu do roku 2013), </w:t>
      </w:r>
      <w:r>
        <w:br/>
        <w:t>w pozostałych miastach wskaźnik ten spada (np. w tym samym okresie w Olsztynie mniej o 3,</w:t>
      </w:r>
      <w:r w:rsidR="00BC45A5">
        <w:t>3</w:t>
      </w:r>
      <w:r>
        <w:t xml:space="preserve"> m</w:t>
      </w:r>
      <w:r>
        <w:rPr>
          <w:vertAlign w:val="superscript"/>
        </w:rPr>
        <w:t>3</w:t>
      </w:r>
      <w:r>
        <w:t>).</w:t>
      </w:r>
      <w:r w:rsidR="007E39A0">
        <w:rPr>
          <w:rStyle w:val="Odwoanieprzypisudolnego"/>
        </w:rPr>
        <w:footnoteReference w:id="45"/>
      </w:r>
      <w:r w:rsidR="00BC45A5">
        <w:t xml:space="preserve"> </w:t>
      </w:r>
      <w:r w:rsidR="00505781">
        <w:t>N</w:t>
      </w:r>
      <w:r w:rsidR="00BC45A5">
        <w:t xml:space="preserve">ajwyższy spadek zużycia wody zaobserwowano w Kielcach </w:t>
      </w:r>
      <w:r w:rsidR="00505781">
        <w:t xml:space="preserve">- </w:t>
      </w:r>
      <w:r w:rsidR="00BC45A5">
        <w:t>mniej o 7,1 m</w:t>
      </w:r>
      <w:r w:rsidR="00BC45A5">
        <w:rPr>
          <w:vertAlign w:val="superscript"/>
        </w:rPr>
        <w:t>3</w:t>
      </w:r>
      <w:r w:rsidR="00505781">
        <w:t xml:space="preserve"> na 1 korzystającego </w:t>
      </w:r>
      <w:r w:rsidR="00505781">
        <w:br/>
        <w:t>w roku 2019</w:t>
      </w:r>
      <w:r w:rsidR="00BC45A5">
        <w:t xml:space="preserve"> w porównaniu do roku 2013. </w:t>
      </w:r>
    </w:p>
    <w:p w14:paraId="31BC2D75" w14:textId="75E14BA2" w:rsidR="00EC029F" w:rsidRDefault="00EC029F" w:rsidP="00EC029F">
      <w:pPr>
        <w:pStyle w:val="Legenda"/>
        <w:rPr>
          <w:bCs/>
          <w:sz w:val="22"/>
          <w:szCs w:val="22"/>
          <w:lang w:val="pl-PL"/>
        </w:rPr>
      </w:pPr>
      <w:bookmarkStart w:id="157" w:name="_Toc73516112"/>
      <w:r w:rsidRPr="00EC029F">
        <w:rPr>
          <w:sz w:val="22"/>
          <w:szCs w:val="22"/>
        </w:rPr>
        <w:t xml:space="preserve">Wykres </w:t>
      </w:r>
      <w:r w:rsidRPr="00EC029F">
        <w:rPr>
          <w:sz w:val="22"/>
          <w:szCs w:val="22"/>
        </w:rPr>
        <w:fldChar w:fldCharType="begin"/>
      </w:r>
      <w:r w:rsidRPr="00EC029F">
        <w:rPr>
          <w:sz w:val="22"/>
          <w:szCs w:val="22"/>
        </w:rPr>
        <w:instrText xml:space="preserve"> SEQ Wykres \* ARABIC </w:instrText>
      </w:r>
      <w:r w:rsidRPr="00EC029F">
        <w:rPr>
          <w:sz w:val="22"/>
          <w:szCs w:val="22"/>
        </w:rPr>
        <w:fldChar w:fldCharType="separate"/>
      </w:r>
      <w:r w:rsidR="00AD58C3">
        <w:rPr>
          <w:noProof/>
          <w:sz w:val="22"/>
          <w:szCs w:val="22"/>
        </w:rPr>
        <w:t>50</w:t>
      </w:r>
      <w:r w:rsidRPr="00EC029F">
        <w:rPr>
          <w:sz w:val="22"/>
          <w:szCs w:val="22"/>
        </w:rPr>
        <w:fldChar w:fldCharType="end"/>
      </w:r>
      <w:r w:rsidRPr="00EC029F">
        <w:rPr>
          <w:sz w:val="22"/>
          <w:szCs w:val="22"/>
        </w:rPr>
        <w:t xml:space="preserve">. </w:t>
      </w:r>
      <w:r w:rsidRPr="00EC029F">
        <w:rPr>
          <w:bCs/>
          <w:sz w:val="22"/>
          <w:szCs w:val="22"/>
          <w:lang w:val="pl-PL"/>
        </w:rPr>
        <w:t>Zużycie wody z sieci wodociągowej (m</w:t>
      </w:r>
      <w:r w:rsidRPr="00EC029F">
        <w:rPr>
          <w:bCs/>
          <w:sz w:val="22"/>
          <w:szCs w:val="22"/>
          <w:vertAlign w:val="superscript"/>
          <w:lang w:val="pl-PL"/>
        </w:rPr>
        <w:t>3</w:t>
      </w:r>
      <w:r w:rsidRPr="00EC029F">
        <w:rPr>
          <w:bCs/>
          <w:sz w:val="22"/>
          <w:szCs w:val="22"/>
          <w:lang w:val="pl-PL"/>
        </w:rPr>
        <w:t>) w gospodarstwach domowych (w przeliczeniu na 1 korzystającego) w latach 2013 i 201</w:t>
      </w:r>
      <w:r w:rsidR="00490733">
        <w:rPr>
          <w:bCs/>
          <w:sz w:val="22"/>
          <w:szCs w:val="22"/>
          <w:lang w:val="pl-PL"/>
        </w:rPr>
        <w:t>9</w:t>
      </w:r>
      <w:bookmarkEnd w:id="157"/>
    </w:p>
    <w:p w14:paraId="76D04D26" w14:textId="5381D247" w:rsidR="00490733" w:rsidRPr="00EC029F" w:rsidRDefault="00490733" w:rsidP="00BC45A5">
      <w:pPr>
        <w:pStyle w:val="Legenda"/>
        <w:spacing w:before="0" w:after="0"/>
        <w:jc w:val="center"/>
        <w:rPr>
          <w:sz w:val="22"/>
          <w:szCs w:val="22"/>
          <w:lang w:val="pl-PL"/>
        </w:rPr>
      </w:pPr>
      <w:r>
        <w:rPr>
          <w:noProof/>
          <w:lang w:val="pl-PL" w:eastAsia="pl-PL"/>
        </w:rPr>
        <w:drawing>
          <wp:inline distT="0" distB="0" distL="0" distR="0" wp14:anchorId="366CC60F" wp14:editId="254C7A69">
            <wp:extent cx="4404995" cy="2456953"/>
            <wp:effectExtent l="0" t="0" r="14605" b="635"/>
            <wp:docPr id="9"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51B44E2" w14:textId="77777777" w:rsidR="00752A3B" w:rsidRDefault="00752A3B" w:rsidP="00BC45A5">
      <w:pPr>
        <w:spacing w:after="0"/>
        <w:jc w:val="center"/>
      </w:pPr>
      <w:r w:rsidRPr="0091031D">
        <w:rPr>
          <w:i/>
          <w:sz w:val="20"/>
          <w:szCs w:val="20"/>
        </w:rPr>
        <w:t>źródło: opracowanie własne na podstawie danych GUS</w:t>
      </w:r>
    </w:p>
    <w:p w14:paraId="1EC852A2" w14:textId="77777777" w:rsidR="00A9556B" w:rsidRDefault="0067760D" w:rsidP="00506D78">
      <w:pPr>
        <w:pStyle w:val="Nagwek3"/>
      </w:pPr>
      <w:bookmarkStart w:id="158" w:name="_Toc73534911"/>
      <w:r>
        <w:lastRenderedPageBreak/>
        <w:t xml:space="preserve">2.2.4 </w:t>
      </w:r>
      <w:r w:rsidR="00D51D61">
        <w:t>Gospodarka odpadami</w:t>
      </w:r>
      <w:bookmarkEnd w:id="158"/>
    </w:p>
    <w:p w14:paraId="0616C06F" w14:textId="77777777" w:rsidR="00D51D61" w:rsidRPr="0048630D" w:rsidRDefault="00D51D61" w:rsidP="00D51D61">
      <w:pPr>
        <w:jc w:val="both"/>
      </w:pPr>
      <w:r>
        <w:t xml:space="preserve">Zmieniona </w:t>
      </w:r>
      <w:r w:rsidRPr="0048630D">
        <w:t>ustaw</w:t>
      </w:r>
      <w:r>
        <w:t>a</w:t>
      </w:r>
      <w:r w:rsidRPr="0048630D">
        <w:t xml:space="preserve"> o utrzymaniu </w:t>
      </w:r>
      <w:r>
        <w:t xml:space="preserve">czystości i porządku w gminach, wprowadziła </w:t>
      </w:r>
      <w:r w:rsidRPr="0048630D">
        <w:t>obowiązek segregacji odpadów komunalnych.</w:t>
      </w:r>
      <w:r>
        <w:t xml:space="preserve"> Segregacja odpadów, do tej pory dobrowolna, </w:t>
      </w:r>
      <w:r w:rsidRPr="0048630D">
        <w:t>stała się</w:t>
      </w:r>
      <w:r>
        <w:t xml:space="preserve"> obligatoryjnym sposobem gromadzenia odpadów. Na terenie Gmin</w:t>
      </w:r>
      <w:r w:rsidRPr="0048630D">
        <w:t xml:space="preserve"> </w:t>
      </w:r>
      <w:r>
        <w:t xml:space="preserve">MOF </w:t>
      </w:r>
      <w:r w:rsidRPr="0048630D">
        <w:t>Olsztyn</w:t>
      </w:r>
      <w:r>
        <w:t>a</w:t>
      </w:r>
      <w:r w:rsidRPr="0048630D">
        <w:t xml:space="preserve"> obowiązuje „sześciopojemnikowy” system selektywnej zbiórki:</w:t>
      </w:r>
    </w:p>
    <w:p w14:paraId="31E122EA" w14:textId="77777777" w:rsidR="00D51D61" w:rsidRPr="0048630D" w:rsidRDefault="00D51D61" w:rsidP="00D51D61">
      <w:pPr>
        <w:numPr>
          <w:ilvl w:val="0"/>
          <w:numId w:val="29"/>
        </w:numPr>
        <w:jc w:val="both"/>
      </w:pPr>
      <w:r w:rsidRPr="0048630D">
        <w:rPr>
          <w:b/>
          <w:bCs/>
        </w:rPr>
        <w:t>pojemnik zielony</w:t>
      </w:r>
      <w:r w:rsidRPr="0048630D">
        <w:t xml:space="preserve"> (przeznaczony na opakowania szklane): słoiki i butelki szklane po napojach </w:t>
      </w:r>
      <w:r>
        <w:br/>
      </w:r>
      <w:r w:rsidRPr="0048630D">
        <w:t>i żywności oraz szklane opakowania po kosmetykach;</w:t>
      </w:r>
    </w:p>
    <w:p w14:paraId="25053484" w14:textId="77777777" w:rsidR="00D51D61" w:rsidRPr="0048630D" w:rsidRDefault="00D51D61" w:rsidP="00D51D61">
      <w:pPr>
        <w:numPr>
          <w:ilvl w:val="0"/>
          <w:numId w:val="29"/>
        </w:numPr>
        <w:jc w:val="both"/>
      </w:pPr>
      <w:r w:rsidRPr="0048630D">
        <w:rPr>
          <w:b/>
          <w:bCs/>
        </w:rPr>
        <w:t>pojemnik niebieski</w:t>
      </w:r>
      <w:r w:rsidRPr="0048630D">
        <w:t xml:space="preserve"> (przeznaczony na papier i tekturę): gazety, czasopisma, papier szkolny </w:t>
      </w:r>
      <w:r>
        <w:br/>
      </w:r>
      <w:r w:rsidRPr="0048630D">
        <w:t>i biurowy, papier pakowy, karton i tekturę, książki w miękkich okładkach lub z usuniętymi twardymi okładkami;</w:t>
      </w:r>
    </w:p>
    <w:p w14:paraId="53BC66B2" w14:textId="77777777" w:rsidR="00D51D61" w:rsidRPr="0048630D" w:rsidRDefault="00D51D61" w:rsidP="00D51D61">
      <w:pPr>
        <w:numPr>
          <w:ilvl w:val="0"/>
          <w:numId w:val="29"/>
        </w:numPr>
        <w:jc w:val="both"/>
      </w:pPr>
      <w:r w:rsidRPr="0048630D">
        <w:rPr>
          <w:b/>
          <w:bCs/>
        </w:rPr>
        <w:t>pojemnik żółty</w:t>
      </w:r>
      <w:r w:rsidRPr="0048630D">
        <w:t> (przeznaczony na opakowania z tworzyw sztucznych): wielomateriałowe kartony po napojach typu tetrapak, odkręcone i zgniecione butelki po napojach, opakowania po kosmetykach, plastikowe zakrętki, foliowe i plastikowe torebki, worki, reklamówki, puszki stalowe i aluminiowe, opakowania po aerozolach, opakowania po chemii gospodarczej;</w:t>
      </w:r>
    </w:p>
    <w:p w14:paraId="7DBCA416" w14:textId="77777777" w:rsidR="00D51D61" w:rsidRPr="0048630D" w:rsidRDefault="00D51D61" w:rsidP="00D51D61">
      <w:pPr>
        <w:numPr>
          <w:ilvl w:val="0"/>
          <w:numId w:val="29"/>
        </w:numPr>
        <w:jc w:val="both"/>
      </w:pPr>
      <w:r w:rsidRPr="0048630D">
        <w:rPr>
          <w:b/>
          <w:bCs/>
        </w:rPr>
        <w:t>pojemnik brązowy</w:t>
      </w:r>
      <w:r w:rsidRPr="0048630D">
        <w:t xml:space="preserve"> (przeznaczony na odpady ulegające biodegradacji): resztki kuchenne </w:t>
      </w:r>
      <w:r>
        <w:br/>
      </w:r>
      <w:r w:rsidRPr="0048630D">
        <w:t>i spożywcze;</w:t>
      </w:r>
    </w:p>
    <w:p w14:paraId="48EFCFA3" w14:textId="77777777" w:rsidR="00D51D61" w:rsidRPr="0048630D" w:rsidRDefault="00D51D61" w:rsidP="00D51D61">
      <w:pPr>
        <w:numPr>
          <w:ilvl w:val="0"/>
          <w:numId w:val="29"/>
        </w:numPr>
        <w:jc w:val="both"/>
      </w:pPr>
      <w:r w:rsidRPr="0048630D">
        <w:rPr>
          <w:b/>
          <w:bCs/>
        </w:rPr>
        <w:t>pojemnik czarny</w:t>
      </w:r>
      <w:r w:rsidRPr="0048630D">
        <w:t> (przeznaczony na odpady zielone): skoszona trawa, liście;</w:t>
      </w:r>
    </w:p>
    <w:p w14:paraId="32FD6C91" w14:textId="77777777" w:rsidR="00D51D61" w:rsidRPr="0048630D" w:rsidRDefault="00D51D61" w:rsidP="00D51D61">
      <w:pPr>
        <w:numPr>
          <w:ilvl w:val="0"/>
          <w:numId w:val="29"/>
        </w:numPr>
        <w:jc w:val="both"/>
      </w:pPr>
      <w:r w:rsidRPr="0048630D">
        <w:rPr>
          <w:b/>
          <w:bCs/>
        </w:rPr>
        <w:t>pojemnik szary</w:t>
      </w:r>
      <w:r w:rsidRPr="0048630D">
        <w:t> (przeznaczony na popiół): popiół z palenisk domowych</w:t>
      </w:r>
      <w:r w:rsidR="00F0383E">
        <w:t>.</w:t>
      </w:r>
    </w:p>
    <w:p w14:paraId="3F3AD409" w14:textId="77777777" w:rsidR="00D51D61" w:rsidRDefault="00D51D61" w:rsidP="00FB56BD">
      <w:pPr>
        <w:jc w:val="both"/>
      </w:pPr>
    </w:p>
    <w:p w14:paraId="4EE5438C" w14:textId="58BAB798" w:rsidR="00E7112E" w:rsidRDefault="002A084D" w:rsidP="00FB56BD">
      <w:pPr>
        <w:jc w:val="both"/>
      </w:pPr>
      <w:r>
        <w:t xml:space="preserve">Waga odpadów komunalnych zebranych na terenie Olsztyna w roku 2019 </w:t>
      </w:r>
      <w:r w:rsidR="00E7112E">
        <w:t xml:space="preserve">jest mniejsza od zanotowanej w roku 2017 i 2018. Warto również zaznaczyć, że w badanym roku 2019 </w:t>
      </w:r>
      <w:r>
        <w:t>stanowi</w:t>
      </w:r>
      <w:r w:rsidR="00E7112E">
        <w:t xml:space="preserve"> ona </w:t>
      </w:r>
      <w:r>
        <w:t xml:space="preserve"> wielkość najmniejszą spośród omawianych ośrodków wojewódzkich i jest </w:t>
      </w:r>
      <w:r w:rsidR="00DF6BCF">
        <w:t xml:space="preserve">niemalże dwukrotnie mniejsza od masy odpadów zgromadzonych w Lublinie (67 586,41 ton/rok - w Olsztynie oraz </w:t>
      </w:r>
      <w:r w:rsidR="00BC369D">
        <w:br/>
      </w:r>
      <w:r w:rsidR="00DF6BCF">
        <w:t xml:space="preserve">128 103,40 ton/rok w Lublinie). </w:t>
      </w:r>
    </w:p>
    <w:p w14:paraId="4C5D2960" w14:textId="020D9438" w:rsidR="002A084D" w:rsidRDefault="00DF6BCF" w:rsidP="00FB56BD">
      <w:pPr>
        <w:jc w:val="both"/>
      </w:pPr>
      <w:r>
        <w:t>Źródłem zdecydowanej większości odpadów zebranych w roku 2019 były gospodarstwa domowe</w:t>
      </w:r>
      <w:r w:rsidR="00F92718">
        <w:t xml:space="preserve">. Odpady generowane przez gospodarstwa domowe w Olsztynie były wyższe o 54% od zebranych </w:t>
      </w:r>
      <w:r w:rsidR="00E7112E">
        <w:br/>
      </w:r>
      <w:r w:rsidR="00F92718">
        <w:t xml:space="preserve">z innych źródeł. Największą różnicę pod tym względem zaobserwowano w Białymstoku, </w:t>
      </w:r>
      <w:r w:rsidR="00E7112E">
        <w:t>gdzie</w:t>
      </w:r>
      <w:r w:rsidR="00F92718">
        <w:t xml:space="preserve"> odsetek odpadów zebranych z gospodarstw domowych wyższy o 86% niż odpadów zebranych z innych źródeł (usług komunalnych, handlu, małego biznesu, biur i instytucji).</w:t>
      </w:r>
    </w:p>
    <w:p w14:paraId="5DFBDEAA" w14:textId="4F582543" w:rsidR="00AB0F99" w:rsidRDefault="00AB0F99">
      <w:r>
        <w:br w:type="page"/>
      </w:r>
    </w:p>
    <w:p w14:paraId="00548B80" w14:textId="1099FF13" w:rsidR="00AB0F99" w:rsidRPr="00AB0F99" w:rsidRDefault="00AB0F99" w:rsidP="00AB0F99">
      <w:pPr>
        <w:pStyle w:val="Legenda"/>
        <w:rPr>
          <w:sz w:val="22"/>
          <w:szCs w:val="22"/>
          <w:lang w:val="pl-PL"/>
        </w:rPr>
      </w:pPr>
      <w:bookmarkStart w:id="159" w:name="_Toc73516113"/>
      <w:r w:rsidRPr="00AB0F99">
        <w:rPr>
          <w:sz w:val="22"/>
          <w:szCs w:val="22"/>
        </w:rPr>
        <w:lastRenderedPageBreak/>
        <w:t xml:space="preserve">Wykres </w:t>
      </w:r>
      <w:r w:rsidRPr="00AB0F99">
        <w:rPr>
          <w:sz w:val="22"/>
          <w:szCs w:val="22"/>
        </w:rPr>
        <w:fldChar w:fldCharType="begin"/>
      </w:r>
      <w:r w:rsidRPr="00AB0F99">
        <w:rPr>
          <w:sz w:val="22"/>
          <w:szCs w:val="22"/>
        </w:rPr>
        <w:instrText xml:space="preserve"> SEQ Wykres \* ARABIC </w:instrText>
      </w:r>
      <w:r w:rsidRPr="00AB0F99">
        <w:rPr>
          <w:sz w:val="22"/>
          <w:szCs w:val="22"/>
        </w:rPr>
        <w:fldChar w:fldCharType="separate"/>
      </w:r>
      <w:r w:rsidR="00AD58C3">
        <w:rPr>
          <w:noProof/>
          <w:sz w:val="22"/>
          <w:szCs w:val="22"/>
        </w:rPr>
        <w:t>51</w:t>
      </w:r>
      <w:r w:rsidRPr="00AB0F99">
        <w:rPr>
          <w:sz w:val="22"/>
          <w:szCs w:val="22"/>
        </w:rPr>
        <w:fldChar w:fldCharType="end"/>
      </w:r>
      <w:r w:rsidRPr="00AB0F99">
        <w:rPr>
          <w:sz w:val="22"/>
          <w:szCs w:val="22"/>
        </w:rPr>
        <w:t xml:space="preserve">. </w:t>
      </w:r>
      <w:r w:rsidRPr="00AB0F99">
        <w:rPr>
          <w:bCs/>
          <w:sz w:val="22"/>
          <w:szCs w:val="22"/>
          <w:lang w:val="pl-PL"/>
        </w:rPr>
        <w:t>Odpady zebrane w ciągu roku ogółem w latach 2017-2019 (t)</w:t>
      </w:r>
      <w:bookmarkEnd w:id="159"/>
    </w:p>
    <w:p w14:paraId="2D0927B6" w14:textId="77777777" w:rsidR="00A9556B" w:rsidRDefault="0060724C" w:rsidP="00690FBF">
      <w:pPr>
        <w:spacing w:after="0"/>
        <w:jc w:val="center"/>
      </w:pPr>
      <w:r>
        <w:rPr>
          <w:noProof/>
          <w:lang w:eastAsia="pl-PL"/>
        </w:rPr>
        <w:drawing>
          <wp:inline distT="0" distB="0" distL="0" distR="0" wp14:anchorId="759F2644" wp14:editId="1871CA79">
            <wp:extent cx="4537881" cy="2531659"/>
            <wp:effectExtent l="0" t="0" r="15240" b="2540"/>
            <wp:docPr id="74" name="Wykres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534530CE" w14:textId="77777777" w:rsidR="00690FBF" w:rsidRDefault="00690FBF" w:rsidP="00690FBF">
      <w:pPr>
        <w:spacing w:after="0"/>
        <w:jc w:val="center"/>
      </w:pPr>
      <w:r w:rsidRPr="0091031D">
        <w:rPr>
          <w:i/>
          <w:sz w:val="20"/>
          <w:szCs w:val="20"/>
        </w:rPr>
        <w:t>źródło: opracowanie własne na podstawie danych GUS</w:t>
      </w:r>
    </w:p>
    <w:p w14:paraId="206E37D0" w14:textId="77777777" w:rsidR="0060724C" w:rsidRDefault="0060724C" w:rsidP="00FB56BD">
      <w:pPr>
        <w:jc w:val="both"/>
      </w:pPr>
    </w:p>
    <w:p w14:paraId="3F5FEC65" w14:textId="77777777" w:rsidR="00E7112E" w:rsidRDefault="00E7112E" w:rsidP="00FB56BD">
      <w:pPr>
        <w:jc w:val="both"/>
      </w:pPr>
      <w:r w:rsidRPr="00E7112E">
        <w:t>W roku 2019 m</w:t>
      </w:r>
      <w:r w:rsidR="002A084D" w:rsidRPr="00E7112E">
        <w:t xml:space="preserve">asa wytworzonych odpadów komunalnych </w:t>
      </w:r>
      <w:r>
        <w:t xml:space="preserve">w przeliczeniu na 1 </w:t>
      </w:r>
      <w:r w:rsidR="002A084D" w:rsidRPr="00E7112E">
        <w:t>mieszkańca</w:t>
      </w:r>
      <w:r w:rsidR="0005136B">
        <w:t xml:space="preserve"> w ciągu roku</w:t>
      </w:r>
      <w:r w:rsidRPr="00E7112E">
        <w:t xml:space="preserve"> </w:t>
      </w:r>
      <w:r>
        <w:t xml:space="preserve">przedstawia się następująco: </w:t>
      </w:r>
    </w:p>
    <w:p w14:paraId="5DFCC39E" w14:textId="77777777" w:rsidR="00E7112E" w:rsidRDefault="00E7112E" w:rsidP="00E7112E">
      <w:pPr>
        <w:pStyle w:val="Akapitzlist"/>
        <w:numPr>
          <w:ilvl w:val="0"/>
          <w:numId w:val="30"/>
        </w:numPr>
        <w:jc w:val="both"/>
      </w:pPr>
      <w:r>
        <w:t xml:space="preserve">Olsztyn – 393 kg; </w:t>
      </w:r>
    </w:p>
    <w:p w14:paraId="44E977F0" w14:textId="77777777" w:rsidR="0060724C" w:rsidRDefault="00E7112E" w:rsidP="00E7112E">
      <w:pPr>
        <w:pStyle w:val="Akapitzlist"/>
        <w:numPr>
          <w:ilvl w:val="0"/>
          <w:numId w:val="30"/>
        </w:numPr>
        <w:jc w:val="both"/>
      </w:pPr>
      <w:r>
        <w:t>Kielce – 353 kg;</w:t>
      </w:r>
    </w:p>
    <w:p w14:paraId="4BAB0F79" w14:textId="77777777" w:rsidR="00E7112E" w:rsidRDefault="00E7112E" w:rsidP="00E7112E">
      <w:pPr>
        <w:pStyle w:val="Akapitzlist"/>
        <w:numPr>
          <w:ilvl w:val="0"/>
          <w:numId w:val="30"/>
        </w:numPr>
        <w:jc w:val="both"/>
      </w:pPr>
      <w:r>
        <w:t>Białystok – 345 kg;</w:t>
      </w:r>
    </w:p>
    <w:p w14:paraId="7C7D7443" w14:textId="77777777" w:rsidR="00E7112E" w:rsidRDefault="00E7112E" w:rsidP="00E7112E">
      <w:pPr>
        <w:pStyle w:val="Akapitzlist"/>
        <w:numPr>
          <w:ilvl w:val="0"/>
          <w:numId w:val="30"/>
        </w:numPr>
        <w:jc w:val="both"/>
      </w:pPr>
      <w:r>
        <w:t>Rzeszów – 450 kg;</w:t>
      </w:r>
    </w:p>
    <w:p w14:paraId="73E23056" w14:textId="77777777" w:rsidR="00E7112E" w:rsidRPr="00E7112E" w:rsidRDefault="00E7112E" w:rsidP="00E7112E">
      <w:pPr>
        <w:pStyle w:val="Akapitzlist"/>
        <w:numPr>
          <w:ilvl w:val="0"/>
          <w:numId w:val="30"/>
        </w:numPr>
        <w:jc w:val="both"/>
      </w:pPr>
      <w:r>
        <w:t>Lublin – 377 kg.</w:t>
      </w:r>
      <w:r>
        <w:rPr>
          <w:rStyle w:val="Odwoanieprzypisudolnego"/>
        </w:rPr>
        <w:footnoteReference w:id="46"/>
      </w:r>
    </w:p>
    <w:p w14:paraId="47655924" w14:textId="4B2357E9" w:rsidR="002A084D" w:rsidRDefault="0005136B" w:rsidP="00FB56BD">
      <w:pPr>
        <w:jc w:val="both"/>
      </w:pPr>
      <w:r>
        <w:t xml:space="preserve">Wielkość odpadów zebranych selektywnie ogółem </w:t>
      </w:r>
      <w:r w:rsidR="00CC7251">
        <w:t>w ciągu roku wykazuje tendencję wzrostową, poza niewielkim wyjątkiem (Rzeszowem). Największy przyrost zaobserwowano w Lublinie (więcej o prawie 21 tys. ton</w:t>
      </w:r>
      <w:r w:rsidR="00171421">
        <w:t xml:space="preserve"> odpadów</w:t>
      </w:r>
      <w:r w:rsidR="00CC7251">
        <w:t xml:space="preserve"> w roku 2019 w porównaniu do danych za rok 2017) i Białymstoku (więcej o blisko 15 tys. ton </w:t>
      </w:r>
      <w:r w:rsidR="00171421">
        <w:t xml:space="preserve">- </w:t>
      </w:r>
      <w:r w:rsidR="00CC7251">
        <w:t>w tym samych ok</w:t>
      </w:r>
      <w:r w:rsidR="00CC1906">
        <w:t>3</w:t>
      </w:r>
      <w:r w:rsidR="00CC7251">
        <w:t>resie). W Olsztynie wskaźniki obrazujące masę odpadów zebranych selektywnie w omawianym okresie 2017-2019 są najniższe spośród odnotowanych w pozostałych miastach Polski Wschodniej.</w:t>
      </w:r>
    </w:p>
    <w:p w14:paraId="34D6D3F8" w14:textId="1D23A831" w:rsidR="00372178" w:rsidRDefault="00372178">
      <w:r>
        <w:br w:type="page"/>
      </w:r>
    </w:p>
    <w:p w14:paraId="7BF82927" w14:textId="171A0106" w:rsidR="00372178" w:rsidRDefault="00372178" w:rsidP="00FB56BD">
      <w:pPr>
        <w:jc w:val="both"/>
      </w:pPr>
    </w:p>
    <w:p w14:paraId="60CEF5CC" w14:textId="5485D777" w:rsidR="00372178" w:rsidRPr="00372178" w:rsidRDefault="00372178" w:rsidP="00372178">
      <w:pPr>
        <w:pStyle w:val="Legenda"/>
        <w:rPr>
          <w:sz w:val="22"/>
          <w:szCs w:val="22"/>
          <w:lang w:val="pl-PL"/>
        </w:rPr>
      </w:pPr>
      <w:bookmarkStart w:id="160" w:name="_Toc73516114"/>
      <w:r w:rsidRPr="00372178">
        <w:rPr>
          <w:sz w:val="22"/>
          <w:szCs w:val="22"/>
        </w:rPr>
        <w:t xml:space="preserve">Wykres </w:t>
      </w:r>
      <w:r w:rsidRPr="00372178">
        <w:rPr>
          <w:sz w:val="22"/>
          <w:szCs w:val="22"/>
        </w:rPr>
        <w:fldChar w:fldCharType="begin"/>
      </w:r>
      <w:r w:rsidRPr="00372178">
        <w:rPr>
          <w:sz w:val="22"/>
          <w:szCs w:val="22"/>
        </w:rPr>
        <w:instrText xml:space="preserve"> SEQ Wykres \* ARABIC </w:instrText>
      </w:r>
      <w:r w:rsidRPr="00372178">
        <w:rPr>
          <w:sz w:val="22"/>
          <w:szCs w:val="22"/>
        </w:rPr>
        <w:fldChar w:fldCharType="separate"/>
      </w:r>
      <w:r w:rsidR="00AD58C3">
        <w:rPr>
          <w:noProof/>
          <w:sz w:val="22"/>
          <w:szCs w:val="22"/>
        </w:rPr>
        <w:t>52</w:t>
      </w:r>
      <w:r w:rsidRPr="00372178">
        <w:rPr>
          <w:sz w:val="22"/>
          <w:szCs w:val="22"/>
        </w:rPr>
        <w:fldChar w:fldCharType="end"/>
      </w:r>
      <w:r w:rsidRPr="00372178">
        <w:rPr>
          <w:sz w:val="22"/>
          <w:szCs w:val="22"/>
        </w:rPr>
        <w:t xml:space="preserve">. </w:t>
      </w:r>
      <w:r w:rsidRPr="00372178">
        <w:rPr>
          <w:bCs/>
          <w:sz w:val="22"/>
          <w:szCs w:val="22"/>
          <w:lang w:val="pl-PL"/>
        </w:rPr>
        <w:t>Odpady zebrane selektywnie ogółem w ciągu roku w latach 2017-2019 (t)</w:t>
      </w:r>
      <w:bookmarkEnd w:id="160"/>
    </w:p>
    <w:p w14:paraId="16198456" w14:textId="77777777" w:rsidR="0060724C" w:rsidRDefault="0060724C" w:rsidP="00372178">
      <w:pPr>
        <w:spacing w:after="0"/>
        <w:jc w:val="center"/>
      </w:pPr>
      <w:r>
        <w:rPr>
          <w:noProof/>
          <w:lang w:eastAsia="pl-PL"/>
        </w:rPr>
        <w:drawing>
          <wp:inline distT="0" distB="0" distL="0" distR="0" wp14:anchorId="139FBFFC" wp14:editId="323DD41D">
            <wp:extent cx="4583206" cy="2743200"/>
            <wp:effectExtent l="0" t="0" r="8255" b="0"/>
            <wp:docPr id="73" name="Wykres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BF68AF1" w14:textId="77777777" w:rsidR="00171623" w:rsidRDefault="00171623" w:rsidP="00372178">
      <w:pPr>
        <w:spacing w:after="0"/>
        <w:jc w:val="center"/>
      </w:pPr>
      <w:r w:rsidRPr="0091031D">
        <w:rPr>
          <w:i/>
          <w:sz w:val="20"/>
          <w:szCs w:val="20"/>
        </w:rPr>
        <w:t>źródło: opracowanie własne na podstawie danych GUS</w:t>
      </w:r>
    </w:p>
    <w:p w14:paraId="6C3D2620" w14:textId="77777777" w:rsidR="00171623" w:rsidRDefault="00171623" w:rsidP="00171623">
      <w:pPr>
        <w:jc w:val="center"/>
      </w:pPr>
    </w:p>
    <w:p w14:paraId="00EC8D18" w14:textId="77777777" w:rsidR="001442EE" w:rsidRDefault="00171421" w:rsidP="00FB56BD">
      <w:pPr>
        <w:jc w:val="both"/>
      </w:pPr>
      <w:r>
        <w:t>Spośród wybranych frakcji odpadów komunalnych zebranych selektywnie w Olsztynie, największy  udział mają odpady biodegradowalne (2 888,49 ton/rok w roku 2017 oraz 4 806,83 ton/rok w roku 2019). Wzrasta masa odbieranych odpadów pozostałych frakcji</w:t>
      </w:r>
      <w:r w:rsidR="00CF1E8B">
        <w:t xml:space="preserve"> (w roku 2019 w stosunku do roku 2017 więcej o: 39,9% odpadów biodegradowalnych; 32,5 - tworzyw sztucznych; 8,5% - </w:t>
      </w:r>
      <w:r>
        <w:t>papier</w:t>
      </w:r>
      <w:r w:rsidR="00CF1E8B">
        <w:t>u</w:t>
      </w:r>
      <w:r>
        <w:t xml:space="preserve"> i tektur</w:t>
      </w:r>
      <w:r w:rsidR="00CF1E8B">
        <w:t>y;  34,7% - szkła).</w:t>
      </w:r>
    </w:p>
    <w:p w14:paraId="1342A79B" w14:textId="6B053F93" w:rsidR="00372178" w:rsidRPr="00372178" w:rsidRDefault="00372178" w:rsidP="00372178">
      <w:pPr>
        <w:pStyle w:val="Legenda"/>
        <w:rPr>
          <w:sz w:val="22"/>
          <w:szCs w:val="22"/>
          <w:lang w:val="pl-PL"/>
        </w:rPr>
      </w:pPr>
      <w:bookmarkStart w:id="161" w:name="_Toc73516115"/>
      <w:r w:rsidRPr="00372178">
        <w:rPr>
          <w:sz w:val="22"/>
          <w:szCs w:val="22"/>
        </w:rPr>
        <w:t xml:space="preserve">Wykres </w:t>
      </w:r>
      <w:r w:rsidRPr="00372178">
        <w:rPr>
          <w:sz w:val="22"/>
          <w:szCs w:val="22"/>
        </w:rPr>
        <w:fldChar w:fldCharType="begin"/>
      </w:r>
      <w:r w:rsidRPr="00372178">
        <w:rPr>
          <w:sz w:val="22"/>
          <w:szCs w:val="22"/>
        </w:rPr>
        <w:instrText xml:space="preserve"> SEQ Wykres \* ARABIC </w:instrText>
      </w:r>
      <w:r w:rsidRPr="00372178">
        <w:rPr>
          <w:sz w:val="22"/>
          <w:szCs w:val="22"/>
        </w:rPr>
        <w:fldChar w:fldCharType="separate"/>
      </w:r>
      <w:r w:rsidR="00AD58C3">
        <w:rPr>
          <w:noProof/>
          <w:sz w:val="22"/>
          <w:szCs w:val="22"/>
        </w:rPr>
        <w:t>53</w:t>
      </w:r>
      <w:r w:rsidRPr="00372178">
        <w:rPr>
          <w:sz w:val="22"/>
          <w:szCs w:val="22"/>
        </w:rPr>
        <w:fldChar w:fldCharType="end"/>
      </w:r>
      <w:r w:rsidRPr="00372178">
        <w:rPr>
          <w:sz w:val="22"/>
          <w:szCs w:val="22"/>
        </w:rPr>
        <w:t xml:space="preserve">. </w:t>
      </w:r>
      <w:r w:rsidRPr="00372178">
        <w:rPr>
          <w:bCs/>
          <w:sz w:val="22"/>
          <w:szCs w:val="22"/>
          <w:lang w:val="en-US"/>
        </w:rPr>
        <w:t>Masa odpadów zebranych selektywnie w Olsztynie w ciągu roku wg wybranych frakcji ogółem (t) w lat</w:t>
      </w:r>
      <w:r w:rsidRPr="00372178">
        <w:rPr>
          <w:bCs/>
          <w:sz w:val="22"/>
          <w:szCs w:val="22"/>
          <w:lang w:val="pl-PL"/>
        </w:rPr>
        <w:t>a</w:t>
      </w:r>
      <w:r w:rsidRPr="00372178">
        <w:rPr>
          <w:bCs/>
          <w:sz w:val="22"/>
          <w:szCs w:val="22"/>
          <w:lang w:val="en-US"/>
        </w:rPr>
        <w:t>ch 2017-2019</w:t>
      </w:r>
      <w:bookmarkEnd w:id="161"/>
    </w:p>
    <w:p w14:paraId="6B9766C9" w14:textId="77777777" w:rsidR="00171623" w:rsidRDefault="00690FBF" w:rsidP="00171623">
      <w:pPr>
        <w:spacing w:after="0"/>
        <w:jc w:val="center"/>
        <w:rPr>
          <w:i/>
          <w:sz w:val="20"/>
          <w:szCs w:val="20"/>
        </w:rPr>
      </w:pPr>
      <w:r>
        <w:rPr>
          <w:noProof/>
          <w:lang w:eastAsia="pl-PL"/>
        </w:rPr>
        <w:drawing>
          <wp:inline distT="0" distB="0" distL="0" distR="0" wp14:anchorId="53B0A786" wp14:editId="676499A6">
            <wp:extent cx="4558352" cy="2674961"/>
            <wp:effectExtent l="0" t="0" r="13970" b="11430"/>
            <wp:docPr id="79" name="Wykres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00171623" w:rsidRPr="00171623">
        <w:rPr>
          <w:i/>
          <w:sz w:val="20"/>
          <w:szCs w:val="20"/>
        </w:rPr>
        <w:t xml:space="preserve"> </w:t>
      </w:r>
    </w:p>
    <w:p w14:paraId="2A4F0FAA" w14:textId="77777777" w:rsidR="00171623" w:rsidRDefault="00171623" w:rsidP="00171623">
      <w:pPr>
        <w:spacing w:after="0"/>
        <w:jc w:val="center"/>
      </w:pPr>
      <w:r w:rsidRPr="0091031D">
        <w:rPr>
          <w:i/>
          <w:sz w:val="20"/>
          <w:szCs w:val="20"/>
        </w:rPr>
        <w:t>źródło: opracowanie własne na podstawie danych GUS</w:t>
      </w:r>
    </w:p>
    <w:p w14:paraId="3618B883" w14:textId="77777777" w:rsidR="00690FBF" w:rsidRDefault="00690FBF" w:rsidP="00FB56BD">
      <w:pPr>
        <w:jc w:val="both"/>
      </w:pPr>
    </w:p>
    <w:p w14:paraId="6D6B4591" w14:textId="77777777" w:rsidR="001442EE" w:rsidRDefault="001442EE" w:rsidP="00FB56BD">
      <w:pPr>
        <w:jc w:val="both"/>
      </w:pPr>
    </w:p>
    <w:p w14:paraId="3354AC54" w14:textId="77777777" w:rsidR="00CC1906" w:rsidRDefault="00CC1906" w:rsidP="00DC502C">
      <w:pPr>
        <w:pStyle w:val="Nagwek3"/>
      </w:pPr>
      <w:bookmarkStart w:id="162" w:name="_Toc44656709"/>
      <w:bookmarkStart w:id="163" w:name="_Toc45279352"/>
    </w:p>
    <w:p w14:paraId="4758AC8F" w14:textId="3778E0CB" w:rsidR="00394F4A" w:rsidRPr="0051542D" w:rsidRDefault="0067760D" w:rsidP="00DC502C">
      <w:pPr>
        <w:pStyle w:val="Nagwek3"/>
      </w:pPr>
      <w:bookmarkStart w:id="164" w:name="_Toc73534912"/>
      <w:r>
        <w:t xml:space="preserve">2.2.5 </w:t>
      </w:r>
      <w:r w:rsidR="00394F4A" w:rsidRPr="0051542D">
        <w:t>Efektywność energetyczna i OZE</w:t>
      </w:r>
      <w:bookmarkEnd w:id="162"/>
      <w:bookmarkEnd w:id="163"/>
      <w:bookmarkEnd w:id="164"/>
    </w:p>
    <w:p w14:paraId="2FE0BE8B" w14:textId="77777777" w:rsidR="00A830AC" w:rsidRDefault="00771E50" w:rsidP="00394F4A">
      <w:pPr>
        <w:jc w:val="both"/>
      </w:pPr>
      <w:r>
        <w:t>Analiza danych udostępnionych przez Urząd Regulacji Energetyki za lata 2016-2019 wskazuje, iż s</w:t>
      </w:r>
      <w:r w:rsidR="00A830AC">
        <w:t xml:space="preserve">truktura produkcji energii elektrycznej w Polsce </w:t>
      </w:r>
      <w:r>
        <w:t>ulega nieznacznym, ale zauważalnym zmianom. Udział odnawialnych źródeł energii w krajowej generacji wzrósł o 7% w roku 2016 do 9% w roku 2019.</w:t>
      </w:r>
      <w:r>
        <w:rPr>
          <w:rStyle w:val="Odwoanieprzypisudolnego"/>
        </w:rPr>
        <w:footnoteReference w:id="47"/>
      </w:r>
    </w:p>
    <w:p w14:paraId="5BFAB71B" w14:textId="77777777" w:rsidR="00394F4A" w:rsidRDefault="00771E50" w:rsidP="00394F4A">
      <w:pPr>
        <w:jc w:val="both"/>
      </w:pPr>
      <w:r w:rsidRPr="0051542D">
        <w:t xml:space="preserve">Jak </w:t>
      </w:r>
      <w:r>
        <w:t xml:space="preserve">obrazuje wykres poniżej, </w:t>
      </w:r>
      <w:r w:rsidRPr="0051542D">
        <w:t>województwo warmińsko</w:t>
      </w:r>
      <w:r>
        <w:t>-m</w:t>
      </w:r>
      <w:r w:rsidRPr="0051542D">
        <w:t>azurskie znajduje się w czołówce województw</w:t>
      </w:r>
      <w:r>
        <w:t>,</w:t>
      </w:r>
      <w:r w:rsidRPr="0051542D">
        <w:t xml:space="preserve"> w któr</w:t>
      </w:r>
      <w:r>
        <w:t>ych występują małe instalacje</w:t>
      </w:r>
      <w:r w:rsidRPr="0051542D">
        <w:t xml:space="preserve"> OZE (7% wszystkich zarejestrowanych w Polsce instalacji).</w:t>
      </w:r>
      <w:r w:rsidR="00EF1EF8">
        <w:t xml:space="preserve"> Spośród omawianych regionów, najw</w:t>
      </w:r>
      <w:r w:rsidR="00BD3B4E">
        <w:t>iększą liczbę producentów</w:t>
      </w:r>
      <w:r w:rsidR="00EF1EF8">
        <w:t xml:space="preserve"> należących </w:t>
      </w:r>
      <w:r w:rsidR="00EF1EF8" w:rsidRPr="0051542D">
        <w:t>do małych</w:t>
      </w:r>
      <w:r w:rsidR="00EF1EF8" w:rsidRPr="0051542D">
        <w:rPr>
          <w:vertAlign w:val="superscript"/>
        </w:rPr>
        <w:footnoteReference w:id="48"/>
      </w:r>
      <w:r w:rsidR="00EF1EF8" w:rsidRPr="0051542D">
        <w:t xml:space="preserve"> wytwórców energii z OZE (odnawialnych źródeł energii) wpisanych do rejestru MIOZE</w:t>
      </w:r>
      <w:r w:rsidR="00EF1EF8" w:rsidRPr="0051542D">
        <w:rPr>
          <w:vertAlign w:val="superscript"/>
        </w:rPr>
        <w:footnoteReference w:id="49"/>
      </w:r>
      <w:r w:rsidR="00BD3B4E">
        <w:t xml:space="preserve">, </w:t>
      </w:r>
      <w:r w:rsidR="00EF1EF8">
        <w:t>zarejestrowano</w:t>
      </w:r>
      <w:r w:rsidR="00394F4A" w:rsidRPr="0051542D">
        <w:t xml:space="preserve"> na terenie województwa </w:t>
      </w:r>
      <w:r w:rsidR="00EF1EF8">
        <w:t xml:space="preserve">warmińsko-mazurskiego (61 instalacji w 2019 roku). </w:t>
      </w:r>
      <w:r w:rsidR="00BD3B4E">
        <w:t xml:space="preserve">Na przestrzeni lat 2016-2019 liczba instalacji rośnie (wzrost o </w:t>
      </w:r>
      <w:r w:rsidR="00045447">
        <w:t>10</w:t>
      </w:r>
      <w:r w:rsidR="00BD3B4E">
        <w:t xml:space="preserve">% w roku 2019 w porównaniu do danych za rok 2016 (55 instalacji OZE)). </w:t>
      </w:r>
      <w:r w:rsidR="00EF1EF8">
        <w:t xml:space="preserve">Tendencja wzrostowa zauważalna jest w każdym z pięciu analizowanych województw – </w:t>
      </w:r>
      <w:r w:rsidR="00045447">
        <w:t xml:space="preserve">więcej o 29% instalacji zarejestrowanych w województwie świętokrzyskim (24 instalacji - w roku 2016 i 34 instalacje w roku 2019) oraz 71% przyrost instalacji OZE </w:t>
      </w:r>
      <w:r w:rsidR="00045447">
        <w:br/>
      </w:r>
      <w:r w:rsidR="00EF1EF8">
        <w:t xml:space="preserve">w województwie </w:t>
      </w:r>
      <w:r w:rsidR="00045447">
        <w:t xml:space="preserve">podkarpackim </w:t>
      </w:r>
      <w:r w:rsidR="00BD3B4E">
        <w:t xml:space="preserve">(w </w:t>
      </w:r>
      <w:r w:rsidR="00045447">
        <w:t xml:space="preserve">2016 </w:t>
      </w:r>
      <w:r w:rsidR="00BD3B4E">
        <w:t xml:space="preserve">roku </w:t>
      </w:r>
      <w:r w:rsidR="00045447">
        <w:t>- 14</w:t>
      </w:r>
      <w:r w:rsidR="00BD3B4E">
        <w:t xml:space="preserve"> instalacji</w:t>
      </w:r>
      <w:r w:rsidR="00045447">
        <w:t>, zaś w 2019 roku – 48)</w:t>
      </w:r>
      <w:r w:rsidR="00BD3B4E">
        <w:t>.</w:t>
      </w:r>
    </w:p>
    <w:p w14:paraId="4C206119" w14:textId="3605AAC4" w:rsidR="00AA3E77" w:rsidRPr="00AA3E77" w:rsidRDefault="00AA3E77" w:rsidP="00AA3E77">
      <w:pPr>
        <w:pStyle w:val="Legenda"/>
        <w:rPr>
          <w:sz w:val="22"/>
          <w:szCs w:val="22"/>
          <w:lang w:val="pl-PL"/>
        </w:rPr>
      </w:pPr>
      <w:bookmarkStart w:id="165" w:name="_Toc73516116"/>
      <w:r w:rsidRPr="00AA3E77">
        <w:rPr>
          <w:sz w:val="22"/>
          <w:szCs w:val="22"/>
        </w:rPr>
        <w:t xml:space="preserve">Wykres </w:t>
      </w:r>
      <w:r w:rsidRPr="00AA3E77">
        <w:rPr>
          <w:sz w:val="22"/>
          <w:szCs w:val="22"/>
        </w:rPr>
        <w:fldChar w:fldCharType="begin"/>
      </w:r>
      <w:r w:rsidRPr="00AA3E77">
        <w:rPr>
          <w:sz w:val="22"/>
          <w:szCs w:val="22"/>
        </w:rPr>
        <w:instrText xml:space="preserve"> SEQ Wykres \* ARABIC </w:instrText>
      </w:r>
      <w:r w:rsidRPr="00AA3E77">
        <w:rPr>
          <w:sz w:val="22"/>
          <w:szCs w:val="22"/>
        </w:rPr>
        <w:fldChar w:fldCharType="separate"/>
      </w:r>
      <w:r w:rsidR="00AD58C3">
        <w:rPr>
          <w:noProof/>
          <w:sz w:val="22"/>
          <w:szCs w:val="22"/>
        </w:rPr>
        <w:t>54</w:t>
      </w:r>
      <w:r w:rsidRPr="00AA3E77">
        <w:rPr>
          <w:sz w:val="22"/>
          <w:szCs w:val="22"/>
        </w:rPr>
        <w:fldChar w:fldCharType="end"/>
      </w:r>
      <w:r w:rsidRPr="00AA3E77">
        <w:rPr>
          <w:sz w:val="22"/>
          <w:szCs w:val="22"/>
        </w:rPr>
        <w:t xml:space="preserve">. </w:t>
      </w:r>
      <w:r w:rsidRPr="00AA3E77">
        <w:rPr>
          <w:bCs/>
          <w:sz w:val="22"/>
          <w:szCs w:val="22"/>
          <w:lang w:val="pl-PL"/>
        </w:rPr>
        <w:t>Liczba mikro- i małych instalacji - wytwórców OZE w latach 2016, 2018, 2020</w:t>
      </w:r>
      <w:bookmarkEnd w:id="165"/>
    </w:p>
    <w:p w14:paraId="4F26F05A" w14:textId="77777777" w:rsidR="00A830AC" w:rsidRDefault="00A830AC" w:rsidP="00F47B53">
      <w:pPr>
        <w:spacing w:after="0"/>
        <w:jc w:val="both"/>
      </w:pPr>
      <w:r>
        <w:rPr>
          <w:noProof/>
          <w:lang w:eastAsia="pl-PL"/>
        </w:rPr>
        <w:drawing>
          <wp:inline distT="0" distB="0" distL="0" distR="0" wp14:anchorId="13B9D15F" wp14:editId="15A7F64E">
            <wp:extent cx="5760720" cy="3403600"/>
            <wp:effectExtent l="0" t="0" r="11430" b="6350"/>
            <wp:docPr id="81" name="Wykres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3DF88C9" w14:textId="77777777" w:rsidR="00782945" w:rsidRPr="00782945" w:rsidRDefault="00782945" w:rsidP="00F47B53">
      <w:pPr>
        <w:spacing w:after="0" w:line="240" w:lineRule="auto"/>
        <w:jc w:val="center"/>
        <w:rPr>
          <w:i/>
          <w:sz w:val="20"/>
          <w:szCs w:val="20"/>
        </w:rPr>
      </w:pPr>
      <w:r w:rsidRPr="00782945">
        <w:rPr>
          <w:i/>
          <w:sz w:val="20"/>
          <w:szCs w:val="20"/>
        </w:rPr>
        <w:t>źródło: o</w:t>
      </w:r>
      <w:r w:rsidR="00394F4A" w:rsidRPr="00782945">
        <w:rPr>
          <w:i/>
          <w:sz w:val="20"/>
          <w:szCs w:val="20"/>
        </w:rPr>
        <w:t xml:space="preserve">pracowanie własne na podstawie danych z rejestru MIOZE </w:t>
      </w:r>
    </w:p>
    <w:p w14:paraId="518F4390" w14:textId="77777777" w:rsidR="00394F4A" w:rsidRPr="00782945" w:rsidRDefault="00394F4A" w:rsidP="00F47B53">
      <w:pPr>
        <w:spacing w:after="0" w:line="240" w:lineRule="auto"/>
        <w:jc w:val="center"/>
        <w:rPr>
          <w:sz w:val="20"/>
          <w:szCs w:val="20"/>
        </w:rPr>
      </w:pPr>
      <w:r w:rsidRPr="00782945">
        <w:rPr>
          <w:i/>
          <w:sz w:val="20"/>
          <w:szCs w:val="20"/>
        </w:rPr>
        <w:t>Urzędu Regulacji Energetyki (stan na 1</w:t>
      </w:r>
      <w:r w:rsidR="00782945">
        <w:rPr>
          <w:i/>
          <w:sz w:val="20"/>
          <w:szCs w:val="20"/>
        </w:rPr>
        <w:t>4 sierpnia</w:t>
      </w:r>
      <w:r w:rsidRPr="00782945">
        <w:rPr>
          <w:i/>
          <w:sz w:val="20"/>
          <w:szCs w:val="20"/>
        </w:rPr>
        <w:t xml:space="preserve"> 2020 r.)</w:t>
      </w:r>
    </w:p>
    <w:p w14:paraId="5C824A5C" w14:textId="66E6521F" w:rsidR="00361AEB" w:rsidRDefault="00361AEB" w:rsidP="00394F4A">
      <w:pPr>
        <w:jc w:val="both"/>
      </w:pPr>
      <w:r>
        <w:lastRenderedPageBreak/>
        <w:t xml:space="preserve">Energia produkowana przez instalacje OZE, zlokalizowane w województwie warmińsko-mazurskim </w:t>
      </w:r>
      <w:r w:rsidR="00F26B10">
        <w:br/>
      </w:r>
      <w:r>
        <w:t>w roku 2019, pochodziła w najwyższym stopniu z instalacji wykorzystujących hydroenergię (WO) – 72%</w:t>
      </w:r>
      <w:r w:rsidR="00F26B10">
        <w:t xml:space="preserve"> oraz energię promieniowania słonecznego (PV) – 21% ogółu instalacji OZE.</w:t>
      </w:r>
    </w:p>
    <w:p w14:paraId="2CE95A43" w14:textId="202D9512" w:rsidR="00AA3E77" w:rsidRPr="008654F0" w:rsidRDefault="00AA3E77" w:rsidP="00AA3E77">
      <w:pPr>
        <w:pStyle w:val="Legenda"/>
        <w:rPr>
          <w:sz w:val="22"/>
          <w:szCs w:val="22"/>
        </w:rPr>
      </w:pPr>
      <w:bookmarkStart w:id="166" w:name="_Toc73516117"/>
      <w:r w:rsidRPr="008654F0">
        <w:rPr>
          <w:sz w:val="22"/>
          <w:szCs w:val="22"/>
        </w:rPr>
        <w:t xml:space="preserve">Wykres </w:t>
      </w:r>
      <w:r w:rsidRPr="008654F0">
        <w:rPr>
          <w:sz w:val="22"/>
          <w:szCs w:val="22"/>
        </w:rPr>
        <w:fldChar w:fldCharType="begin"/>
      </w:r>
      <w:r w:rsidRPr="008654F0">
        <w:rPr>
          <w:sz w:val="22"/>
          <w:szCs w:val="22"/>
        </w:rPr>
        <w:instrText xml:space="preserve"> SEQ Wykres \* ARABIC </w:instrText>
      </w:r>
      <w:r w:rsidRPr="008654F0">
        <w:rPr>
          <w:sz w:val="22"/>
          <w:szCs w:val="22"/>
        </w:rPr>
        <w:fldChar w:fldCharType="separate"/>
      </w:r>
      <w:r w:rsidR="00AD58C3">
        <w:rPr>
          <w:noProof/>
          <w:sz w:val="22"/>
          <w:szCs w:val="22"/>
        </w:rPr>
        <w:t>55</w:t>
      </w:r>
      <w:r w:rsidRPr="008654F0">
        <w:rPr>
          <w:sz w:val="22"/>
          <w:szCs w:val="22"/>
        </w:rPr>
        <w:fldChar w:fldCharType="end"/>
      </w:r>
      <w:r w:rsidRPr="008654F0">
        <w:rPr>
          <w:sz w:val="22"/>
          <w:szCs w:val="22"/>
        </w:rPr>
        <w:t xml:space="preserve">. </w:t>
      </w:r>
      <w:r w:rsidRPr="008654F0">
        <w:rPr>
          <w:bCs/>
          <w:sz w:val="22"/>
          <w:szCs w:val="22"/>
          <w:lang w:val="pl-PL"/>
        </w:rPr>
        <w:t>Rodzaje instalacji OZE w województwie warmińsko-mazurskim</w:t>
      </w:r>
      <w:bookmarkEnd w:id="166"/>
    </w:p>
    <w:p w14:paraId="0D6B809F" w14:textId="77777777" w:rsidR="00394F4A" w:rsidRPr="0051542D" w:rsidRDefault="00394F4A" w:rsidP="00394F4A">
      <w:pPr>
        <w:spacing w:after="0"/>
        <w:jc w:val="center"/>
      </w:pPr>
      <w:r w:rsidRPr="0051542D">
        <w:rPr>
          <w:noProof/>
          <w:lang w:eastAsia="pl-PL"/>
        </w:rPr>
        <w:drawing>
          <wp:inline distT="0" distB="0" distL="0" distR="0" wp14:anchorId="0E8AE8E1" wp14:editId="6C90A3C7">
            <wp:extent cx="4312693" cy="2402006"/>
            <wp:effectExtent l="0" t="0" r="12065" b="17780"/>
            <wp:docPr id="149" name="Wykres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032036A" w14:textId="77777777" w:rsidR="00782945" w:rsidRPr="00782945" w:rsidRDefault="00782945" w:rsidP="00782945">
      <w:pPr>
        <w:spacing w:after="0" w:line="240" w:lineRule="auto"/>
        <w:jc w:val="center"/>
        <w:rPr>
          <w:i/>
          <w:sz w:val="20"/>
          <w:szCs w:val="20"/>
        </w:rPr>
      </w:pPr>
      <w:r w:rsidRPr="00782945">
        <w:rPr>
          <w:i/>
          <w:sz w:val="20"/>
          <w:szCs w:val="20"/>
        </w:rPr>
        <w:t xml:space="preserve">źródło: opracowanie własne na podstawie danych z rejestru MIOZE </w:t>
      </w:r>
    </w:p>
    <w:p w14:paraId="49B9E76D" w14:textId="77777777" w:rsidR="00782945" w:rsidRPr="00782945" w:rsidRDefault="00782945" w:rsidP="00782945">
      <w:pPr>
        <w:spacing w:after="0" w:line="240" w:lineRule="auto"/>
        <w:jc w:val="center"/>
        <w:rPr>
          <w:sz w:val="20"/>
          <w:szCs w:val="20"/>
        </w:rPr>
      </w:pPr>
      <w:r w:rsidRPr="00782945">
        <w:rPr>
          <w:i/>
          <w:sz w:val="20"/>
          <w:szCs w:val="20"/>
        </w:rPr>
        <w:t>Urzędu Regulacji Energetyki (stan na 1</w:t>
      </w:r>
      <w:r>
        <w:rPr>
          <w:i/>
          <w:sz w:val="20"/>
          <w:szCs w:val="20"/>
        </w:rPr>
        <w:t>4 sierpnia</w:t>
      </w:r>
      <w:r w:rsidRPr="00782945">
        <w:rPr>
          <w:i/>
          <w:sz w:val="20"/>
          <w:szCs w:val="20"/>
        </w:rPr>
        <w:t xml:space="preserve"> 2020 r.)</w:t>
      </w:r>
    </w:p>
    <w:p w14:paraId="7BF02C6B" w14:textId="77777777" w:rsidR="00394F4A" w:rsidRPr="0051542D" w:rsidRDefault="00394F4A" w:rsidP="00394F4A">
      <w:pPr>
        <w:jc w:val="both"/>
      </w:pPr>
    </w:p>
    <w:p w14:paraId="47E4ED52" w14:textId="3774158C" w:rsidR="00394F4A" w:rsidRDefault="00072041" w:rsidP="00394F4A">
      <w:pPr>
        <w:jc w:val="both"/>
      </w:pPr>
      <w:r>
        <w:t xml:space="preserve">Na terenie </w:t>
      </w:r>
      <w:r w:rsidR="00394F4A" w:rsidRPr="0051542D">
        <w:t xml:space="preserve">Olsztyna </w:t>
      </w:r>
      <w:r>
        <w:t xml:space="preserve">w roku 2019 istnieją 3 </w:t>
      </w:r>
      <w:r w:rsidR="00394F4A" w:rsidRPr="0051542D">
        <w:t>instalacj</w:t>
      </w:r>
      <w:r w:rsidR="00B81C25">
        <w:t>e</w:t>
      </w:r>
      <w:r>
        <w:t xml:space="preserve"> wytwarzające odnawialne źródła energii</w:t>
      </w:r>
      <w:r w:rsidR="00394F4A" w:rsidRPr="0051542D">
        <w:t xml:space="preserve"> </w:t>
      </w:r>
      <w:r>
        <w:t xml:space="preserve">– </w:t>
      </w:r>
      <w:r w:rsidR="00320544">
        <w:br/>
      </w:r>
      <w:r>
        <w:t xml:space="preserve">1 wykorzystująca hydroenergię (WO) oraz 2 instalacje </w:t>
      </w:r>
      <w:r w:rsidR="00394F4A" w:rsidRPr="0051542D">
        <w:t>wykorzystując</w:t>
      </w:r>
      <w:r>
        <w:t>e</w:t>
      </w:r>
      <w:r w:rsidR="00394F4A" w:rsidRPr="0051542D">
        <w:t xml:space="preserve"> energię promieniowania słonecznego (PV).</w:t>
      </w:r>
      <w:r>
        <w:t xml:space="preserve"> </w:t>
      </w:r>
    </w:p>
    <w:p w14:paraId="3420D537" w14:textId="7B2A7DA7" w:rsidR="00AA3E77" w:rsidRPr="00AA3E77" w:rsidRDefault="00AA3E77" w:rsidP="00AA3E77">
      <w:pPr>
        <w:pStyle w:val="Legenda"/>
        <w:rPr>
          <w:sz w:val="22"/>
          <w:szCs w:val="22"/>
          <w:lang w:val="pl-PL"/>
        </w:rPr>
      </w:pPr>
      <w:bookmarkStart w:id="167" w:name="_Toc73516118"/>
      <w:r w:rsidRPr="00AA3E77">
        <w:rPr>
          <w:sz w:val="22"/>
          <w:szCs w:val="22"/>
        </w:rPr>
        <w:t xml:space="preserve">Wykres </w:t>
      </w:r>
      <w:r w:rsidRPr="00AA3E77">
        <w:rPr>
          <w:sz w:val="22"/>
          <w:szCs w:val="22"/>
        </w:rPr>
        <w:fldChar w:fldCharType="begin"/>
      </w:r>
      <w:r w:rsidRPr="00AA3E77">
        <w:rPr>
          <w:sz w:val="22"/>
          <w:szCs w:val="22"/>
        </w:rPr>
        <w:instrText xml:space="preserve"> SEQ Wykres \* ARABIC </w:instrText>
      </w:r>
      <w:r w:rsidRPr="00AA3E77">
        <w:rPr>
          <w:sz w:val="22"/>
          <w:szCs w:val="22"/>
        </w:rPr>
        <w:fldChar w:fldCharType="separate"/>
      </w:r>
      <w:r w:rsidR="00AD58C3">
        <w:rPr>
          <w:noProof/>
          <w:sz w:val="22"/>
          <w:szCs w:val="22"/>
        </w:rPr>
        <w:t>56</w:t>
      </w:r>
      <w:r w:rsidRPr="00AA3E77">
        <w:rPr>
          <w:sz w:val="22"/>
          <w:szCs w:val="22"/>
        </w:rPr>
        <w:fldChar w:fldCharType="end"/>
      </w:r>
      <w:r w:rsidRPr="00AA3E77">
        <w:rPr>
          <w:sz w:val="22"/>
          <w:szCs w:val="22"/>
        </w:rPr>
        <w:t xml:space="preserve">. </w:t>
      </w:r>
      <w:r w:rsidRPr="00AA3E77">
        <w:rPr>
          <w:bCs/>
          <w:sz w:val="22"/>
          <w:szCs w:val="22"/>
          <w:lang w:val="pl-PL"/>
        </w:rPr>
        <w:t>Wytwórcy energii elektrycznej z odnawialnych źródeł energii w małej instalacji w Olsztynie w latach 2016-2019</w:t>
      </w:r>
      <w:bookmarkEnd w:id="167"/>
    </w:p>
    <w:p w14:paraId="347144B9" w14:textId="77777777" w:rsidR="00072041" w:rsidRDefault="00072041" w:rsidP="00F47B53">
      <w:pPr>
        <w:spacing w:after="0"/>
        <w:jc w:val="center"/>
      </w:pPr>
      <w:r>
        <w:rPr>
          <w:noProof/>
          <w:lang w:eastAsia="pl-PL"/>
        </w:rPr>
        <w:drawing>
          <wp:inline distT="0" distB="0" distL="0" distR="0" wp14:anchorId="6F881283" wp14:editId="3C34F85A">
            <wp:extent cx="4019266" cy="1944806"/>
            <wp:effectExtent l="0" t="0" r="635" b="17780"/>
            <wp:docPr id="83" name="Wykres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8663031" w14:textId="77777777" w:rsidR="00072041" w:rsidRPr="00782945" w:rsidRDefault="00072041" w:rsidP="00F47B53">
      <w:pPr>
        <w:spacing w:after="0" w:line="240" w:lineRule="auto"/>
        <w:jc w:val="center"/>
        <w:rPr>
          <w:i/>
          <w:sz w:val="20"/>
          <w:szCs w:val="20"/>
        </w:rPr>
      </w:pPr>
      <w:r w:rsidRPr="00782945">
        <w:rPr>
          <w:i/>
          <w:sz w:val="20"/>
          <w:szCs w:val="20"/>
        </w:rPr>
        <w:t xml:space="preserve">źródło: opracowanie własne na podstawie danych z rejestru MIOZE </w:t>
      </w:r>
    </w:p>
    <w:p w14:paraId="0353B07B" w14:textId="77777777" w:rsidR="00072041" w:rsidRPr="00782945" w:rsidRDefault="00072041" w:rsidP="00F47B53">
      <w:pPr>
        <w:spacing w:after="0" w:line="240" w:lineRule="auto"/>
        <w:jc w:val="center"/>
        <w:rPr>
          <w:sz w:val="20"/>
          <w:szCs w:val="20"/>
        </w:rPr>
      </w:pPr>
      <w:r w:rsidRPr="00782945">
        <w:rPr>
          <w:i/>
          <w:sz w:val="20"/>
          <w:szCs w:val="20"/>
        </w:rPr>
        <w:t>Urzędu Regulacji Energetyki (stan na 1</w:t>
      </w:r>
      <w:r>
        <w:rPr>
          <w:i/>
          <w:sz w:val="20"/>
          <w:szCs w:val="20"/>
        </w:rPr>
        <w:t>4 sierpnia</w:t>
      </w:r>
      <w:r w:rsidRPr="00782945">
        <w:rPr>
          <w:i/>
          <w:sz w:val="20"/>
          <w:szCs w:val="20"/>
        </w:rPr>
        <w:t xml:space="preserve"> 2020 r.)</w:t>
      </w:r>
    </w:p>
    <w:p w14:paraId="3CA608B8" w14:textId="77777777" w:rsidR="00394F4A" w:rsidRPr="0051542D" w:rsidRDefault="00394F4A" w:rsidP="00394F4A">
      <w:pPr>
        <w:spacing w:after="0"/>
        <w:jc w:val="center"/>
      </w:pPr>
    </w:p>
    <w:p w14:paraId="48A950DD" w14:textId="77777777" w:rsidR="00394F4A" w:rsidRPr="0051542D" w:rsidRDefault="00394F4A" w:rsidP="00394F4A">
      <w:pPr>
        <w:spacing w:after="0"/>
        <w:jc w:val="center"/>
      </w:pPr>
    </w:p>
    <w:p w14:paraId="22900CD9" w14:textId="77777777" w:rsidR="00394F4A" w:rsidRPr="0051542D" w:rsidRDefault="00394F4A" w:rsidP="00394F4A">
      <w:pPr>
        <w:jc w:val="both"/>
      </w:pPr>
      <w:r w:rsidRPr="0051542D">
        <w:t>Zgodnie z dostępnymi danymi</w:t>
      </w:r>
      <w:r w:rsidR="005A6B03">
        <w:t>,</w:t>
      </w:r>
      <w:r w:rsidRPr="0051542D">
        <w:t xml:space="preserve"> w MOF Olsztyna funkcjonują wyłącznie instalacje wytwarzające energię z wody</w:t>
      </w:r>
      <w:r w:rsidR="00744B23">
        <w:t xml:space="preserve"> (7 instalacji)</w:t>
      </w:r>
      <w:r w:rsidRPr="0051542D">
        <w:t xml:space="preserve"> oraz energii słonecznej</w:t>
      </w:r>
      <w:r w:rsidR="00744B23">
        <w:t xml:space="preserve"> (4 instalacje)</w:t>
      </w:r>
      <w:r w:rsidRPr="0051542D">
        <w:t>.</w:t>
      </w:r>
    </w:p>
    <w:p w14:paraId="0B499D27" w14:textId="722DE12A" w:rsidR="00394F4A" w:rsidRPr="0051542D" w:rsidRDefault="00394F4A" w:rsidP="00394F4A">
      <w:pPr>
        <w:jc w:val="both"/>
      </w:pPr>
      <w:r w:rsidRPr="0051542D">
        <w:t>Zainteresowanie instalacjami wykorzystującymi energię ze źródeł odnawialnych widoczne jest w liczbie podmiotów</w:t>
      </w:r>
      <w:r>
        <w:t>,</w:t>
      </w:r>
      <w:r w:rsidRPr="0051542D">
        <w:t xml:space="preserve"> które otrzymały dofina</w:t>
      </w:r>
      <w:r w:rsidR="0064568C">
        <w:t>n</w:t>
      </w:r>
      <w:r w:rsidRPr="0051542D">
        <w:t>sowanie na realizację takich przedsięwzięć ze środków Regionalnego Programu Operacyjnego Województwa Warmińsko-Mazurskiego na lata 2014-2020.</w:t>
      </w:r>
    </w:p>
    <w:p w14:paraId="221E9D1D" w14:textId="62FDDBC8" w:rsidR="00394F4A" w:rsidRDefault="00394F4A" w:rsidP="00394F4A">
      <w:pPr>
        <w:jc w:val="both"/>
      </w:pPr>
      <w:r w:rsidRPr="0051542D">
        <w:lastRenderedPageBreak/>
        <w:t>Zgodnie z informacjami pozyskanymi</w:t>
      </w:r>
      <w:r w:rsidRPr="0051542D">
        <w:rPr>
          <w:vertAlign w:val="superscript"/>
        </w:rPr>
        <w:footnoteReference w:id="50"/>
      </w:r>
      <w:r w:rsidRPr="0051542D">
        <w:t xml:space="preserve"> od Instytucji Zarządzającej Programem na obszarze MOF Olsztyna dofinansowanie otrzymało 157 nowych instalacji OZE, w tym 7 instalacji zostało zrealizowan</w:t>
      </w:r>
      <w:r w:rsidR="0064568C">
        <w:t>ych</w:t>
      </w:r>
      <w:r w:rsidRPr="0051542D">
        <w:t xml:space="preserve"> bezpośrednio przez Gminy.</w:t>
      </w:r>
    </w:p>
    <w:p w14:paraId="3FE56EC2" w14:textId="26949565" w:rsidR="00AA3E77" w:rsidRPr="0051542D" w:rsidRDefault="00AA3E77" w:rsidP="00AA3E77">
      <w:pPr>
        <w:pStyle w:val="Legenda"/>
      </w:pPr>
      <w:bookmarkStart w:id="168" w:name="_Toc73534981"/>
      <w:r>
        <w:t xml:space="preserve">Tabela </w:t>
      </w:r>
      <w:r>
        <w:fldChar w:fldCharType="begin"/>
      </w:r>
      <w:r>
        <w:instrText xml:space="preserve"> SEQ Tabela \* ARABIC </w:instrText>
      </w:r>
      <w:r>
        <w:fldChar w:fldCharType="separate"/>
      </w:r>
      <w:r w:rsidR="00AD58C3">
        <w:rPr>
          <w:noProof/>
        </w:rPr>
        <w:t>18</w:t>
      </w:r>
      <w:r>
        <w:fldChar w:fldCharType="end"/>
      </w:r>
      <w:r>
        <w:t>. Instalacje OZE zrealizowane przez gminy MOF Olsztyna</w:t>
      </w:r>
      <w:bookmarkEnd w:id="168"/>
    </w:p>
    <w:tbl>
      <w:tblPr>
        <w:tblStyle w:val="Tabela-Siatka1"/>
        <w:tblW w:w="0" w:type="auto"/>
        <w:jc w:val="center"/>
        <w:tblLook w:val="04A0" w:firstRow="1" w:lastRow="0" w:firstColumn="1" w:lastColumn="0" w:noHBand="0" w:noVBand="1"/>
      </w:tblPr>
      <w:tblGrid>
        <w:gridCol w:w="1980"/>
        <w:gridCol w:w="1701"/>
      </w:tblGrid>
      <w:tr w:rsidR="00394F4A" w:rsidRPr="0051542D" w14:paraId="199571BD" w14:textId="77777777" w:rsidTr="00FF7782">
        <w:trPr>
          <w:jc w:val="center"/>
        </w:trPr>
        <w:tc>
          <w:tcPr>
            <w:tcW w:w="1980" w:type="dxa"/>
            <w:tcBorders>
              <w:top w:val="single" w:sz="4" w:space="0" w:color="auto"/>
              <w:left w:val="single" w:sz="4" w:space="0" w:color="auto"/>
              <w:bottom w:val="single" w:sz="4" w:space="0" w:color="auto"/>
              <w:right w:val="single" w:sz="4" w:space="0" w:color="auto"/>
            </w:tcBorders>
            <w:shd w:val="clear" w:color="auto" w:fill="92D050"/>
            <w:hideMark/>
          </w:tcPr>
          <w:p w14:paraId="0B7E2101" w14:textId="77777777" w:rsidR="00394F4A" w:rsidRPr="0051542D" w:rsidRDefault="00394F4A" w:rsidP="00394F4A">
            <w:pPr>
              <w:jc w:val="both"/>
              <w:rPr>
                <w:b/>
              </w:rPr>
            </w:pPr>
            <w:r w:rsidRPr="0051542D">
              <w:rPr>
                <w:b/>
              </w:rPr>
              <w:t>Gmina</w:t>
            </w:r>
          </w:p>
        </w:tc>
        <w:tc>
          <w:tcPr>
            <w:tcW w:w="1701" w:type="dxa"/>
            <w:tcBorders>
              <w:top w:val="single" w:sz="4" w:space="0" w:color="auto"/>
              <w:left w:val="single" w:sz="4" w:space="0" w:color="auto"/>
              <w:bottom w:val="single" w:sz="4" w:space="0" w:color="auto"/>
              <w:right w:val="single" w:sz="4" w:space="0" w:color="auto"/>
            </w:tcBorders>
            <w:shd w:val="clear" w:color="auto" w:fill="92D050"/>
            <w:hideMark/>
          </w:tcPr>
          <w:p w14:paraId="00C4D113" w14:textId="77777777" w:rsidR="00394F4A" w:rsidRPr="0051542D" w:rsidRDefault="00394F4A" w:rsidP="00394F4A">
            <w:pPr>
              <w:jc w:val="both"/>
              <w:rPr>
                <w:b/>
              </w:rPr>
            </w:pPr>
            <w:r w:rsidRPr="0051542D">
              <w:rPr>
                <w:b/>
              </w:rPr>
              <w:t>Liczba instalacji</w:t>
            </w:r>
          </w:p>
        </w:tc>
      </w:tr>
      <w:tr w:rsidR="00394F4A" w:rsidRPr="0051542D" w14:paraId="6530A9F6" w14:textId="77777777" w:rsidTr="00394F4A">
        <w:trPr>
          <w:jc w:val="center"/>
        </w:trPr>
        <w:tc>
          <w:tcPr>
            <w:tcW w:w="1980" w:type="dxa"/>
            <w:tcBorders>
              <w:top w:val="single" w:sz="4" w:space="0" w:color="auto"/>
              <w:left w:val="single" w:sz="4" w:space="0" w:color="auto"/>
              <w:bottom w:val="single" w:sz="4" w:space="0" w:color="auto"/>
              <w:right w:val="single" w:sz="4" w:space="0" w:color="auto"/>
            </w:tcBorders>
            <w:hideMark/>
          </w:tcPr>
          <w:p w14:paraId="15391D1B" w14:textId="77777777" w:rsidR="00394F4A" w:rsidRPr="0051542D" w:rsidRDefault="00394F4A" w:rsidP="00394F4A">
            <w:pPr>
              <w:jc w:val="both"/>
            </w:pPr>
            <w:r w:rsidRPr="0051542D">
              <w:t>Gietrzwałd</w:t>
            </w:r>
          </w:p>
        </w:tc>
        <w:tc>
          <w:tcPr>
            <w:tcW w:w="1701" w:type="dxa"/>
            <w:tcBorders>
              <w:top w:val="single" w:sz="4" w:space="0" w:color="auto"/>
              <w:left w:val="single" w:sz="4" w:space="0" w:color="auto"/>
              <w:bottom w:val="single" w:sz="4" w:space="0" w:color="auto"/>
              <w:right w:val="single" w:sz="4" w:space="0" w:color="auto"/>
            </w:tcBorders>
            <w:hideMark/>
          </w:tcPr>
          <w:p w14:paraId="4B1E51B0" w14:textId="77777777" w:rsidR="00394F4A" w:rsidRPr="0051542D" w:rsidRDefault="00394F4A" w:rsidP="005A6B03">
            <w:pPr>
              <w:jc w:val="center"/>
            </w:pPr>
            <w:r w:rsidRPr="0051542D">
              <w:t>2</w:t>
            </w:r>
          </w:p>
        </w:tc>
      </w:tr>
      <w:tr w:rsidR="00394F4A" w:rsidRPr="0051542D" w14:paraId="31791129" w14:textId="77777777" w:rsidTr="00394F4A">
        <w:trPr>
          <w:jc w:val="center"/>
        </w:trPr>
        <w:tc>
          <w:tcPr>
            <w:tcW w:w="1980" w:type="dxa"/>
            <w:tcBorders>
              <w:top w:val="single" w:sz="4" w:space="0" w:color="auto"/>
              <w:left w:val="single" w:sz="4" w:space="0" w:color="auto"/>
              <w:bottom w:val="single" w:sz="4" w:space="0" w:color="auto"/>
              <w:right w:val="single" w:sz="4" w:space="0" w:color="auto"/>
            </w:tcBorders>
            <w:hideMark/>
          </w:tcPr>
          <w:p w14:paraId="16F51C6F" w14:textId="77777777" w:rsidR="00394F4A" w:rsidRPr="0051542D" w:rsidRDefault="00394F4A" w:rsidP="00394F4A">
            <w:pPr>
              <w:jc w:val="both"/>
            </w:pPr>
            <w:r w:rsidRPr="0051542D">
              <w:t>Barczewo</w:t>
            </w:r>
          </w:p>
        </w:tc>
        <w:tc>
          <w:tcPr>
            <w:tcW w:w="1701" w:type="dxa"/>
            <w:tcBorders>
              <w:top w:val="single" w:sz="4" w:space="0" w:color="auto"/>
              <w:left w:val="single" w:sz="4" w:space="0" w:color="auto"/>
              <w:bottom w:val="single" w:sz="4" w:space="0" w:color="auto"/>
              <w:right w:val="single" w:sz="4" w:space="0" w:color="auto"/>
            </w:tcBorders>
            <w:hideMark/>
          </w:tcPr>
          <w:p w14:paraId="54508E89" w14:textId="77777777" w:rsidR="00394F4A" w:rsidRPr="0051542D" w:rsidRDefault="00394F4A" w:rsidP="005A6B03">
            <w:pPr>
              <w:jc w:val="center"/>
            </w:pPr>
            <w:r w:rsidRPr="0051542D">
              <w:t>1</w:t>
            </w:r>
          </w:p>
        </w:tc>
      </w:tr>
      <w:tr w:rsidR="00394F4A" w:rsidRPr="0051542D" w14:paraId="1936C6CB" w14:textId="77777777" w:rsidTr="00394F4A">
        <w:trPr>
          <w:jc w:val="center"/>
        </w:trPr>
        <w:tc>
          <w:tcPr>
            <w:tcW w:w="1980" w:type="dxa"/>
            <w:tcBorders>
              <w:top w:val="single" w:sz="4" w:space="0" w:color="auto"/>
              <w:left w:val="single" w:sz="4" w:space="0" w:color="auto"/>
              <w:bottom w:val="single" w:sz="4" w:space="0" w:color="auto"/>
              <w:right w:val="single" w:sz="4" w:space="0" w:color="auto"/>
            </w:tcBorders>
            <w:hideMark/>
          </w:tcPr>
          <w:p w14:paraId="0C94213F" w14:textId="77777777" w:rsidR="00394F4A" w:rsidRPr="0051542D" w:rsidRDefault="00394F4A" w:rsidP="00394F4A">
            <w:pPr>
              <w:jc w:val="both"/>
            </w:pPr>
            <w:r w:rsidRPr="0051542D">
              <w:t>Purda</w:t>
            </w:r>
          </w:p>
        </w:tc>
        <w:tc>
          <w:tcPr>
            <w:tcW w:w="1701" w:type="dxa"/>
            <w:tcBorders>
              <w:top w:val="single" w:sz="4" w:space="0" w:color="auto"/>
              <w:left w:val="single" w:sz="4" w:space="0" w:color="auto"/>
              <w:bottom w:val="single" w:sz="4" w:space="0" w:color="auto"/>
              <w:right w:val="single" w:sz="4" w:space="0" w:color="auto"/>
            </w:tcBorders>
            <w:hideMark/>
          </w:tcPr>
          <w:p w14:paraId="29CC2F13" w14:textId="77777777" w:rsidR="00394F4A" w:rsidRPr="0051542D" w:rsidRDefault="00394F4A" w:rsidP="005A6B03">
            <w:pPr>
              <w:jc w:val="center"/>
            </w:pPr>
            <w:r w:rsidRPr="0051542D">
              <w:t>2</w:t>
            </w:r>
          </w:p>
        </w:tc>
      </w:tr>
      <w:tr w:rsidR="00394F4A" w:rsidRPr="0051542D" w14:paraId="3081EB27" w14:textId="77777777" w:rsidTr="00394F4A">
        <w:trPr>
          <w:jc w:val="center"/>
        </w:trPr>
        <w:tc>
          <w:tcPr>
            <w:tcW w:w="1980" w:type="dxa"/>
            <w:tcBorders>
              <w:top w:val="single" w:sz="4" w:space="0" w:color="auto"/>
              <w:left w:val="single" w:sz="4" w:space="0" w:color="auto"/>
              <w:bottom w:val="single" w:sz="4" w:space="0" w:color="auto"/>
              <w:right w:val="single" w:sz="4" w:space="0" w:color="auto"/>
            </w:tcBorders>
            <w:hideMark/>
          </w:tcPr>
          <w:p w14:paraId="657519E2" w14:textId="77777777" w:rsidR="00394F4A" w:rsidRPr="0051542D" w:rsidRDefault="00394F4A" w:rsidP="00394F4A">
            <w:pPr>
              <w:jc w:val="both"/>
            </w:pPr>
            <w:r w:rsidRPr="0051542D">
              <w:t>Stawiguda</w:t>
            </w:r>
          </w:p>
        </w:tc>
        <w:tc>
          <w:tcPr>
            <w:tcW w:w="1701" w:type="dxa"/>
            <w:tcBorders>
              <w:top w:val="single" w:sz="4" w:space="0" w:color="auto"/>
              <w:left w:val="single" w:sz="4" w:space="0" w:color="auto"/>
              <w:bottom w:val="single" w:sz="4" w:space="0" w:color="auto"/>
              <w:right w:val="single" w:sz="4" w:space="0" w:color="auto"/>
            </w:tcBorders>
            <w:hideMark/>
          </w:tcPr>
          <w:p w14:paraId="586EDF86" w14:textId="77777777" w:rsidR="00394F4A" w:rsidRPr="0051542D" w:rsidRDefault="00394F4A" w:rsidP="005A6B03">
            <w:pPr>
              <w:jc w:val="center"/>
            </w:pPr>
            <w:r w:rsidRPr="0051542D">
              <w:t>1</w:t>
            </w:r>
          </w:p>
        </w:tc>
      </w:tr>
    </w:tbl>
    <w:p w14:paraId="6EB8CAE8" w14:textId="77777777" w:rsidR="00B811C7" w:rsidRDefault="00B811C7" w:rsidP="00B811C7">
      <w:bookmarkStart w:id="169" w:name="_Toc45279354"/>
      <w:bookmarkStart w:id="170" w:name="_Toc48302929"/>
    </w:p>
    <w:p w14:paraId="0326F7FC" w14:textId="3C60F58C" w:rsidR="00573BA8" w:rsidRPr="00B811C7" w:rsidRDefault="00573BA8" w:rsidP="0034680A">
      <w:pPr>
        <w:pStyle w:val="Nagwek1"/>
        <w:numPr>
          <w:ilvl w:val="0"/>
          <w:numId w:val="31"/>
        </w:numPr>
        <w:ind w:left="284" w:hanging="284"/>
      </w:pPr>
      <w:bookmarkStart w:id="171" w:name="_Toc73534913"/>
      <w:r w:rsidRPr="00B811C7">
        <w:t>Gospodarka</w:t>
      </w:r>
      <w:bookmarkEnd w:id="169"/>
      <w:bookmarkEnd w:id="170"/>
      <w:bookmarkEnd w:id="171"/>
    </w:p>
    <w:p w14:paraId="2AB35929" w14:textId="77777777" w:rsidR="00805477" w:rsidRDefault="00805477" w:rsidP="00805477">
      <w:bookmarkStart w:id="172" w:name="_Toc45279355"/>
      <w:bookmarkStart w:id="173" w:name="_Toc48302930"/>
    </w:p>
    <w:p w14:paraId="01AF39F8" w14:textId="415666D2" w:rsidR="00573BA8" w:rsidRDefault="0034680A" w:rsidP="00565E8D">
      <w:pPr>
        <w:pStyle w:val="Nagwek2"/>
      </w:pPr>
      <w:bookmarkStart w:id="174" w:name="_Toc73534914"/>
      <w:r>
        <w:t xml:space="preserve">3.1 </w:t>
      </w:r>
      <w:r w:rsidR="00432322">
        <w:t>P</w:t>
      </w:r>
      <w:r w:rsidR="00573BA8" w:rsidRPr="003234C4">
        <w:t>rzedsiębiorstw</w:t>
      </w:r>
      <w:bookmarkEnd w:id="172"/>
      <w:bookmarkEnd w:id="173"/>
      <w:r w:rsidR="00432322">
        <w:t>a</w:t>
      </w:r>
      <w:bookmarkEnd w:id="174"/>
    </w:p>
    <w:p w14:paraId="3A4F93E9" w14:textId="77777777" w:rsidR="00B80CE2" w:rsidRDefault="00DF20AD" w:rsidP="00C5524F">
      <w:pPr>
        <w:jc w:val="both"/>
      </w:pPr>
      <w:r>
        <w:t>Województwo warmińsko-mazurskie charakteryzuje się na tle kraju niskim poziomem wskaźnika przeds</w:t>
      </w:r>
      <w:r w:rsidR="003D3A1E">
        <w:t>iębiorczości (</w:t>
      </w:r>
      <w:r w:rsidR="00C5524F">
        <w:t>12. miejsce wśród ośrodków wojewódzkich</w:t>
      </w:r>
      <w:r w:rsidR="001262FC">
        <w:t xml:space="preserve">; w roku 2019 do rejestru REGON przeliczając na 1000 ludności wpisano </w:t>
      </w:r>
      <w:r w:rsidR="003D3A1E">
        <w:t xml:space="preserve">93 podmioty </w:t>
      </w:r>
      <w:r w:rsidR="001262FC">
        <w:t xml:space="preserve">gospodarcze, więcej o 9 podmiotów/1000 mieszkańców niż w roku 2013). </w:t>
      </w:r>
    </w:p>
    <w:p w14:paraId="19EA1E67" w14:textId="3202E36D" w:rsidR="00E72F21" w:rsidRDefault="00583450" w:rsidP="00C5524F">
      <w:pPr>
        <w:jc w:val="both"/>
      </w:pPr>
      <w:r>
        <w:t>W zestawieniu wybranych miast Polski Wschodniej</w:t>
      </w:r>
      <w:r w:rsidR="00AB3213">
        <w:t xml:space="preserve">, analizowanych </w:t>
      </w:r>
      <w:r>
        <w:t>pod kątem liczby podmiotów wpisanych do rejestru REGON</w:t>
      </w:r>
      <w:r w:rsidR="00AE7C15">
        <w:t xml:space="preserve">, w roku 2019 Olsztyn plasuje się w połowie rejestru (1 375 podmiotów w przeliczeniu na 10 </w:t>
      </w:r>
      <w:r w:rsidR="00E37BD0">
        <w:t xml:space="preserve">tys. </w:t>
      </w:r>
      <w:r w:rsidR="00AE7C15">
        <w:t xml:space="preserve">mieszkańców), wyprzedzając Białystok (1 212 podmiotów) oraz Lublin </w:t>
      </w:r>
      <w:r w:rsidR="00AB3213">
        <w:br/>
      </w:r>
      <w:r w:rsidR="00AE7C15">
        <w:t>(1 359 podmiotów).</w:t>
      </w:r>
      <w:r w:rsidR="00AB3213">
        <w:t xml:space="preserve"> </w:t>
      </w:r>
      <w:r w:rsidR="00E511D9">
        <w:t>W każdym z analizowanych ośrodków wojewódzkich, porównując dane za lata 2013-2019</w:t>
      </w:r>
      <w:r w:rsidR="00AB3213">
        <w:t xml:space="preserve"> widoczny jest </w:t>
      </w:r>
      <w:r w:rsidR="00E511D9">
        <w:t xml:space="preserve">stały trend wzrostowy. </w:t>
      </w:r>
      <w:r w:rsidR="00AB3213">
        <w:t xml:space="preserve">Dane za lata 2013 i 2019 wskazują, że </w:t>
      </w:r>
      <w:r w:rsidR="00E511D9">
        <w:t xml:space="preserve">największy przyrost </w:t>
      </w:r>
      <w:r w:rsidR="00AB3213">
        <w:t xml:space="preserve">liczby podmiotów w przeliczeniu na 10 </w:t>
      </w:r>
      <w:r w:rsidR="00E37BD0">
        <w:t xml:space="preserve">tys. </w:t>
      </w:r>
      <w:r w:rsidR="00AB3213">
        <w:t xml:space="preserve">ludności nastąpił </w:t>
      </w:r>
      <w:r w:rsidR="00E511D9">
        <w:t xml:space="preserve">w Rzeszowie </w:t>
      </w:r>
      <w:r w:rsidR="00AB3213">
        <w:t xml:space="preserve">(więcej </w:t>
      </w:r>
      <w:r w:rsidR="00E511D9">
        <w:t>o 202 podmioty</w:t>
      </w:r>
      <w:r w:rsidR="00AB3213">
        <w:t>)</w:t>
      </w:r>
      <w:r w:rsidR="00E511D9">
        <w:t>,</w:t>
      </w:r>
      <w:r w:rsidR="00AB3213">
        <w:t xml:space="preserve"> zaś najniższy przyrost </w:t>
      </w:r>
      <w:r w:rsidR="00E511D9">
        <w:t xml:space="preserve">w Kielcach </w:t>
      </w:r>
      <w:r w:rsidR="00AB3213">
        <w:t xml:space="preserve">(więcej </w:t>
      </w:r>
      <w:r w:rsidR="00E511D9">
        <w:t>o 36 podmiot</w:t>
      </w:r>
      <w:r w:rsidR="00822DCB">
        <w:t>ów</w:t>
      </w:r>
      <w:r w:rsidR="00AB3213">
        <w:t xml:space="preserve">). </w:t>
      </w:r>
      <w:r w:rsidR="00822DCB">
        <w:t>W tym samym okresie (w</w:t>
      </w:r>
      <w:r w:rsidR="00E511D9">
        <w:t xml:space="preserve"> </w:t>
      </w:r>
      <w:r w:rsidR="00AB3213">
        <w:t>roku 2019 w stosunku do danych za rok 2013</w:t>
      </w:r>
      <w:r w:rsidR="00822DCB">
        <w:t>)</w:t>
      </w:r>
      <w:r w:rsidR="00AB3213">
        <w:t xml:space="preserve"> </w:t>
      </w:r>
      <w:r w:rsidR="00822DCB">
        <w:t xml:space="preserve">wskaźnik ten dla </w:t>
      </w:r>
      <w:r w:rsidR="00E511D9">
        <w:t>Olsztyn</w:t>
      </w:r>
      <w:r w:rsidR="00822DCB">
        <w:t xml:space="preserve">a wzrósł o </w:t>
      </w:r>
      <w:r w:rsidR="00E511D9">
        <w:t>75 podmiotów</w:t>
      </w:r>
      <w:r w:rsidR="00822DCB">
        <w:t xml:space="preserve"> </w:t>
      </w:r>
      <w:r w:rsidR="00541AC4">
        <w:br/>
      </w:r>
      <w:r w:rsidR="00822DCB">
        <w:t xml:space="preserve">w przeliczeniu na 10 </w:t>
      </w:r>
      <w:r w:rsidR="00E37BD0">
        <w:t xml:space="preserve">tys. </w:t>
      </w:r>
      <w:r w:rsidR="00822DCB">
        <w:t>mieszkańców.</w:t>
      </w:r>
      <w:r w:rsidR="00541AC4">
        <w:t xml:space="preserve"> </w:t>
      </w:r>
      <w:r w:rsidR="005E50DB">
        <w:t xml:space="preserve">Wśród gmin otaczających Olsztyn silną pozycję zajmuje gmina Stawiguda (232,5 podmiotów na 1000 mieszkańców w wieku produkcyjnym) a także gmina Dywity (218 podmiotów na 1000 mieszkańców w wieku produkcyjnym). W porównywanych latach 2013 i 2019 najwyższy przyrost przedsiębiorstw w przeliczeniu na 1000 osób w wieku produkcyjnym nastąpił w gminie Gietrzwałd (więcej o 38 przedsiębiorstw w roku 2019 w stosunku do roku 2013). </w:t>
      </w:r>
    </w:p>
    <w:p w14:paraId="33F844EE" w14:textId="401C7CA0" w:rsidR="00AA3E77" w:rsidRDefault="00AA3E77">
      <w:r>
        <w:br w:type="page"/>
      </w:r>
    </w:p>
    <w:p w14:paraId="38971515" w14:textId="63B9EC2F" w:rsidR="00AA3E77" w:rsidRPr="00AA3E77" w:rsidRDefault="00AA3E77" w:rsidP="00AA3E77">
      <w:pPr>
        <w:pStyle w:val="Legenda"/>
        <w:rPr>
          <w:sz w:val="22"/>
          <w:szCs w:val="22"/>
          <w:lang w:val="pl-PL"/>
        </w:rPr>
      </w:pPr>
      <w:bookmarkStart w:id="175" w:name="_Toc73516119"/>
      <w:r w:rsidRPr="00AA3E77">
        <w:rPr>
          <w:sz w:val="22"/>
          <w:szCs w:val="22"/>
        </w:rPr>
        <w:lastRenderedPageBreak/>
        <w:t xml:space="preserve">Wykres </w:t>
      </w:r>
      <w:r w:rsidRPr="00AA3E77">
        <w:rPr>
          <w:sz w:val="22"/>
          <w:szCs w:val="22"/>
        </w:rPr>
        <w:fldChar w:fldCharType="begin"/>
      </w:r>
      <w:r w:rsidRPr="00AA3E77">
        <w:rPr>
          <w:sz w:val="22"/>
          <w:szCs w:val="22"/>
        </w:rPr>
        <w:instrText xml:space="preserve"> SEQ Wykres \* ARABIC </w:instrText>
      </w:r>
      <w:r w:rsidRPr="00AA3E77">
        <w:rPr>
          <w:sz w:val="22"/>
          <w:szCs w:val="22"/>
        </w:rPr>
        <w:fldChar w:fldCharType="separate"/>
      </w:r>
      <w:r w:rsidR="00AD58C3">
        <w:rPr>
          <w:noProof/>
          <w:sz w:val="22"/>
          <w:szCs w:val="22"/>
        </w:rPr>
        <w:t>57</w:t>
      </w:r>
      <w:r w:rsidRPr="00AA3E77">
        <w:rPr>
          <w:sz w:val="22"/>
          <w:szCs w:val="22"/>
        </w:rPr>
        <w:fldChar w:fldCharType="end"/>
      </w:r>
      <w:r w:rsidRPr="00AA3E77">
        <w:rPr>
          <w:sz w:val="22"/>
          <w:szCs w:val="22"/>
        </w:rPr>
        <w:t xml:space="preserve">. </w:t>
      </w:r>
      <w:r w:rsidRPr="00AA3E77">
        <w:rPr>
          <w:bCs/>
          <w:sz w:val="22"/>
          <w:szCs w:val="22"/>
          <w:lang w:val="en-US"/>
        </w:rPr>
        <w:t>Podmioty gospodar</w:t>
      </w:r>
      <w:r w:rsidRPr="00AA3E77">
        <w:rPr>
          <w:bCs/>
          <w:sz w:val="22"/>
          <w:szCs w:val="22"/>
          <w:lang w:val="pl-PL"/>
        </w:rPr>
        <w:t>cze</w:t>
      </w:r>
      <w:r w:rsidRPr="00AA3E77">
        <w:rPr>
          <w:bCs/>
          <w:sz w:val="22"/>
          <w:szCs w:val="22"/>
          <w:lang w:val="en-US"/>
        </w:rPr>
        <w:t xml:space="preserve"> w</w:t>
      </w:r>
      <w:r w:rsidRPr="00AA3E77">
        <w:rPr>
          <w:bCs/>
          <w:sz w:val="22"/>
          <w:szCs w:val="22"/>
          <w:lang w:val="pl-PL"/>
        </w:rPr>
        <w:t xml:space="preserve">pisane do </w:t>
      </w:r>
      <w:r w:rsidRPr="00AA3E77">
        <w:rPr>
          <w:bCs/>
          <w:sz w:val="22"/>
          <w:szCs w:val="22"/>
          <w:lang w:val="en-US"/>
        </w:rPr>
        <w:t>rejestr</w:t>
      </w:r>
      <w:r w:rsidRPr="00AA3E77">
        <w:rPr>
          <w:bCs/>
          <w:sz w:val="22"/>
          <w:szCs w:val="22"/>
          <w:lang w:val="pl-PL"/>
        </w:rPr>
        <w:t>u</w:t>
      </w:r>
      <w:r w:rsidRPr="00AA3E77">
        <w:rPr>
          <w:bCs/>
          <w:sz w:val="22"/>
          <w:szCs w:val="22"/>
          <w:lang w:val="en-US"/>
        </w:rPr>
        <w:t xml:space="preserve"> REGON w przeliczeniu na 10 tys. mieszkańców</w:t>
      </w:r>
      <w:r w:rsidRPr="00AA3E77">
        <w:rPr>
          <w:bCs/>
          <w:sz w:val="22"/>
          <w:szCs w:val="22"/>
          <w:lang w:val="pl-PL"/>
        </w:rPr>
        <w:t xml:space="preserve">  w latach 2013 i 2019</w:t>
      </w:r>
      <w:bookmarkEnd w:id="175"/>
    </w:p>
    <w:p w14:paraId="459D2751" w14:textId="77777777" w:rsidR="00D66517" w:rsidRDefault="00D66517" w:rsidP="00D66517">
      <w:pPr>
        <w:spacing w:after="0"/>
        <w:jc w:val="center"/>
      </w:pPr>
      <w:r>
        <w:rPr>
          <w:noProof/>
          <w:lang w:eastAsia="pl-PL"/>
        </w:rPr>
        <w:drawing>
          <wp:inline distT="0" distB="0" distL="0" distR="0" wp14:anchorId="4076D12B" wp14:editId="6DF72552">
            <wp:extent cx="4121624" cy="2320120"/>
            <wp:effectExtent l="0" t="0" r="12700" b="4445"/>
            <wp:docPr id="80" name="Wykres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8FA165C" w14:textId="1F55374F" w:rsidR="008E2CC2" w:rsidRDefault="00D66517" w:rsidP="001E273B">
      <w:pPr>
        <w:spacing w:after="0"/>
        <w:jc w:val="center"/>
        <w:rPr>
          <w:i/>
          <w:sz w:val="20"/>
          <w:szCs w:val="20"/>
        </w:rPr>
      </w:pPr>
      <w:r w:rsidRPr="0091031D">
        <w:rPr>
          <w:i/>
          <w:sz w:val="20"/>
          <w:szCs w:val="20"/>
        </w:rPr>
        <w:t>źródło: opracowanie własne na podstawie danych GUS</w:t>
      </w:r>
    </w:p>
    <w:p w14:paraId="23379B95" w14:textId="77777777" w:rsidR="00F04D4C" w:rsidRDefault="00F04D4C" w:rsidP="001E273B">
      <w:pPr>
        <w:spacing w:after="0"/>
        <w:jc w:val="center"/>
      </w:pPr>
    </w:p>
    <w:p w14:paraId="6D388948" w14:textId="77777777" w:rsidR="008E2CC2" w:rsidRDefault="00E45596" w:rsidP="008D1A77">
      <w:pPr>
        <w:jc w:val="both"/>
        <w:rPr>
          <w:noProof/>
          <w:lang w:eastAsia="pl-PL"/>
        </w:rPr>
      </w:pPr>
      <w:r>
        <w:rPr>
          <w:noProof/>
          <w:lang w:eastAsia="pl-PL"/>
        </w:rPr>
        <w:t xml:space="preserve">Analizując dane w zakresie przedsiębiorczości, w Olsztynie zarówno w roku 2013, jak i w 2019, odnotowano dodatnią proporcję liczby podmiotów nowo utworzonych w stosunku do podmiotów wyrejestrowanych (więcej o 628 nowych podmiotów niż wyrejestrowanych z rejestru REGON w roku 2013 oraz więcej o 776 podmiotów – w roku 2019). </w:t>
      </w:r>
      <w:r w:rsidR="00013C5C">
        <w:rPr>
          <w:noProof/>
          <w:lang w:eastAsia="pl-PL"/>
        </w:rPr>
        <w:t>W omawianym okresie p</w:t>
      </w:r>
      <w:r>
        <w:rPr>
          <w:noProof/>
          <w:lang w:eastAsia="pl-PL"/>
        </w:rPr>
        <w:t xml:space="preserve">rzewagę podmiotów nowo wpisanych w odniesieniu do </w:t>
      </w:r>
      <w:r w:rsidR="00013C5C">
        <w:rPr>
          <w:noProof/>
          <w:lang w:eastAsia="pl-PL"/>
        </w:rPr>
        <w:t xml:space="preserve">wyrejestrowanych, </w:t>
      </w:r>
      <w:r>
        <w:rPr>
          <w:noProof/>
          <w:lang w:eastAsia="pl-PL"/>
        </w:rPr>
        <w:t>obserwuje się także w pozostałych miastach Polski Wschodniej.</w:t>
      </w:r>
      <w:r w:rsidR="00550842">
        <w:rPr>
          <w:noProof/>
          <w:lang w:eastAsia="pl-PL"/>
        </w:rPr>
        <w:t xml:space="preserve"> </w:t>
      </w:r>
    </w:p>
    <w:p w14:paraId="2CF78266" w14:textId="6F337AFF" w:rsidR="00550842" w:rsidRDefault="00550842" w:rsidP="008D1A77">
      <w:pPr>
        <w:jc w:val="both"/>
        <w:rPr>
          <w:noProof/>
          <w:lang w:eastAsia="pl-PL"/>
        </w:rPr>
      </w:pPr>
      <w:r>
        <w:rPr>
          <w:noProof/>
          <w:lang w:eastAsia="pl-PL"/>
        </w:rPr>
        <w:t xml:space="preserve">W roku 2019 w Olsztynie do rejestru REGON wpisano 1 898 nowych podmiotów gospodarczych oraz dokonano wyrejestrowania 1 122 podmiotów. W analizowanych latach </w:t>
      </w:r>
      <w:r w:rsidR="001E369B">
        <w:rPr>
          <w:noProof/>
          <w:lang w:eastAsia="pl-PL"/>
        </w:rPr>
        <w:t>dodatni wskaźnik podmiotów nowo utworzonych nad wyrejestrowanymi odnotowano w latach 2013-2017 i roku 2019.</w:t>
      </w:r>
      <w:r>
        <w:rPr>
          <w:noProof/>
          <w:lang w:eastAsia="pl-PL"/>
        </w:rPr>
        <w:t xml:space="preserve"> </w:t>
      </w:r>
      <w:r w:rsidR="001E369B">
        <w:rPr>
          <w:noProof/>
          <w:lang w:eastAsia="pl-PL"/>
        </w:rPr>
        <w:t xml:space="preserve">Wyjątek stanowił rok </w:t>
      </w:r>
      <w:r>
        <w:rPr>
          <w:noProof/>
          <w:lang w:eastAsia="pl-PL"/>
        </w:rPr>
        <w:t>2018</w:t>
      </w:r>
      <w:r w:rsidR="001E369B">
        <w:rPr>
          <w:noProof/>
          <w:lang w:eastAsia="pl-PL"/>
        </w:rPr>
        <w:t>, kiedy</w:t>
      </w:r>
      <w:r>
        <w:rPr>
          <w:noProof/>
          <w:lang w:eastAsia="pl-PL"/>
        </w:rPr>
        <w:t xml:space="preserve"> </w:t>
      </w:r>
      <w:r w:rsidR="001E369B">
        <w:rPr>
          <w:noProof/>
          <w:lang w:eastAsia="pl-PL"/>
        </w:rPr>
        <w:t>wyrejestrowano o 122 podmiotów</w:t>
      </w:r>
      <w:r w:rsidR="00B362C3">
        <w:rPr>
          <w:noProof/>
          <w:lang w:eastAsia="pl-PL"/>
        </w:rPr>
        <w:t xml:space="preserve"> więcej</w:t>
      </w:r>
      <w:r w:rsidR="001E369B">
        <w:rPr>
          <w:noProof/>
          <w:lang w:eastAsia="pl-PL"/>
        </w:rPr>
        <w:t xml:space="preserve"> niż zarejestrowano </w:t>
      </w:r>
      <w:r w:rsidR="00491806">
        <w:rPr>
          <w:noProof/>
          <w:lang w:eastAsia="pl-PL"/>
        </w:rPr>
        <w:t>now</w:t>
      </w:r>
      <w:r w:rsidR="001E369B">
        <w:rPr>
          <w:noProof/>
          <w:lang w:eastAsia="pl-PL"/>
        </w:rPr>
        <w:t>ych.</w:t>
      </w:r>
      <w:r w:rsidR="00491806">
        <w:rPr>
          <w:noProof/>
          <w:lang w:eastAsia="pl-PL"/>
        </w:rPr>
        <w:t xml:space="preserve"> </w:t>
      </w:r>
    </w:p>
    <w:p w14:paraId="4076BF27" w14:textId="0F3555AC" w:rsidR="00AA3E77" w:rsidRPr="00AA3E77" w:rsidRDefault="00AA3E77" w:rsidP="00AA3E77">
      <w:pPr>
        <w:pStyle w:val="Legenda"/>
        <w:rPr>
          <w:sz w:val="22"/>
          <w:szCs w:val="22"/>
          <w:lang w:val="pl-PL"/>
        </w:rPr>
      </w:pPr>
      <w:bookmarkStart w:id="176" w:name="_Toc73516120"/>
      <w:r w:rsidRPr="00AA3E77">
        <w:rPr>
          <w:sz w:val="22"/>
          <w:szCs w:val="22"/>
        </w:rPr>
        <w:t xml:space="preserve">Wykres </w:t>
      </w:r>
      <w:r w:rsidRPr="00AA3E77">
        <w:rPr>
          <w:sz w:val="22"/>
          <w:szCs w:val="22"/>
        </w:rPr>
        <w:fldChar w:fldCharType="begin"/>
      </w:r>
      <w:r w:rsidRPr="00AA3E77">
        <w:rPr>
          <w:sz w:val="22"/>
          <w:szCs w:val="22"/>
        </w:rPr>
        <w:instrText xml:space="preserve"> SEQ Wykres \* ARABIC </w:instrText>
      </w:r>
      <w:r w:rsidRPr="00AA3E77">
        <w:rPr>
          <w:sz w:val="22"/>
          <w:szCs w:val="22"/>
        </w:rPr>
        <w:fldChar w:fldCharType="separate"/>
      </w:r>
      <w:r w:rsidR="00AD58C3">
        <w:rPr>
          <w:noProof/>
          <w:sz w:val="22"/>
          <w:szCs w:val="22"/>
        </w:rPr>
        <w:t>58</w:t>
      </w:r>
      <w:r w:rsidRPr="00AA3E77">
        <w:rPr>
          <w:sz w:val="22"/>
          <w:szCs w:val="22"/>
        </w:rPr>
        <w:fldChar w:fldCharType="end"/>
      </w:r>
      <w:r w:rsidRPr="00AA3E77">
        <w:rPr>
          <w:sz w:val="22"/>
          <w:szCs w:val="22"/>
        </w:rPr>
        <w:t xml:space="preserve">. </w:t>
      </w:r>
      <w:r w:rsidRPr="00AA3E77">
        <w:rPr>
          <w:bCs/>
          <w:sz w:val="22"/>
          <w:szCs w:val="22"/>
          <w:lang w:val="pl-PL"/>
        </w:rPr>
        <w:t>Podmioty nowo utworzone oraz wyrejestrowane ogółem w latach 2013 i 2019</w:t>
      </w:r>
      <w:bookmarkEnd w:id="176"/>
    </w:p>
    <w:p w14:paraId="251F38C4" w14:textId="77777777" w:rsidR="00E730C1" w:rsidRDefault="00E730C1" w:rsidP="008E2CC2">
      <w:pPr>
        <w:spacing w:after="0"/>
        <w:jc w:val="center"/>
        <w:rPr>
          <w:rFonts w:eastAsiaTheme="majorEastAsia" w:cstheme="majorBidi"/>
          <w:color w:val="2E74B5" w:themeColor="accent1" w:themeShade="BF"/>
          <w:sz w:val="32"/>
          <w:szCs w:val="32"/>
        </w:rPr>
      </w:pPr>
      <w:r>
        <w:rPr>
          <w:noProof/>
          <w:lang w:eastAsia="pl-PL"/>
        </w:rPr>
        <w:drawing>
          <wp:inline distT="0" distB="0" distL="0" distR="0" wp14:anchorId="0FBD9C5E" wp14:editId="41A6DC1B">
            <wp:extent cx="5493224" cy="2756440"/>
            <wp:effectExtent l="0" t="0" r="12700" b="6350"/>
            <wp:docPr id="82" name="Wykres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39D1891A" w14:textId="77777777" w:rsidR="00DD15C2" w:rsidRDefault="00DD15C2" w:rsidP="00DD15C2">
      <w:pPr>
        <w:spacing w:after="0"/>
        <w:jc w:val="center"/>
      </w:pPr>
      <w:r w:rsidRPr="0091031D">
        <w:rPr>
          <w:i/>
          <w:sz w:val="20"/>
          <w:szCs w:val="20"/>
        </w:rPr>
        <w:t>źródło: opracowanie własne na podstawie danych GUS</w:t>
      </w:r>
    </w:p>
    <w:p w14:paraId="3881B51A" w14:textId="77777777" w:rsidR="00116079" w:rsidRDefault="00432322" w:rsidP="00432322">
      <w:pPr>
        <w:pStyle w:val="Nagwek3"/>
      </w:pPr>
      <w:bookmarkStart w:id="177" w:name="_Toc73534915"/>
      <w:r>
        <w:lastRenderedPageBreak/>
        <w:t xml:space="preserve">3.1.1 </w:t>
      </w:r>
      <w:r w:rsidR="00431D0E">
        <w:t>Hotelarstwo i gastronomia</w:t>
      </w:r>
      <w:bookmarkEnd w:id="177"/>
    </w:p>
    <w:p w14:paraId="630D7352" w14:textId="3212303A" w:rsidR="005C2585" w:rsidRDefault="005C2585" w:rsidP="001E49C3">
      <w:pPr>
        <w:jc w:val="both"/>
        <w:rPr>
          <w:rFonts w:eastAsiaTheme="majorEastAsia" w:cstheme="majorBidi"/>
          <w:color w:val="000000" w:themeColor="text1"/>
        </w:rPr>
      </w:pPr>
      <w:r>
        <w:rPr>
          <w:rFonts w:eastAsiaTheme="majorEastAsia" w:cstheme="majorBidi"/>
          <w:color w:val="000000" w:themeColor="text1"/>
        </w:rPr>
        <w:t xml:space="preserve">Udział podmiotów z sekcji I </w:t>
      </w:r>
      <w:r w:rsidR="00343C9A">
        <w:rPr>
          <w:rFonts w:eastAsiaTheme="majorEastAsia" w:cstheme="majorBidi"/>
          <w:color w:val="000000" w:themeColor="text1"/>
        </w:rPr>
        <w:t xml:space="preserve">PKD 2007, </w:t>
      </w:r>
      <w:r>
        <w:rPr>
          <w:rFonts w:eastAsiaTheme="majorEastAsia" w:cstheme="majorBidi"/>
          <w:color w:val="000000" w:themeColor="text1"/>
        </w:rPr>
        <w:t>obejmującej zakwaterowanie i usługi gastronomiczne</w:t>
      </w:r>
      <w:r w:rsidR="00343C9A">
        <w:rPr>
          <w:rFonts w:eastAsiaTheme="majorEastAsia" w:cstheme="majorBidi"/>
          <w:color w:val="000000" w:themeColor="text1"/>
        </w:rPr>
        <w:t>,</w:t>
      </w:r>
      <w:r>
        <w:rPr>
          <w:rFonts w:eastAsiaTheme="majorEastAsia" w:cstheme="majorBidi"/>
          <w:color w:val="000000" w:themeColor="text1"/>
        </w:rPr>
        <w:t xml:space="preserve"> w roku 2019 jest </w:t>
      </w:r>
      <w:r w:rsidR="00E93470">
        <w:rPr>
          <w:rFonts w:eastAsiaTheme="majorEastAsia" w:cstheme="majorBidi"/>
          <w:color w:val="000000" w:themeColor="text1"/>
        </w:rPr>
        <w:t>w Olsztynie wyższ</w:t>
      </w:r>
      <w:r w:rsidR="001E49C3">
        <w:rPr>
          <w:rFonts w:eastAsiaTheme="majorEastAsia" w:cstheme="majorBidi"/>
          <w:color w:val="000000" w:themeColor="text1"/>
        </w:rPr>
        <w:t>y</w:t>
      </w:r>
      <w:r w:rsidR="00E93470">
        <w:rPr>
          <w:rFonts w:eastAsiaTheme="majorEastAsia" w:cstheme="majorBidi"/>
          <w:color w:val="000000" w:themeColor="text1"/>
        </w:rPr>
        <w:t xml:space="preserve"> o 3 p.p. niż udz</w:t>
      </w:r>
      <w:r w:rsidR="001E49C3">
        <w:rPr>
          <w:rFonts w:eastAsiaTheme="majorEastAsia" w:cstheme="majorBidi"/>
          <w:color w:val="000000" w:themeColor="text1"/>
        </w:rPr>
        <w:t>i</w:t>
      </w:r>
      <w:r w:rsidR="00E93470">
        <w:rPr>
          <w:rFonts w:eastAsiaTheme="majorEastAsia" w:cstheme="majorBidi"/>
          <w:color w:val="000000" w:themeColor="text1"/>
        </w:rPr>
        <w:t xml:space="preserve">ał tych podmiotów w </w:t>
      </w:r>
      <w:r w:rsidR="001E49C3">
        <w:rPr>
          <w:rFonts w:eastAsiaTheme="majorEastAsia" w:cstheme="majorBidi"/>
          <w:color w:val="000000" w:themeColor="text1"/>
        </w:rPr>
        <w:t>analizowanym 2013 roku (</w:t>
      </w:r>
      <w:r w:rsidR="00237FFB">
        <w:rPr>
          <w:rFonts w:eastAsiaTheme="majorEastAsia" w:cstheme="majorBidi"/>
          <w:color w:val="000000" w:themeColor="text1"/>
        </w:rPr>
        <w:t xml:space="preserve">430 przedsiębiorstw </w:t>
      </w:r>
      <w:r w:rsidR="001E49C3">
        <w:rPr>
          <w:rFonts w:eastAsiaTheme="majorEastAsia" w:cstheme="majorBidi"/>
          <w:color w:val="000000" w:themeColor="text1"/>
        </w:rPr>
        <w:t>w roku 2013 ora</w:t>
      </w:r>
      <w:r w:rsidR="00237FFB">
        <w:rPr>
          <w:rFonts w:eastAsiaTheme="majorEastAsia" w:cstheme="majorBidi"/>
          <w:color w:val="000000" w:themeColor="text1"/>
        </w:rPr>
        <w:t>z</w:t>
      </w:r>
      <w:r w:rsidR="001E49C3">
        <w:rPr>
          <w:rFonts w:eastAsiaTheme="majorEastAsia" w:cstheme="majorBidi"/>
          <w:color w:val="000000" w:themeColor="text1"/>
        </w:rPr>
        <w:t xml:space="preserve"> </w:t>
      </w:r>
      <w:r w:rsidR="00237FFB">
        <w:rPr>
          <w:rFonts w:eastAsiaTheme="majorEastAsia" w:cstheme="majorBidi"/>
          <w:color w:val="000000" w:themeColor="text1"/>
        </w:rPr>
        <w:t>530 podmiotów</w:t>
      </w:r>
      <w:r w:rsidR="001E49C3">
        <w:rPr>
          <w:rFonts w:eastAsiaTheme="majorEastAsia" w:cstheme="majorBidi"/>
          <w:color w:val="000000" w:themeColor="text1"/>
        </w:rPr>
        <w:t xml:space="preserve"> w roku 2019).</w:t>
      </w:r>
      <w:r w:rsidR="00237FFB">
        <w:rPr>
          <w:rFonts w:eastAsiaTheme="majorEastAsia" w:cstheme="majorBidi"/>
          <w:color w:val="000000" w:themeColor="text1"/>
        </w:rPr>
        <w:t xml:space="preserve"> </w:t>
      </w:r>
      <w:r w:rsidR="00343C9A">
        <w:rPr>
          <w:rFonts w:eastAsiaTheme="majorEastAsia" w:cstheme="majorBidi"/>
          <w:color w:val="000000" w:themeColor="text1"/>
        </w:rPr>
        <w:t xml:space="preserve">Podobny wzrost jak w Olsztynie odnotowano również w Białymstoku, </w:t>
      </w:r>
      <w:r w:rsidR="00237D4C">
        <w:rPr>
          <w:rFonts w:eastAsiaTheme="majorEastAsia" w:cstheme="majorBidi"/>
          <w:color w:val="000000" w:themeColor="text1"/>
        </w:rPr>
        <w:t xml:space="preserve">z tą różnicą, że w Białymstoku </w:t>
      </w:r>
      <w:r w:rsidR="00343C9A">
        <w:rPr>
          <w:rFonts w:eastAsiaTheme="majorEastAsia" w:cstheme="majorBidi"/>
          <w:color w:val="000000" w:themeColor="text1"/>
        </w:rPr>
        <w:t xml:space="preserve">liczba </w:t>
      </w:r>
      <w:r w:rsidR="00237D4C">
        <w:rPr>
          <w:rFonts w:eastAsiaTheme="majorEastAsia" w:cstheme="majorBidi"/>
          <w:color w:val="000000" w:themeColor="text1"/>
        </w:rPr>
        <w:t xml:space="preserve">firm </w:t>
      </w:r>
      <w:r w:rsidR="00343C9A">
        <w:rPr>
          <w:rFonts w:eastAsiaTheme="majorEastAsia" w:cstheme="majorBidi"/>
          <w:color w:val="000000" w:themeColor="text1"/>
        </w:rPr>
        <w:t xml:space="preserve">zarejestrowanych </w:t>
      </w:r>
      <w:r w:rsidR="00237D4C">
        <w:rPr>
          <w:rFonts w:eastAsiaTheme="majorEastAsia" w:cstheme="majorBidi"/>
          <w:color w:val="000000" w:themeColor="text1"/>
        </w:rPr>
        <w:br/>
        <w:t>w</w:t>
      </w:r>
      <w:r w:rsidR="00343C9A">
        <w:rPr>
          <w:rFonts w:eastAsiaTheme="majorEastAsia" w:cstheme="majorBidi"/>
          <w:color w:val="000000" w:themeColor="text1"/>
        </w:rPr>
        <w:t xml:space="preserve"> sekcji I </w:t>
      </w:r>
      <w:r w:rsidR="003D4932">
        <w:rPr>
          <w:rFonts w:eastAsiaTheme="majorEastAsia" w:cstheme="majorBidi"/>
          <w:color w:val="000000" w:themeColor="text1"/>
        </w:rPr>
        <w:t>jest</w:t>
      </w:r>
      <w:r w:rsidR="00237D4C">
        <w:rPr>
          <w:rFonts w:eastAsiaTheme="majorEastAsia" w:cstheme="majorBidi"/>
          <w:color w:val="000000" w:themeColor="text1"/>
        </w:rPr>
        <w:t xml:space="preserve"> wyższa niż w Olsztynie i wyniosła w 2019 roku </w:t>
      </w:r>
      <w:r w:rsidR="00343C9A">
        <w:rPr>
          <w:rFonts w:eastAsiaTheme="majorEastAsia" w:cstheme="majorBidi"/>
          <w:color w:val="000000" w:themeColor="text1"/>
        </w:rPr>
        <w:t xml:space="preserve">789 </w:t>
      </w:r>
      <w:r w:rsidR="00237D4C">
        <w:rPr>
          <w:rFonts w:eastAsiaTheme="majorEastAsia" w:cstheme="majorBidi"/>
          <w:color w:val="000000" w:themeColor="text1"/>
        </w:rPr>
        <w:t>podmiotów. Wśród analizowanych ośrodków wojewódzkich, najwyższy udział podmiotów sekcji I w liczbie przedsiębiorstw ogółem zaobserwowano w Kielcach (2,7% w roku 2019; 783 firmy).</w:t>
      </w:r>
    </w:p>
    <w:p w14:paraId="29831751" w14:textId="0A0170F3" w:rsidR="004A1CFE" w:rsidRPr="004A1CFE" w:rsidRDefault="004A1CFE" w:rsidP="004A1CFE">
      <w:pPr>
        <w:pStyle w:val="Legenda"/>
        <w:rPr>
          <w:sz w:val="22"/>
          <w:szCs w:val="22"/>
          <w:lang w:val="pl-PL"/>
        </w:rPr>
      </w:pPr>
      <w:bookmarkStart w:id="178" w:name="_Toc73516121"/>
      <w:r w:rsidRPr="004A1CFE">
        <w:rPr>
          <w:sz w:val="22"/>
          <w:szCs w:val="22"/>
        </w:rPr>
        <w:t xml:space="preserve">Wykres </w:t>
      </w:r>
      <w:r w:rsidRPr="004A1CFE">
        <w:rPr>
          <w:sz w:val="22"/>
          <w:szCs w:val="22"/>
        </w:rPr>
        <w:fldChar w:fldCharType="begin"/>
      </w:r>
      <w:r w:rsidRPr="004A1CFE">
        <w:rPr>
          <w:sz w:val="22"/>
          <w:szCs w:val="22"/>
        </w:rPr>
        <w:instrText xml:space="preserve"> SEQ Wykres \* ARABIC </w:instrText>
      </w:r>
      <w:r w:rsidRPr="004A1CFE">
        <w:rPr>
          <w:sz w:val="22"/>
          <w:szCs w:val="22"/>
        </w:rPr>
        <w:fldChar w:fldCharType="separate"/>
      </w:r>
      <w:r w:rsidR="00AD58C3">
        <w:rPr>
          <w:noProof/>
          <w:sz w:val="22"/>
          <w:szCs w:val="22"/>
        </w:rPr>
        <w:t>59</w:t>
      </w:r>
      <w:r w:rsidRPr="004A1CFE">
        <w:rPr>
          <w:sz w:val="22"/>
          <w:szCs w:val="22"/>
        </w:rPr>
        <w:fldChar w:fldCharType="end"/>
      </w:r>
      <w:r w:rsidRPr="004A1CFE">
        <w:rPr>
          <w:sz w:val="22"/>
          <w:szCs w:val="22"/>
        </w:rPr>
        <w:t xml:space="preserve">. </w:t>
      </w:r>
      <w:r w:rsidRPr="004A1CFE">
        <w:rPr>
          <w:bCs/>
          <w:sz w:val="22"/>
          <w:szCs w:val="22"/>
          <w:lang w:val="en-US"/>
        </w:rPr>
        <w:t>Udział podmiotów sekcji I - zakwaterowanie i usługi gastronomiczne w liczbie przedsiębiorst</w:t>
      </w:r>
      <w:r w:rsidRPr="004A1CFE">
        <w:rPr>
          <w:bCs/>
          <w:sz w:val="22"/>
          <w:szCs w:val="22"/>
          <w:lang w:val="pl-PL"/>
        </w:rPr>
        <w:t>w</w:t>
      </w:r>
      <w:r w:rsidRPr="004A1CFE">
        <w:rPr>
          <w:bCs/>
          <w:sz w:val="22"/>
          <w:szCs w:val="22"/>
          <w:lang w:val="en-US"/>
        </w:rPr>
        <w:t xml:space="preserve"> ogółem</w:t>
      </w:r>
      <w:r w:rsidRPr="004A1CFE">
        <w:rPr>
          <w:bCs/>
          <w:sz w:val="22"/>
          <w:szCs w:val="22"/>
          <w:lang w:val="pl-PL"/>
        </w:rPr>
        <w:t xml:space="preserve"> w latach 2013 i 2019</w:t>
      </w:r>
      <w:bookmarkEnd w:id="178"/>
    </w:p>
    <w:p w14:paraId="160DF891" w14:textId="77777777" w:rsidR="00E72F21" w:rsidRDefault="00E72F21" w:rsidP="00E72F21">
      <w:pPr>
        <w:spacing w:after="0"/>
        <w:jc w:val="center"/>
        <w:rPr>
          <w:rFonts w:eastAsiaTheme="majorEastAsia" w:cstheme="majorBidi"/>
          <w:color w:val="000000" w:themeColor="text1"/>
        </w:rPr>
      </w:pPr>
      <w:r>
        <w:rPr>
          <w:noProof/>
          <w:lang w:eastAsia="pl-PL"/>
        </w:rPr>
        <w:drawing>
          <wp:inline distT="0" distB="0" distL="0" distR="0" wp14:anchorId="2848BDBE" wp14:editId="37BEE91F">
            <wp:extent cx="4326340" cy="1876568"/>
            <wp:effectExtent l="0" t="0" r="17145" b="9525"/>
            <wp:docPr id="89" name="Wykres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31059C1B" w14:textId="77777777" w:rsidR="00E72F21" w:rsidRDefault="00E72F21" w:rsidP="00E72F21">
      <w:pPr>
        <w:spacing w:after="0"/>
        <w:jc w:val="center"/>
      </w:pPr>
      <w:r w:rsidRPr="0091031D">
        <w:rPr>
          <w:i/>
          <w:sz w:val="20"/>
          <w:szCs w:val="20"/>
        </w:rPr>
        <w:t>źródło: opracowanie własne na podstawie danych GUS</w:t>
      </w:r>
    </w:p>
    <w:p w14:paraId="3F4291F3" w14:textId="77777777" w:rsidR="00DC4E55" w:rsidRDefault="00DC4E55" w:rsidP="00DC4E55">
      <w:pPr>
        <w:jc w:val="both"/>
        <w:rPr>
          <w:rFonts w:eastAsiaTheme="majorEastAsia" w:cstheme="majorBidi"/>
          <w:color w:val="000000" w:themeColor="text1"/>
        </w:rPr>
      </w:pPr>
    </w:p>
    <w:p w14:paraId="77E5DE75" w14:textId="77777777" w:rsidR="00DC4E55" w:rsidRDefault="00DC4E55" w:rsidP="00DC4E55">
      <w:pPr>
        <w:jc w:val="both"/>
        <w:rPr>
          <w:rFonts w:eastAsiaTheme="majorEastAsia" w:cstheme="majorBidi"/>
          <w:color w:val="000000" w:themeColor="text1"/>
        </w:rPr>
      </w:pPr>
      <w:r>
        <w:rPr>
          <w:rFonts w:eastAsiaTheme="majorEastAsia" w:cstheme="majorBidi"/>
          <w:color w:val="000000" w:themeColor="text1"/>
        </w:rPr>
        <w:t xml:space="preserve">W roku 2019 udział podmiotów sekcji I w ogólnej liczbie zarejestrowanych przedsiębiorstw, biorąc pod uwagę wszystkie gminy MOF Olsztyna razem, pozostaje na zbliżonym poziomie jak dla województwa warmińsko-mazurskiego, przy czym dla Olsztyna poziom omawianego wskaźnika jest niemalże dwukrotnie wyższy niż odnotowany dla województwa. Spośród gmin MOF Olsztyna, najwyższy przyrost podmiotów oferujących usługi zakwaterowania i gastronomiczne zanotowano w Olsztynie (więcej </w:t>
      </w:r>
      <w:r>
        <w:rPr>
          <w:rFonts w:eastAsiaTheme="majorEastAsia" w:cstheme="majorBidi"/>
          <w:color w:val="000000" w:themeColor="text1"/>
        </w:rPr>
        <w:br/>
        <w:t xml:space="preserve">o 100 firm w roku 2019 w stosunku do roku 2013), a także w gminie Dywity (więcej o 18 podmiotów </w:t>
      </w:r>
      <w:r>
        <w:rPr>
          <w:rFonts w:eastAsiaTheme="majorEastAsia" w:cstheme="majorBidi"/>
          <w:color w:val="000000" w:themeColor="text1"/>
        </w:rPr>
        <w:br/>
        <w:t>w roku 2019 (43 przedsiębiorstwa) w porównaniu do 2013 roku (25 przedsiębiorstw)). W gminach Stawiguda, Purda i Barczewo udział procentowy podmiotów sekcji I w ogólnej liczbie przedsiębiorstw zmalał: o 2 p.p. w gminie Purda i Barczewo oraz o 6 p.p. w gminie Stawiguda (w roku 2019 w stosunku do danych za rok 2013).</w:t>
      </w:r>
    </w:p>
    <w:p w14:paraId="48941DC6" w14:textId="462E2090" w:rsidR="00237FFB" w:rsidRPr="004A1CFE" w:rsidRDefault="004A1CFE" w:rsidP="004A1CFE">
      <w:pPr>
        <w:pStyle w:val="Legenda"/>
        <w:rPr>
          <w:rFonts w:eastAsiaTheme="majorEastAsia" w:cstheme="majorBidi"/>
          <w:color w:val="000000" w:themeColor="text1"/>
          <w:sz w:val="22"/>
          <w:szCs w:val="22"/>
        </w:rPr>
      </w:pPr>
      <w:bookmarkStart w:id="179" w:name="_Toc73534982"/>
      <w:r w:rsidRPr="004A1CFE">
        <w:rPr>
          <w:sz w:val="22"/>
          <w:szCs w:val="22"/>
        </w:rPr>
        <w:t xml:space="preserve">Tabela </w:t>
      </w:r>
      <w:r w:rsidRPr="004A1CFE">
        <w:rPr>
          <w:sz w:val="22"/>
          <w:szCs w:val="22"/>
        </w:rPr>
        <w:fldChar w:fldCharType="begin"/>
      </w:r>
      <w:r w:rsidRPr="004A1CFE">
        <w:rPr>
          <w:sz w:val="22"/>
          <w:szCs w:val="22"/>
        </w:rPr>
        <w:instrText xml:space="preserve"> SEQ Tabela \* ARABIC </w:instrText>
      </w:r>
      <w:r w:rsidRPr="004A1CFE">
        <w:rPr>
          <w:sz w:val="22"/>
          <w:szCs w:val="22"/>
        </w:rPr>
        <w:fldChar w:fldCharType="separate"/>
      </w:r>
      <w:r w:rsidR="00AD58C3">
        <w:rPr>
          <w:noProof/>
          <w:sz w:val="22"/>
          <w:szCs w:val="22"/>
        </w:rPr>
        <w:t>19</w:t>
      </w:r>
      <w:r w:rsidRPr="004A1CFE">
        <w:rPr>
          <w:sz w:val="22"/>
          <w:szCs w:val="22"/>
        </w:rPr>
        <w:fldChar w:fldCharType="end"/>
      </w:r>
      <w:r w:rsidRPr="004A1CFE">
        <w:rPr>
          <w:sz w:val="22"/>
          <w:szCs w:val="22"/>
        </w:rPr>
        <w:t xml:space="preserve">. Podmioty gospodarcze sekcji I (zakwaterowanie i usługi gastronomiczne) w </w:t>
      </w:r>
      <w:r>
        <w:rPr>
          <w:sz w:val="22"/>
          <w:szCs w:val="22"/>
        </w:rPr>
        <w:t>latach</w:t>
      </w:r>
      <w:r w:rsidRPr="004A1CFE">
        <w:rPr>
          <w:sz w:val="22"/>
          <w:szCs w:val="22"/>
        </w:rPr>
        <w:t xml:space="preserve"> 2013 </w:t>
      </w:r>
      <w:r>
        <w:rPr>
          <w:sz w:val="22"/>
          <w:szCs w:val="22"/>
        </w:rPr>
        <w:br/>
      </w:r>
      <w:r w:rsidRPr="004A1CFE">
        <w:rPr>
          <w:sz w:val="22"/>
          <w:szCs w:val="22"/>
        </w:rPr>
        <w:t>i 2019</w:t>
      </w:r>
      <w:bookmarkEnd w:id="179"/>
    </w:p>
    <w:tbl>
      <w:tblPr>
        <w:tblW w:w="8083" w:type="dxa"/>
        <w:jc w:val="center"/>
        <w:tblCellMar>
          <w:left w:w="70" w:type="dxa"/>
          <w:right w:w="70" w:type="dxa"/>
        </w:tblCellMar>
        <w:tblLook w:val="04A0" w:firstRow="1" w:lastRow="0" w:firstColumn="1" w:lastColumn="0" w:noHBand="0" w:noVBand="1"/>
      </w:tblPr>
      <w:tblGrid>
        <w:gridCol w:w="2410"/>
        <w:gridCol w:w="1559"/>
        <w:gridCol w:w="1418"/>
        <w:gridCol w:w="1276"/>
        <w:gridCol w:w="1420"/>
      </w:tblGrid>
      <w:tr w:rsidR="008F6E74" w:rsidRPr="00293DA7" w14:paraId="485C47EC" w14:textId="77777777" w:rsidTr="00BC369D">
        <w:trPr>
          <w:trHeight w:val="819"/>
          <w:jc w:val="center"/>
        </w:trPr>
        <w:tc>
          <w:tcPr>
            <w:tcW w:w="2410" w:type="dxa"/>
            <w:tcBorders>
              <w:top w:val="nil"/>
              <w:left w:val="nil"/>
              <w:bottom w:val="nil"/>
              <w:right w:val="nil"/>
            </w:tcBorders>
            <w:shd w:val="clear" w:color="auto" w:fill="FFFFFF" w:themeFill="background1"/>
            <w:noWrap/>
            <w:vAlign w:val="bottom"/>
            <w:hideMark/>
          </w:tcPr>
          <w:p w14:paraId="754704BA" w14:textId="77777777" w:rsidR="00293DA7" w:rsidRPr="00293DA7" w:rsidRDefault="00293DA7" w:rsidP="00293DA7">
            <w:pPr>
              <w:spacing w:after="0" w:line="240" w:lineRule="auto"/>
              <w:rPr>
                <w:rFonts w:ascii="Times New Roman" w:eastAsia="Times New Roman" w:hAnsi="Times New Roman" w:cs="Times New Roman"/>
                <w:sz w:val="20"/>
                <w:szCs w:val="20"/>
                <w:lang w:eastAsia="pl-PL"/>
              </w:rPr>
            </w:pP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408D3E91" w14:textId="77777777" w:rsidR="008F6E74" w:rsidRDefault="00293DA7" w:rsidP="00293DA7">
            <w:pPr>
              <w:spacing w:after="0" w:line="240" w:lineRule="auto"/>
              <w:jc w:val="center"/>
              <w:rPr>
                <w:rFonts w:ascii="Calibri" w:eastAsia="Times New Roman" w:hAnsi="Calibri" w:cs="Times New Roman"/>
                <w:b/>
                <w:bCs/>
                <w:color w:val="000000"/>
                <w:sz w:val="20"/>
                <w:szCs w:val="20"/>
                <w:lang w:eastAsia="pl-PL"/>
              </w:rPr>
            </w:pPr>
            <w:r w:rsidRPr="00293DA7">
              <w:rPr>
                <w:rFonts w:ascii="Calibri" w:eastAsia="Times New Roman" w:hAnsi="Calibri" w:cs="Times New Roman"/>
                <w:b/>
                <w:bCs/>
                <w:color w:val="000000"/>
                <w:sz w:val="20"/>
                <w:szCs w:val="20"/>
                <w:lang w:eastAsia="pl-PL"/>
              </w:rPr>
              <w:t xml:space="preserve">Sekcja I (zakwaterowanie </w:t>
            </w:r>
          </w:p>
          <w:p w14:paraId="05A62934" w14:textId="77777777" w:rsidR="00293DA7" w:rsidRPr="00293DA7" w:rsidRDefault="00293DA7" w:rsidP="00293DA7">
            <w:pPr>
              <w:spacing w:after="0" w:line="240" w:lineRule="auto"/>
              <w:jc w:val="center"/>
              <w:rPr>
                <w:rFonts w:ascii="Calibri" w:eastAsia="Times New Roman" w:hAnsi="Calibri" w:cs="Times New Roman"/>
                <w:b/>
                <w:bCs/>
                <w:color w:val="000000"/>
                <w:sz w:val="20"/>
                <w:szCs w:val="20"/>
                <w:lang w:eastAsia="pl-PL"/>
              </w:rPr>
            </w:pPr>
            <w:r w:rsidRPr="00293DA7">
              <w:rPr>
                <w:rFonts w:ascii="Calibri" w:eastAsia="Times New Roman" w:hAnsi="Calibri" w:cs="Times New Roman"/>
                <w:b/>
                <w:bCs/>
                <w:color w:val="000000"/>
                <w:sz w:val="20"/>
                <w:szCs w:val="20"/>
                <w:lang w:eastAsia="pl-PL"/>
              </w:rPr>
              <w:t>i usługi gastronomiczne)</w:t>
            </w:r>
          </w:p>
        </w:tc>
        <w:tc>
          <w:tcPr>
            <w:tcW w:w="2696" w:type="dxa"/>
            <w:gridSpan w:val="2"/>
            <w:tcBorders>
              <w:top w:val="single" w:sz="4" w:space="0" w:color="auto"/>
              <w:left w:val="nil"/>
              <w:bottom w:val="single" w:sz="4" w:space="0" w:color="auto"/>
              <w:right w:val="single" w:sz="4" w:space="0" w:color="auto"/>
            </w:tcBorders>
            <w:shd w:val="clear" w:color="auto" w:fill="92D050"/>
            <w:vAlign w:val="center"/>
            <w:hideMark/>
          </w:tcPr>
          <w:p w14:paraId="52877247" w14:textId="77777777" w:rsidR="008F6E74" w:rsidRDefault="00293DA7" w:rsidP="00293DA7">
            <w:pPr>
              <w:spacing w:after="0" w:line="240" w:lineRule="auto"/>
              <w:jc w:val="center"/>
              <w:rPr>
                <w:rFonts w:ascii="Calibri" w:eastAsia="Times New Roman" w:hAnsi="Calibri" w:cs="Times New Roman"/>
                <w:b/>
                <w:sz w:val="20"/>
                <w:szCs w:val="20"/>
                <w:lang w:eastAsia="pl-PL"/>
              </w:rPr>
            </w:pPr>
            <w:r w:rsidRPr="00293DA7">
              <w:rPr>
                <w:rFonts w:ascii="Calibri" w:eastAsia="Times New Roman" w:hAnsi="Calibri" w:cs="Times New Roman"/>
                <w:b/>
                <w:sz w:val="20"/>
                <w:szCs w:val="20"/>
                <w:lang w:eastAsia="pl-PL"/>
              </w:rPr>
              <w:t xml:space="preserve">Udział % podmiotów sekcji I </w:t>
            </w:r>
          </w:p>
          <w:p w14:paraId="3137E516" w14:textId="77777777" w:rsidR="00293DA7" w:rsidRPr="00293DA7" w:rsidRDefault="00293DA7" w:rsidP="00DC4E55">
            <w:pPr>
              <w:spacing w:after="0" w:line="240" w:lineRule="auto"/>
              <w:jc w:val="center"/>
              <w:rPr>
                <w:rFonts w:ascii="Calibri" w:eastAsia="Times New Roman" w:hAnsi="Calibri" w:cs="Times New Roman"/>
                <w:b/>
                <w:sz w:val="20"/>
                <w:szCs w:val="20"/>
                <w:lang w:eastAsia="pl-PL"/>
              </w:rPr>
            </w:pPr>
            <w:r w:rsidRPr="00293DA7">
              <w:rPr>
                <w:rFonts w:ascii="Calibri" w:eastAsia="Times New Roman" w:hAnsi="Calibri" w:cs="Times New Roman"/>
                <w:b/>
                <w:sz w:val="20"/>
                <w:szCs w:val="20"/>
                <w:lang w:eastAsia="pl-PL"/>
              </w:rPr>
              <w:t>w liczbie przedsiębiorstw ogółem w latach 2013 i 2019</w:t>
            </w:r>
          </w:p>
        </w:tc>
      </w:tr>
      <w:tr w:rsidR="008F6E74" w:rsidRPr="00293DA7" w14:paraId="6EEC3462" w14:textId="77777777" w:rsidTr="00DC4E55">
        <w:trPr>
          <w:trHeight w:val="300"/>
          <w:jc w:val="center"/>
        </w:trPr>
        <w:tc>
          <w:tcPr>
            <w:tcW w:w="2410" w:type="dxa"/>
            <w:tcBorders>
              <w:top w:val="nil"/>
              <w:left w:val="nil"/>
              <w:bottom w:val="nil"/>
              <w:right w:val="nil"/>
            </w:tcBorders>
            <w:shd w:val="clear" w:color="auto" w:fill="FFFFFF" w:themeFill="background1"/>
            <w:noWrap/>
            <w:vAlign w:val="bottom"/>
            <w:hideMark/>
          </w:tcPr>
          <w:p w14:paraId="173FF4CA" w14:textId="77777777" w:rsidR="00293DA7" w:rsidRPr="00293DA7" w:rsidRDefault="00293DA7" w:rsidP="00293DA7">
            <w:pPr>
              <w:spacing w:after="0" w:line="240" w:lineRule="auto"/>
              <w:jc w:val="center"/>
              <w:rPr>
                <w:rFonts w:ascii="Calibri" w:eastAsia="Times New Roman" w:hAnsi="Calibri" w:cs="Times New Roman"/>
                <w:sz w:val="20"/>
                <w:szCs w:val="20"/>
                <w:lang w:eastAsia="pl-PL"/>
              </w:rPr>
            </w:pPr>
          </w:p>
        </w:tc>
        <w:tc>
          <w:tcPr>
            <w:tcW w:w="1559" w:type="dxa"/>
            <w:tcBorders>
              <w:top w:val="nil"/>
              <w:left w:val="single" w:sz="4" w:space="0" w:color="000000"/>
              <w:bottom w:val="nil"/>
              <w:right w:val="single" w:sz="4" w:space="0" w:color="000000"/>
            </w:tcBorders>
            <w:shd w:val="clear" w:color="auto" w:fill="92D050"/>
            <w:vAlign w:val="center"/>
            <w:hideMark/>
          </w:tcPr>
          <w:p w14:paraId="0B9EAAE0" w14:textId="77777777" w:rsidR="00293DA7" w:rsidRPr="00293DA7" w:rsidRDefault="00293DA7" w:rsidP="00293DA7">
            <w:pPr>
              <w:spacing w:after="0" w:line="240" w:lineRule="auto"/>
              <w:jc w:val="center"/>
              <w:rPr>
                <w:rFonts w:ascii="Calibri" w:eastAsia="Times New Roman" w:hAnsi="Calibri" w:cs="Times New Roman"/>
                <w:b/>
                <w:bCs/>
                <w:color w:val="000000"/>
                <w:sz w:val="20"/>
                <w:szCs w:val="20"/>
                <w:lang w:eastAsia="pl-PL"/>
              </w:rPr>
            </w:pPr>
            <w:r w:rsidRPr="00293DA7">
              <w:rPr>
                <w:rFonts w:ascii="Calibri" w:eastAsia="Times New Roman" w:hAnsi="Calibri" w:cs="Times New Roman"/>
                <w:b/>
                <w:bCs/>
                <w:color w:val="000000"/>
                <w:sz w:val="20"/>
                <w:szCs w:val="20"/>
                <w:lang w:eastAsia="pl-PL"/>
              </w:rPr>
              <w:t>2013</w:t>
            </w:r>
          </w:p>
        </w:tc>
        <w:tc>
          <w:tcPr>
            <w:tcW w:w="1418" w:type="dxa"/>
            <w:tcBorders>
              <w:top w:val="nil"/>
              <w:left w:val="nil"/>
              <w:bottom w:val="nil"/>
              <w:right w:val="single" w:sz="4" w:space="0" w:color="000000"/>
            </w:tcBorders>
            <w:shd w:val="clear" w:color="auto" w:fill="92D050"/>
            <w:vAlign w:val="center"/>
            <w:hideMark/>
          </w:tcPr>
          <w:p w14:paraId="610DFD68" w14:textId="77777777" w:rsidR="00293DA7" w:rsidRPr="00293DA7" w:rsidRDefault="00293DA7" w:rsidP="00293DA7">
            <w:pPr>
              <w:spacing w:after="0" w:line="240" w:lineRule="auto"/>
              <w:jc w:val="center"/>
              <w:rPr>
                <w:rFonts w:ascii="Calibri" w:eastAsia="Times New Roman" w:hAnsi="Calibri" w:cs="Times New Roman"/>
                <w:b/>
                <w:bCs/>
                <w:color w:val="000000"/>
                <w:sz w:val="20"/>
                <w:szCs w:val="20"/>
                <w:lang w:eastAsia="pl-PL"/>
              </w:rPr>
            </w:pPr>
            <w:r w:rsidRPr="00293DA7">
              <w:rPr>
                <w:rFonts w:ascii="Calibri" w:eastAsia="Times New Roman" w:hAnsi="Calibri" w:cs="Times New Roman"/>
                <w:b/>
                <w:bCs/>
                <w:color w:val="000000"/>
                <w:sz w:val="20"/>
                <w:szCs w:val="20"/>
                <w:lang w:eastAsia="pl-PL"/>
              </w:rPr>
              <w:t>2019</w:t>
            </w:r>
          </w:p>
        </w:tc>
        <w:tc>
          <w:tcPr>
            <w:tcW w:w="1276" w:type="dxa"/>
            <w:tcBorders>
              <w:top w:val="nil"/>
              <w:left w:val="nil"/>
              <w:bottom w:val="nil"/>
              <w:right w:val="single" w:sz="4" w:space="0" w:color="auto"/>
            </w:tcBorders>
            <w:shd w:val="clear" w:color="auto" w:fill="92D050"/>
            <w:noWrap/>
            <w:vAlign w:val="bottom"/>
            <w:hideMark/>
          </w:tcPr>
          <w:p w14:paraId="70BF7B29" w14:textId="77777777" w:rsidR="00293DA7" w:rsidRPr="00293DA7" w:rsidRDefault="00293DA7" w:rsidP="00293DA7">
            <w:pPr>
              <w:spacing w:after="0" w:line="240" w:lineRule="auto"/>
              <w:jc w:val="center"/>
              <w:rPr>
                <w:rFonts w:ascii="Calibri" w:eastAsia="Times New Roman" w:hAnsi="Calibri" w:cs="Times New Roman"/>
                <w:b/>
                <w:bCs/>
                <w:sz w:val="20"/>
                <w:szCs w:val="20"/>
                <w:lang w:eastAsia="pl-PL"/>
              </w:rPr>
            </w:pPr>
            <w:r w:rsidRPr="00293DA7">
              <w:rPr>
                <w:rFonts w:ascii="Calibri" w:eastAsia="Times New Roman" w:hAnsi="Calibri" w:cs="Times New Roman"/>
                <w:b/>
                <w:bCs/>
                <w:sz w:val="20"/>
                <w:szCs w:val="20"/>
                <w:lang w:eastAsia="pl-PL"/>
              </w:rPr>
              <w:t>2013</w:t>
            </w:r>
          </w:p>
        </w:tc>
        <w:tc>
          <w:tcPr>
            <w:tcW w:w="1420" w:type="dxa"/>
            <w:tcBorders>
              <w:top w:val="nil"/>
              <w:left w:val="nil"/>
              <w:bottom w:val="nil"/>
              <w:right w:val="single" w:sz="4" w:space="0" w:color="auto"/>
            </w:tcBorders>
            <w:shd w:val="clear" w:color="auto" w:fill="92D050"/>
            <w:noWrap/>
            <w:vAlign w:val="bottom"/>
            <w:hideMark/>
          </w:tcPr>
          <w:p w14:paraId="7CE4C1D0" w14:textId="77777777" w:rsidR="00293DA7" w:rsidRPr="00293DA7" w:rsidRDefault="00293DA7" w:rsidP="00293DA7">
            <w:pPr>
              <w:spacing w:after="0" w:line="240" w:lineRule="auto"/>
              <w:jc w:val="center"/>
              <w:rPr>
                <w:rFonts w:ascii="Calibri" w:eastAsia="Times New Roman" w:hAnsi="Calibri" w:cs="Times New Roman"/>
                <w:b/>
                <w:bCs/>
                <w:sz w:val="20"/>
                <w:szCs w:val="20"/>
                <w:lang w:eastAsia="pl-PL"/>
              </w:rPr>
            </w:pPr>
            <w:r w:rsidRPr="00293DA7">
              <w:rPr>
                <w:rFonts w:ascii="Calibri" w:eastAsia="Times New Roman" w:hAnsi="Calibri" w:cs="Times New Roman"/>
                <w:b/>
                <w:bCs/>
                <w:sz w:val="20"/>
                <w:szCs w:val="20"/>
                <w:lang w:eastAsia="pl-PL"/>
              </w:rPr>
              <w:t>2019</w:t>
            </w:r>
          </w:p>
        </w:tc>
      </w:tr>
      <w:tr w:rsidR="008F6E74" w:rsidRPr="00293DA7" w14:paraId="0620A3DC" w14:textId="77777777" w:rsidTr="00DC4E55">
        <w:trPr>
          <w:trHeight w:val="300"/>
          <w:jc w:val="center"/>
        </w:trPr>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6A27C20" w14:textId="77777777" w:rsidR="00293DA7" w:rsidRPr="00293DA7" w:rsidRDefault="00293DA7" w:rsidP="00293DA7">
            <w:pPr>
              <w:spacing w:after="0" w:line="240" w:lineRule="auto"/>
              <w:rPr>
                <w:rFonts w:ascii="Calibri" w:eastAsia="Times New Roman" w:hAnsi="Calibri" w:cs="Times New Roman"/>
                <w:sz w:val="20"/>
                <w:szCs w:val="20"/>
                <w:lang w:eastAsia="pl-PL"/>
              </w:rPr>
            </w:pPr>
            <w:r w:rsidRPr="00293DA7">
              <w:rPr>
                <w:rFonts w:ascii="Calibri" w:eastAsia="Times New Roman" w:hAnsi="Calibri" w:cs="Times New Roman"/>
                <w:sz w:val="20"/>
                <w:szCs w:val="20"/>
                <w:lang w:eastAsia="pl-PL"/>
              </w:rPr>
              <w:t>WARMIŃSKO-MAZURSKIE</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280C073" w14:textId="77777777" w:rsidR="00293DA7" w:rsidRPr="00293DA7" w:rsidRDefault="00293DA7" w:rsidP="00293DA7">
            <w:pPr>
              <w:spacing w:after="0" w:line="240" w:lineRule="auto"/>
              <w:jc w:val="right"/>
              <w:rPr>
                <w:rFonts w:ascii="Calibri" w:eastAsia="Times New Roman" w:hAnsi="Calibri" w:cs="Times New Roman"/>
                <w:sz w:val="20"/>
                <w:szCs w:val="20"/>
                <w:lang w:eastAsia="pl-PL"/>
              </w:rPr>
            </w:pPr>
            <w:r w:rsidRPr="00293DA7">
              <w:rPr>
                <w:rFonts w:ascii="Calibri" w:eastAsia="Times New Roman" w:hAnsi="Calibri" w:cs="Times New Roman"/>
                <w:sz w:val="20"/>
                <w:szCs w:val="20"/>
                <w:lang w:eastAsia="pl-PL"/>
              </w:rPr>
              <w:t>3 451</w:t>
            </w:r>
          </w:p>
        </w:tc>
        <w:tc>
          <w:tcPr>
            <w:tcW w:w="1418"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063DA1D" w14:textId="77777777" w:rsidR="00293DA7" w:rsidRPr="00293DA7" w:rsidRDefault="00293DA7" w:rsidP="00293DA7">
            <w:pPr>
              <w:spacing w:after="0" w:line="240" w:lineRule="auto"/>
              <w:jc w:val="right"/>
              <w:rPr>
                <w:rFonts w:ascii="Calibri" w:eastAsia="Times New Roman" w:hAnsi="Calibri" w:cs="Times New Roman"/>
                <w:sz w:val="20"/>
                <w:szCs w:val="20"/>
                <w:lang w:eastAsia="pl-PL"/>
              </w:rPr>
            </w:pPr>
            <w:r w:rsidRPr="00293DA7">
              <w:rPr>
                <w:rFonts w:ascii="Calibri" w:eastAsia="Times New Roman" w:hAnsi="Calibri" w:cs="Times New Roman"/>
                <w:sz w:val="20"/>
                <w:szCs w:val="20"/>
                <w:lang w:eastAsia="pl-PL"/>
              </w:rPr>
              <w:t>3 993</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1B35851" w14:textId="77777777" w:rsidR="00293DA7" w:rsidRPr="00293DA7" w:rsidRDefault="00293DA7" w:rsidP="00293DA7">
            <w:pPr>
              <w:spacing w:after="0" w:line="240" w:lineRule="auto"/>
              <w:jc w:val="right"/>
              <w:rPr>
                <w:rFonts w:ascii="Calibri" w:eastAsia="Times New Roman" w:hAnsi="Calibri" w:cs="Times New Roman"/>
                <w:sz w:val="20"/>
                <w:szCs w:val="20"/>
                <w:lang w:eastAsia="pl-PL"/>
              </w:rPr>
            </w:pPr>
            <w:r w:rsidRPr="00293DA7">
              <w:rPr>
                <w:rFonts w:ascii="Calibri" w:eastAsia="Times New Roman" w:hAnsi="Calibri" w:cs="Times New Roman"/>
                <w:sz w:val="20"/>
                <w:szCs w:val="20"/>
                <w:lang w:eastAsia="pl-PL"/>
              </w:rPr>
              <w:t>2,8%</w:t>
            </w:r>
          </w:p>
        </w:tc>
        <w:tc>
          <w:tcPr>
            <w:tcW w:w="142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84FBD5E" w14:textId="77777777" w:rsidR="00293DA7" w:rsidRPr="00293DA7" w:rsidRDefault="00293DA7" w:rsidP="00293DA7">
            <w:pPr>
              <w:spacing w:after="0" w:line="240" w:lineRule="auto"/>
              <w:jc w:val="right"/>
              <w:rPr>
                <w:rFonts w:ascii="Calibri" w:eastAsia="Times New Roman" w:hAnsi="Calibri" w:cs="Times New Roman"/>
                <w:sz w:val="20"/>
                <w:szCs w:val="20"/>
                <w:lang w:eastAsia="pl-PL"/>
              </w:rPr>
            </w:pPr>
            <w:r w:rsidRPr="00293DA7">
              <w:rPr>
                <w:rFonts w:ascii="Calibri" w:eastAsia="Times New Roman" w:hAnsi="Calibri" w:cs="Times New Roman"/>
                <w:sz w:val="20"/>
                <w:szCs w:val="20"/>
                <w:lang w:eastAsia="pl-PL"/>
              </w:rPr>
              <w:t>3,0%</w:t>
            </w:r>
          </w:p>
        </w:tc>
      </w:tr>
      <w:tr w:rsidR="00293DA7" w:rsidRPr="00293DA7" w14:paraId="62267B7F" w14:textId="77777777" w:rsidTr="00DC4E55">
        <w:trPr>
          <w:trHeight w:val="300"/>
          <w:jc w:val="center"/>
        </w:trPr>
        <w:tc>
          <w:tcPr>
            <w:tcW w:w="241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D3AD7D6" w14:textId="77777777" w:rsidR="00293DA7" w:rsidRPr="00293DA7" w:rsidRDefault="00293DA7" w:rsidP="00293DA7">
            <w:pPr>
              <w:spacing w:after="0" w:line="240" w:lineRule="auto"/>
              <w:rPr>
                <w:rFonts w:ascii="Calibri" w:eastAsia="Times New Roman" w:hAnsi="Calibri" w:cs="Times New Roman"/>
                <w:sz w:val="20"/>
                <w:szCs w:val="20"/>
                <w:lang w:eastAsia="pl-PL"/>
              </w:rPr>
            </w:pPr>
            <w:r w:rsidRPr="00293DA7">
              <w:rPr>
                <w:rFonts w:ascii="Calibri" w:eastAsia="Times New Roman" w:hAnsi="Calibri" w:cs="Times New Roman"/>
                <w:sz w:val="20"/>
                <w:szCs w:val="20"/>
                <w:lang w:eastAsia="pl-PL"/>
              </w:rPr>
              <w:t>MOF Olsztyn</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4576E6F6" w14:textId="77777777" w:rsidR="00293DA7" w:rsidRPr="00293DA7" w:rsidRDefault="00293DA7" w:rsidP="00293DA7">
            <w:pPr>
              <w:spacing w:after="0" w:line="240" w:lineRule="auto"/>
              <w:jc w:val="right"/>
              <w:rPr>
                <w:rFonts w:ascii="Calibri" w:eastAsia="Times New Roman" w:hAnsi="Calibri" w:cs="Times New Roman"/>
                <w:sz w:val="20"/>
                <w:szCs w:val="20"/>
                <w:lang w:eastAsia="pl-PL"/>
              </w:rPr>
            </w:pPr>
            <w:r w:rsidRPr="00293DA7">
              <w:rPr>
                <w:rFonts w:ascii="Calibri" w:eastAsia="Times New Roman" w:hAnsi="Calibri" w:cs="Times New Roman"/>
                <w:sz w:val="20"/>
                <w:szCs w:val="20"/>
                <w:lang w:eastAsia="pl-PL"/>
              </w:rPr>
              <w:t>557</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14:paraId="7D874A5F" w14:textId="77777777" w:rsidR="00293DA7" w:rsidRPr="00293DA7" w:rsidRDefault="00293DA7" w:rsidP="00293DA7">
            <w:pPr>
              <w:spacing w:after="0" w:line="240" w:lineRule="auto"/>
              <w:jc w:val="right"/>
              <w:rPr>
                <w:rFonts w:ascii="Calibri" w:eastAsia="Times New Roman" w:hAnsi="Calibri" w:cs="Times New Roman"/>
                <w:sz w:val="20"/>
                <w:szCs w:val="20"/>
                <w:lang w:eastAsia="pl-PL"/>
              </w:rPr>
            </w:pPr>
            <w:r w:rsidRPr="00293DA7">
              <w:rPr>
                <w:rFonts w:ascii="Calibri" w:eastAsia="Times New Roman" w:hAnsi="Calibri" w:cs="Times New Roman"/>
                <w:sz w:val="20"/>
                <w:szCs w:val="20"/>
                <w:lang w:eastAsia="pl-PL"/>
              </w:rPr>
              <w:t>696</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4A3D2B01" w14:textId="77777777" w:rsidR="00293DA7" w:rsidRPr="00293DA7" w:rsidRDefault="00293DA7" w:rsidP="00293DA7">
            <w:pPr>
              <w:spacing w:after="0" w:line="240" w:lineRule="auto"/>
              <w:jc w:val="right"/>
              <w:rPr>
                <w:rFonts w:ascii="Calibri" w:eastAsia="Times New Roman" w:hAnsi="Calibri" w:cs="Times New Roman"/>
                <w:sz w:val="20"/>
                <w:szCs w:val="20"/>
                <w:lang w:eastAsia="pl-PL"/>
              </w:rPr>
            </w:pPr>
            <w:r w:rsidRPr="00293DA7">
              <w:rPr>
                <w:rFonts w:ascii="Calibri" w:eastAsia="Times New Roman" w:hAnsi="Calibri" w:cs="Times New Roman"/>
                <w:sz w:val="20"/>
                <w:szCs w:val="20"/>
                <w:lang w:eastAsia="pl-PL"/>
              </w:rPr>
              <w:t>2,0%</w:t>
            </w:r>
          </w:p>
        </w:tc>
        <w:tc>
          <w:tcPr>
            <w:tcW w:w="1420" w:type="dxa"/>
            <w:tcBorders>
              <w:top w:val="nil"/>
              <w:left w:val="nil"/>
              <w:bottom w:val="single" w:sz="4" w:space="0" w:color="auto"/>
              <w:right w:val="single" w:sz="4" w:space="0" w:color="auto"/>
            </w:tcBorders>
            <w:shd w:val="clear" w:color="auto" w:fill="FFFFFF" w:themeFill="background1"/>
            <w:noWrap/>
            <w:vAlign w:val="bottom"/>
            <w:hideMark/>
          </w:tcPr>
          <w:p w14:paraId="27A78F05" w14:textId="77777777" w:rsidR="00293DA7" w:rsidRPr="00293DA7" w:rsidRDefault="00293DA7" w:rsidP="00293DA7">
            <w:pPr>
              <w:spacing w:after="0" w:line="240" w:lineRule="auto"/>
              <w:jc w:val="right"/>
              <w:rPr>
                <w:rFonts w:ascii="Calibri" w:eastAsia="Times New Roman" w:hAnsi="Calibri" w:cs="Times New Roman"/>
                <w:sz w:val="20"/>
                <w:szCs w:val="20"/>
                <w:lang w:eastAsia="pl-PL"/>
              </w:rPr>
            </w:pPr>
            <w:r w:rsidRPr="00293DA7">
              <w:rPr>
                <w:rFonts w:ascii="Calibri" w:eastAsia="Times New Roman" w:hAnsi="Calibri" w:cs="Times New Roman"/>
                <w:sz w:val="20"/>
                <w:szCs w:val="20"/>
                <w:lang w:eastAsia="pl-PL"/>
              </w:rPr>
              <w:t>2,3%</w:t>
            </w:r>
          </w:p>
        </w:tc>
      </w:tr>
      <w:tr w:rsidR="008F6E74" w:rsidRPr="00293DA7" w14:paraId="5BDDCB52" w14:textId="77777777" w:rsidTr="00DC4E55">
        <w:trPr>
          <w:trHeight w:val="300"/>
          <w:jc w:val="center"/>
        </w:trPr>
        <w:tc>
          <w:tcPr>
            <w:tcW w:w="241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95C9851" w14:textId="77777777" w:rsidR="00293DA7" w:rsidRPr="00293DA7" w:rsidRDefault="00293DA7" w:rsidP="00293DA7">
            <w:pPr>
              <w:spacing w:after="0" w:line="240" w:lineRule="auto"/>
              <w:rPr>
                <w:rFonts w:ascii="Calibri" w:eastAsia="Times New Roman" w:hAnsi="Calibri" w:cs="Times New Roman"/>
                <w:sz w:val="20"/>
                <w:szCs w:val="20"/>
                <w:lang w:eastAsia="pl-PL"/>
              </w:rPr>
            </w:pPr>
            <w:r w:rsidRPr="00293DA7">
              <w:rPr>
                <w:rFonts w:ascii="Calibri" w:eastAsia="Times New Roman" w:hAnsi="Calibri" w:cs="Times New Roman"/>
                <w:sz w:val="20"/>
                <w:szCs w:val="20"/>
                <w:lang w:eastAsia="pl-PL"/>
              </w:rPr>
              <w:t>Olsztyn</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04C4BD1" w14:textId="77777777" w:rsidR="00293DA7" w:rsidRPr="00293DA7" w:rsidRDefault="00293DA7" w:rsidP="00293DA7">
            <w:pPr>
              <w:spacing w:after="0" w:line="240" w:lineRule="auto"/>
              <w:jc w:val="right"/>
              <w:rPr>
                <w:rFonts w:ascii="Calibri" w:eastAsia="Times New Roman" w:hAnsi="Calibri" w:cs="Times New Roman"/>
                <w:sz w:val="20"/>
                <w:szCs w:val="20"/>
                <w:lang w:eastAsia="pl-PL"/>
              </w:rPr>
            </w:pPr>
            <w:r w:rsidRPr="00293DA7">
              <w:rPr>
                <w:rFonts w:ascii="Calibri" w:eastAsia="Times New Roman" w:hAnsi="Calibri" w:cs="Times New Roman"/>
                <w:sz w:val="20"/>
                <w:szCs w:val="20"/>
                <w:lang w:eastAsia="pl-PL"/>
              </w:rPr>
              <w:t>430</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14:paraId="3A057C73" w14:textId="77777777" w:rsidR="00293DA7" w:rsidRPr="00293DA7" w:rsidRDefault="00293DA7" w:rsidP="00293DA7">
            <w:pPr>
              <w:spacing w:after="0" w:line="240" w:lineRule="auto"/>
              <w:jc w:val="right"/>
              <w:rPr>
                <w:rFonts w:ascii="Calibri" w:eastAsia="Times New Roman" w:hAnsi="Calibri" w:cs="Times New Roman"/>
                <w:sz w:val="20"/>
                <w:szCs w:val="20"/>
                <w:lang w:eastAsia="pl-PL"/>
              </w:rPr>
            </w:pPr>
            <w:r w:rsidRPr="00293DA7">
              <w:rPr>
                <w:rFonts w:ascii="Calibri" w:eastAsia="Times New Roman" w:hAnsi="Calibri" w:cs="Times New Roman"/>
                <w:sz w:val="20"/>
                <w:szCs w:val="20"/>
                <w:lang w:eastAsia="pl-PL"/>
              </w:rPr>
              <w:t>530</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7F84146D" w14:textId="77777777" w:rsidR="00293DA7" w:rsidRPr="00293DA7" w:rsidRDefault="00293DA7" w:rsidP="00293DA7">
            <w:pPr>
              <w:spacing w:after="0" w:line="240" w:lineRule="auto"/>
              <w:jc w:val="right"/>
              <w:rPr>
                <w:rFonts w:ascii="Calibri" w:eastAsia="Times New Roman" w:hAnsi="Calibri" w:cs="Times New Roman"/>
                <w:sz w:val="20"/>
                <w:szCs w:val="20"/>
                <w:lang w:eastAsia="pl-PL"/>
              </w:rPr>
            </w:pPr>
            <w:r w:rsidRPr="00293DA7">
              <w:rPr>
                <w:rFonts w:ascii="Calibri" w:eastAsia="Times New Roman" w:hAnsi="Calibri" w:cs="Times New Roman"/>
                <w:sz w:val="20"/>
                <w:szCs w:val="20"/>
                <w:lang w:eastAsia="pl-PL"/>
              </w:rPr>
              <w:t>5,9%</w:t>
            </w:r>
          </w:p>
        </w:tc>
        <w:tc>
          <w:tcPr>
            <w:tcW w:w="1420" w:type="dxa"/>
            <w:tcBorders>
              <w:top w:val="nil"/>
              <w:left w:val="nil"/>
              <w:bottom w:val="single" w:sz="4" w:space="0" w:color="auto"/>
              <w:right w:val="single" w:sz="4" w:space="0" w:color="auto"/>
            </w:tcBorders>
            <w:shd w:val="clear" w:color="auto" w:fill="FFFFFF" w:themeFill="background1"/>
            <w:noWrap/>
            <w:vAlign w:val="bottom"/>
            <w:hideMark/>
          </w:tcPr>
          <w:p w14:paraId="091092D6" w14:textId="77777777" w:rsidR="00293DA7" w:rsidRPr="00293DA7" w:rsidRDefault="00293DA7" w:rsidP="00293DA7">
            <w:pPr>
              <w:spacing w:after="0" w:line="240" w:lineRule="auto"/>
              <w:jc w:val="right"/>
              <w:rPr>
                <w:rFonts w:ascii="Calibri" w:eastAsia="Times New Roman" w:hAnsi="Calibri" w:cs="Times New Roman"/>
                <w:sz w:val="20"/>
                <w:szCs w:val="20"/>
                <w:lang w:eastAsia="pl-PL"/>
              </w:rPr>
            </w:pPr>
            <w:r w:rsidRPr="00293DA7">
              <w:rPr>
                <w:rFonts w:ascii="Calibri" w:eastAsia="Times New Roman" w:hAnsi="Calibri" w:cs="Times New Roman"/>
                <w:sz w:val="20"/>
                <w:szCs w:val="20"/>
                <w:lang w:eastAsia="pl-PL"/>
              </w:rPr>
              <w:t>5,6%</w:t>
            </w:r>
          </w:p>
        </w:tc>
      </w:tr>
    </w:tbl>
    <w:p w14:paraId="66CDEFBD" w14:textId="77777777" w:rsidR="00DC4E55" w:rsidRDefault="00DC4E55" w:rsidP="00DC4E55">
      <w:pPr>
        <w:spacing w:after="0"/>
        <w:jc w:val="center"/>
      </w:pPr>
      <w:r w:rsidRPr="0091031D">
        <w:rPr>
          <w:i/>
          <w:sz w:val="20"/>
          <w:szCs w:val="20"/>
        </w:rPr>
        <w:t>źródło: opracowanie własne na podstawie danych GUS</w:t>
      </w:r>
    </w:p>
    <w:p w14:paraId="05731588" w14:textId="77777777" w:rsidR="00293DA7" w:rsidRDefault="00293DA7" w:rsidP="00237FFB">
      <w:pPr>
        <w:jc w:val="both"/>
        <w:rPr>
          <w:rFonts w:eastAsiaTheme="majorEastAsia" w:cstheme="majorBidi"/>
          <w:color w:val="000000" w:themeColor="text1"/>
        </w:rPr>
      </w:pPr>
    </w:p>
    <w:p w14:paraId="2B0DBD27" w14:textId="205BC31F" w:rsidR="00343C9A" w:rsidRDefault="008D0C2D" w:rsidP="008D0C2D">
      <w:pPr>
        <w:pStyle w:val="Nagwek3"/>
      </w:pPr>
      <w:bookmarkStart w:id="180" w:name="_Toc73534916"/>
      <w:r>
        <w:lastRenderedPageBreak/>
        <w:t>3.1.2 Turystyka</w:t>
      </w:r>
      <w:bookmarkEnd w:id="180"/>
    </w:p>
    <w:p w14:paraId="16D929DE" w14:textId="5828E1C3" w:rsidR="00AB1793" w:rsidRDefault="00A60B6F" w:rsidP="00237FFB">
      <w:pPr>
        <w:jc w:val="both"/>
        <w:rPr>
          <w:rFonts w:cs="Arial"/>
        </w:rPr>
      </w:pPr>
      <w:r w:rsidRPr="00CC357B">
        <w:rPr>
          <w:rFonts w:cs="Arial"/>
        </w:rPr>
        <w:t xml:space="preserve">Dane GUS wskazują, że ruch turystyczny w Polsce jest zdominowany przez turystów krajowych. W roku 2018 odpowiadali </w:t>
      </w:r>
      <w:r w:rsidR="00CC357B">
        <w:rPr>
          <w:rFonts w:cs="Arial"/>
        </w:rPr>
        <w:t xml:space="preserve">oni </w:t>
      </w:r>
      <w:r w:rsidRPr="00CC357B">
        <w:rPr>
          <w:rFonts w:cs="Arial"/>
        </w:rPr>
        <w:t xml:space="preserve">za 80% wszystkich noclegów udzielonych w kraju. </w:t>
      </w:r>
      <w:r w:rsidR="00CC357B" w:rsidRPr="00CC357B">
        <w:rPr>
          <w:rFonts w:cs="Arial"/>
        </w:rPr>
        <w:t>Wyraźna koncentracja ruchu turystycznego w miesiącach letnich (lipiec, sierpień) występuje w województwach pomorskim (44,1</w:t>
      </w:r>
      <w:r w:rsidR="00CC357B">
        <w:rPr>
          <w:rFonts w:cs="Arial"/>
        </w:rPr>
        <w:t>%</w:t>
      </w:r>
      <w:r w:rsidR="00CC357B" w:rsidRPr="00CC357B">
        <w:rPr>
          <w:rFonts w:cs="Arial"/>
        </w:rPr>
        <w:t xml:space="preserve"> sumy noclegów udzielonych w </w:t>
      </w:r>
      <w:r w:rsidR="00CC357B">
        <w:rPr>
          <w:rFonts w:cs="Arial"/>
        </w:rPr>
        <w:t xml:space="preserve">roku </w:t>
      </w:r>
      <w:r w:rsidR="00CC357B" w:rsidRPr="00CC357B">
        <w:rPr>
          <w:rFonts w:cs="Arial"/>
        </w:rPr>
        <w:t>2018), warmińsko-mazurskim (39,6</w:t>
      </w:r>
      <w:r w:rsidR="00CC357B">
        <w:rPr>
          <w:rFonts w:cs="Arial"/>
        </w:rPr>
        <w:t>%</w:t>
      </w:r>
      <w:r w:rsidR="00CC357B" w:rsidRPr="00CC357B">
        <w:rPr>
          <w:rFonts w:cs="Arial"/>
        </w:rPr>
        <w:t>) oraz zachodniopomorskim (36,9</w:t>
      </w:r>
      <w:r w:rsidR="00CC357B">
        <w:rPr>
          <w:rFonts w:cs="Arial"/>
        </w:rPr>
        <w:t>%</w:t>
      </w:r>
      <w:r w:rsidR="00CC357B" w:rsidRPr="00CC357B">
        <w:rPr>
          <w:rFonts w:cs="Arial"/>
        </w:rPr>
        <w:t>).</w:t>
      </w:r>
      <w:r w:rsidR="00CC357B">
        <w:rPr>
          <w:rStyle w:val="Odwoanieprzypisudolnego"/>
          <w:rFonts w:cs="Arial"/>
        </w:rPr>
        <w:footnoteReference w:id="51"/>
      </w:r>
      <w:r w:rsidR="00CC357B" w:rsidRPr="00CC357B">
        <w:rPr>
          <w:rFonts w:cs="Arial"/>
        </w:rPr>
        <w:t xml:space="preserve"> </w:t>
      </w:r>
    </w:p>
    <w:p w14:paraId="49789E6F" w14:textId="2ECC2B6F" w:rsidR="00FA7751" w:rsidRDefault="00FA7751" w:rsidP="00FA7751">
      <w:pPr>
        <w:jc w:val="both"/>
        <w:rPr>
          <w:rFonts w:cs="Arial"/>
        </w:rPr>
      </w:pPr>
      <w:r>
        <w:rPr>
          <w:rFonts w:cs="Arial"/>
        </w:rPr>
        <w:t>Potwierdzeniem przewagi turystów krajowych nad zagranicznymi, korzystającymi z usług zakwaterowania są dane zaprezentowane na wykresach poniżej</w:t>
      </w:r>
      <w:r w:rsidR="000C565F">
        <w:rPr>
          <w:rFonts w:cs="Arial"/>
        </w:rPr>
        <w:t xml:space="preserve"> uszczegółowione do poziomu miast na prawach powiatu</w:t>
      </w:r>
      <w:r>
        <w:rPr>
          <w:rFonts w:cs="Arial"/>
        </w:rPr>
        <w:t xml:space="preserve">. W </w:t>
      </w:r>
      <w:r w:rsidR="0012796D">
        <w:rPr>
          <w:rFonts w:cs="Arial"/>
        </w:rPr>
        <w:t>roku 2019</w:t>
      </w:r>
      <w:r w:rsidR="00F60A21">
        <w:rPr>
          <w:rFonts w:cs="Arial"/>
        </w:rPr>
        <w:t xml:space="preserve">, w dwóch miastach - Olsztynie oraz Kielcach - </w:t>
      </w:r>
      <w:r w:rsidR="000C565F">
        <w:rPr>
          <w:rFonts w:cs="Arial"/>
        </w:rPr>
        <w:t>noclegi udzielone turystom krajowym stanowiły 85% noclegów udzielonych ogółem</w:t>
      </w:r>
      <w:r w:rsidR="00F60A21">
        <w:rPr>
          <w:rFonts w:cs="Arial"/>
        </w:rPr>
        <w:t>,</w:t>
      </w:r>
      <w:r w:rsidR="000C565F">
        <w:rPr>
          <w:rFonts w:cs="Arial"/>
        </w:rPr>
        <w:t xml:space="preserve"> w przeliczeniu na 10 </w:t>
      </w:r>
      <w:r w:rsidR="00E37BD0">
        <w:t xml:space="preserve">tys. </w:t>
      </w:r>
      <w:r w:rsidR="000C565F">
        <w:rPr>
          <w:rFonts w:cs="Arial"/>
        </w:rPr>
        <w:t>mieszkańców.</w:t>
      </w:r>
      <w:r w:rsidR="00A8408C">
        <w:rPr>
          <w:rFonts w:cs="Arial"/>
        </w:rPr>
        <w:t xml:space="preserve"> W pozostałych badanych miastach przewaga turystów krajowych nad zagranicznymi korzystającymi z usług</w:t>
      </w:r>
      <w:r w:rsidR="00F60A21">
        <w:rPr>
          <w:rFonts w:cs="Arial"/>
        </w:rPr>
        <w:t xml:space="preserve"> </w:t>
      </w:r>
      <w:r w:rsidR="00A8408C">
        <w:rPr>
          <w:rFonts w:cs="Arial"/>
        </w:rPr>
        <w:t>zakwaterowania kształtowała się</w:t>
      </w:r>
      <w:r w:rsidR="00F60A21">
        <w:rPr>
          <w:rFonts w:cs="Arial"/>
        </w:rPr>
        <w:t xml:space="preserve"> na poziomie</w:t>
      </w:r>
      <w:r w:rsidR="00A8408C">
        <w:rPr>
          <w:rFonts w:cs="Arial"/>
        </w:rPr>
        <w:t xml:space="preserve"> od 68% ogółu udzielonych noclegów na 10 </w:t>
      </w:r>
      <w:r w:rsidR="00E37BD0">
        <w:t xml:space="preserve">tys. </w:t>
      </w:r>
      <w:r w:rsidR="00A8408C">
        <w:rPr>
          <w:rFonts w:cs="Arial"/>
        </w:rPr>
        <w:t xml:space="preserve">mieszkańców (Białystok) do </w:t>
      </w:r>
      <w:r w:rsidR="00F60A21">
        <w:rPr>
          <w:rFonts w:cs="Arial"/>
        </w:rPr>
        <w:t>78</w:t>
      </w:r>
      <w:r w:rsidR="00A8408C">
        <w:rPr>
          <w:rFonts w:cs="Arial"/>
        </w:rPr>
        <w:t xml:space="preserve">% </w:t>
      </w:r>
      <w:r w:rsidR="00F60A21">
        <w:rPr>
          <w:rFonts w:cs="Arial"/>
        </w:rPr>
        <w:t>(Lublin).</w:t>
      </w:r>
    </w:p>
    <w:p w14:paraId="0DE90027" w14:textId="57BF7028" w:rsidR="004A1CFE" w:rsidRPr="004A1CFE" w:rsidRDefault="004A1CFE" w:rsidP="004A1CFE">
      <w:pPr>
        <w:pStyle w:val="Legenda"/>
        <w:rPr>
          <w:sz w:val="22"/>
          <w:szCs w:val="22"/>
          <w:lang w:val="pl-PL"/>
        </w:rPr>
      </w:pPr>
      <w:bookmarkStart w:id="181" w:name="_Toc73516122"/>
      <w:r w:rsidRPr="004A1CFE">
        <w:rPr>
          <w:sz w:val="22"/>
          <w:szCs w:val="22"/>
        </w:rPr>
        <w:t xml:space="preserve">Wykres </w:t>
      </w:r>
      <w:r w:rsidRPr="004A1CFE">
        <w:rPr>
          <w:sz w:val="22"/>
          <w:szCs w:val="22"/>
        </w:rPr>
        <w:fldChar w:fldCharType="begin"/>
      </w:r>
      <w:r w:rsidRPr="004A1CFE">
        <w:rPr>
          <w:sz w:val="22"/>
          <w:szCs w:val="22"/>
        </w:rPr>
        <w:instrText xml:space="preserve"> SEQ Wykres \* ARABIC </w:instrText>
      </w:r>
      <w:r w:rsidRPr="004A1CFE">
        <w:rPr>
          <w:sz w:val="22"/>
          <w:szCs w:val="22"/>
        </w:rPr>
        <w:fldChar w:fldCharType="separate"/>
      </w:r>
      <w:r w:rsidR="00AD58C3">
        <w:rPr>
          <w:noProof/>
          <w:sz w:val="22"/>
          <w:szCs w:val="22"/>
        </w:rPr>
        <w:t>60</w:t>
      </w:r>
      <w:r w:rsidRPr="004A1CFE">
        <w:rPr>
          <w:sz w:val="22"/>
          <w:szCs w:val="22"/>
        </w:rPr>
        <w:fldChar w:fldCharType="end"/>
      </w:r>
      <w:r w:rsidRPr="004A1CFE">
        <w:rPr>
          <w:sz w:val="22"/>
          <w:szCs w:val="22"/>
        </w:rPr>
        <w:t xml:space="preserve">. </w:t>
      </w:r>
      <w:r w:rsidRPr="004A1CFE">
        <w:rPr>
          <w:bCs/>
          <w:sz w:val="22"/>
          <w:szCs w:val="22"/>
          <w:lang w:val="en-US"/>
        </w:rPr>
        <w:t>Noclegi udzielone turystom krajowym w turystycznych obiektach noclegowych ogółem na 10 tys. mieszkańców w latach 2013 i 2019</w:t>
      </w:r>
      <w:bookmarkEnd w:id="181"/>
    </w:p>
    <w:p w14:paraId="3362DE58" w14:textId="77777777" w:rsidR="00FA7751" w:rsidRDefault="00FA7751" w:rsidP="00FA7751">
      <w:pPr>
        <w:spacing w:after="0" w:line="240" w:lineRule="auto"/>
        <w:jc w:val="center"/>
        <w:rPr>
          <w:rFonts w:cs="Arial"/>
        </w:rPr>
      </w:pPr>
      <w:r>
        <w:rPr>
          <w:noProof/>
          <w:lang w:eastAsia="pl-PL"/>
        </w:rPr>
        <w:drawing>
          <wp:inline distT="0" distB="0" distL="0" distR="0" wp14:anchorId="50367C3B" wp14:editId="5B0B715D">
            <wp:extent cx="4408227" cy="2081284"/>
            <wp:effectExtent l="0" t="0" r="11430" b="14605"/>
            <wp:docPr id="91" name="Wykres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72F89D86" w14:textId="40855AEA" w:rsidR="00FA7751" w:rsidRDefault="00FA7751" w:rsidP="00FA7751">
      <w:pPr>
        <w:spacing w:after="0" w:line="240" w:lineRule="auto"/>
        <w:jc w:val="center"/>
        <w:rPr>
          <w:i/>
          <w:sz w:val="20"/>
          <w:szCs w:val="20"/>
        </w:rPr>
      </w:pPr>
      <w:r w:rsidRPr="0091031D">
        <w:rPr>
          <w:i/>
          <w:sz w:val="20"/>
          <w:szCs w:val="20"/>
        </w:rPr>
        <w:t>źródło: opracowanie własne na podstawie danych GUS</w:t>
      </w:r>
    </w:p>
    <w:p w14:paraId="56FD9E92" w14:textId="0F94204B" w:rsidR="004A1CFE" w:rsidRDefault="004A1CFE" w:rsidP="004A1CFE">
      <w:pPr>
        <w:spacing w:after="0" w:line="240" w:lineRule="auto"/>
        <w:rPr>
          <w:i/>
          <w:sz w:val="20"/>
          <w:szCs w:val="20"/>
        </w:rPr>
      </w:pPr>
    </w:p>
    <w:p w14:paraId="2AAB00E2" w14:textId="19D81A04" w:rsidR="00FA7751" w:rsidRPr="004A1CFE" w:rsidRDefault="004A1CFE" w:rsidP="004A1CFE">
      <w:pPr>
        <w:pStyle w:val="Legenda"/>
        <w:rPr>
          <w:sz w:val="22"/>
          <w:szCs w:val="22"/>
          <w:lang w:val="pl-PL"/>
        </w:rPr>
      </w:pPr>
      <w:bookmarkStart w:id="182" w:name="_Toc73516123"/>
      <w:r w:rsidRPr="004A1CFE">
        <w:rPr>
          <w:sz w:val="22"/>
          <w:szCs w:val="22"/>
        </w:rPr>
        <w:t xml:space="preserve">Wykres </w:t>
      </w:r>
      <w:r w:rsidRPr="004A1CFE">
        <w:rPr>
          <w:sz w:val="22"/>
          <w:szCs w:val="22"/>
        </w:rPr>
        <w:fldChar w:fldCharType="begin"/>
      </w:r>
      <w:r w:rsidRPr="004A1CFE">
        <w:rPr>
          <w:sz w:val="22"/>
          <w:szCs w:val="22"/>
        </w:rPr>
        <w:instrText xml:space="preserve"> SEQ Wykres \* ARABIC </w:instrText>
      </w:r>
      <w:r w:rsidRPr="004A1CFE">
        <w:rPr>
          <w:sz w:val="22"/>
          <w:szCs w:val="22"/>
        </w:rPr>
        <w:fldChar w:fldCharType="separate"/>
      </w:r>
      <w:r w:rsidR="00AD58C3">
        <w:rPr>
          <w:noProof/>
          <w:sz w:val="22"/>
          <w:szCs w:val="22"/>
        </w:rPr>
        <w:t>61</w:t>
      </w:r>
      <w:r w:rsidRPr="004A1CFE">
        <w:rPr>
          <w:sz w:val="22"/>
          <w:szCs w:val="22"/>
        </w:rPr>
        <w:fldChar w:fldCharType="end"/>
      </w:r>
      <w:r w:rsidRPr="004A1CFE">
        <w:rPr>
          <w:sz w:val="22"/>
          <w:szCs w:val="22"/>
        </w:rPr>
        <w:t xml:space="preserve">. </w:t>
      </w:r>
      <w:r w:rsidRPr="004A1CFE">
        <w:rPr>
          <w:bCs/>
          <w:sz w:val="22"/>
          <w:szCs w:val="22"/>
          <w:lang w:val="pl-PL"/>
        </w:rPr>
        <w:t>Noclegi ud</w:t>
      </w:r>
      <w:r w:rsidRPr="004A1CFE">
        <w:rPr>
          <w:bCs/>
          <w:sz w:val="22"/>
          <w:szCs w:val="22"/>
          <w:lang w:val="en-US"/>
        </w:rPr>
        <w:t xml:space="preserve">zielone turystom zagranicznym w turystycznych obiektach noclegowych na </w:t>
      </w:r>
      <w:r>
        <w:rPr>
          <w:bCs/>
          <w:sz w:val="22"/>
          <w:szCs w:val="22"/>
          <w:lang w:val="en-US"/>
        </w:rPr>
        <w:br/>
      </w:r>
      <w:r w:rsidRPr="004A1CFE">
        <w:rPr>
          <w:bCs/>
          <w:sz w:val="22"/>
          <w:szCs w:val="22"/>
          <w:lang w:val="en-US"/>
        </w:rPr>
        <w:t>10 tys. mieszkańców w latach 2013 i 2019</w:t>
      </w:r>
      <w:bookmarkEnd w:id="182"/>
    </w:p>
    <w:p w14:paraId="46C0096D" w14:textId="0CEF6B3B" w:rsidR="00FA7751" w:rsidRDefault="00FA7751" w:rsidP="00FA7751">
      <w:pPr>
        <w:spacing w:after="0" w:line="240" w:lineRule="auto"/>
        <w:jc w:val="center"/>
        <w:rPr>
          <w:i/>
          <w:sz w:val="20"/>
          <w:szCs w:val="20"/>
        </w:rPr>
      </w:pPr>
      <w:r>
        <w:rPr>
          <w:noProof/>
          <w:lang w:eastAsia="pl-PL"/>
        </w:rPr>
        <w:drawing>
          <wp:inline distT="0" distB="0" distL="0" distR="0" wp14:anchorId="008C9ACC" wp14:editId="1263CD82">
            <wp:extent cx="4401403" cy="2225286"/>
            <wp:effectExtent l="0" t="0" r="18415" b="3810"/>
            <wp:docPr id="92" name="Wykres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1ED8BE77" w14:textId="77777777" w:rsidR="00F60A21" w:rsidRDefault="00F60A21" w:rsidP="00F60A21">
      <w:pPr>
        <w:spacing w:after="0" w:line="240" w:lineRule="auto"/>
        <w:jc w:val="center"/>
        <w:rPr>
          <w:i/>
          <w:sz w:val="20"/>
          <w:szCs w:val="20"/>
        </w:rPr>
      </w:pPr>
      <w:r w:rsidRPr="0091031D">
        <w:rPr>
          <w:i/>
          <w:sz w:val="20"/>
          <w:szCs w:val="20"/>
        </w:rPr>
        <w:t>źródło: opracowanie własne na podstawie danych GUS</w:t>
      </w:r>
    </w:p>
    <w:p w14:paraId="57F17718" w14:textId="77777777" w:rsidR="00F60A21" w:rsidRDefault="00F60A21" w:rsidP="00FA7751">
      <w:pPr>
        <w:spacing w:after="0" w:line="240" w:lineRule="auto"/>
        <w:jc w:val="center"/>
        <w:rPr>
          <w:i/>
          <w:sz w:val="20"/>
          <w:szCs w:val="20"/>
        </w:rPr>
      </w:pPr>
    </w:p>
    <w:p w14:paraId="07FE13CD" w14:textId="68A67F5E" w:rsidR="00CC357B" w:rsidRDefault="00470C49" w:rsidP="00237FFB">
      <w:pPr>
        <w:jc w:val="both"/>
        <w:rPr>
          <w:rFonts w:cs="Arial"/>
        </w:rPr>
      </w:pPr>
      <w:r>
        <w:rPr>
          <w:rFonts w:cs="Arial"/>
        </w:rPr>
        <w:t xml:space="preserve">Badania </w:t>
      </w:r>
      <w:r w:rsidR="00CC357B">
        <w:rPr>
          <w:rFonts w:cs="Arial"/>
        </w:rPr>
        <w:t>przeprowadzon</w:t>
      </w:r>
      <w:r>
        <w:rPr>
          <w:rFonts w:cs="Arial"/>
        </w:rPr>
        <w:t>e</w:t>
      </w:r>
      <w:r w:rsidR="00CC357B">
        <w:rPr>
          <w:rFonts w:cs="Arial"/>
        </w:rPr>
        <w:t xml:space="preserve"> przez Polski Instytut Ekonomiczny wskazują, że n</w:t>
      </w:r>
      <w:r w:rsidR="00CC357B" w:rsidRPr="00CC357B">
        <w:rPr>
          <w:rFonts w:cs="Arial"/>
        </w:rPr>
        <w:t xml:space="preserve">ajwiększy niezrealizowany potencjał turystyczny występuje w województwach świętokrzyskim, warmińsko-mazurskim oraz podkarpackim. </w:t>
      </w:r>
      <w:r w:rsidR="00CC357B">
        <w:rPr>
          <w:rFonts w:cs="Arial"/>
        </w:rPr>
        <w:t>M</w:t>
      </w:r>
      <w:r w:rsidR="00CC357B" w:rsidRPr="00CC357B">
        <w:rPr>
          <w:rFonts w:cs="Arial"/>
        </w:rPr>
        <w:t xml:space="preserve">imo posiadania znaczących walorów krajobrazowych i turystycznych, </w:t>
      </w:r>
      <w:r w:rsidR="00CB6848">
        <w:rPr>
          <w:rFonts w:cs="Arial"/>
        </w:rPr>
        <w:t xml:space="preserve">wymienione </w:t>
      </w:r>
      <w:r w:rsidR="00CC357B">
        <w:rPr>
          <w:rFonts w:cs="Arial"/>
        </w:rPr>
        <w:t xml:space="preserve">województwa </w:t>
      </w:r>
      <w:r w:rsidR="00CC357B" w:rsidRPr="00CC357B">
        <w:rPr>
          <w:rFonts w:cs="Arial"/>
        </w:rPr>
        <w:t>przyciągają względnie niewielką liczbę turystów</w:t>
      </w:r>
      <w:r w:rsidR="002B1EED">
        <w:rPr>
          <w:rFonts w:cs="Arial"/>
        </w:rPr>
        <w:t>, odpowia</w:t>
      </w:r>
      <w:r w:rsidR="00CC357B" w:rsidRPr="00CC357B">
        <w:rPr>
          <w:rFonts w:cs="Arial"/>
        </w:rPr>
        <w:t>da</w:t>
      </w:r>
      <w:r w:rsidR="002B1EED">
        <w:rPr>
          <w:rFonts w:cs="Arial"/>
        </w:rPr>
        <w:t>jąc</w:t>
      </w:r>
      <w:r w:rsidR="00CC357B" w:rsidRPr="00CC357B">
        <w:rPr>
          <w:rFonts w:cs="Arial"/>
        </w:rPr>
        <w:t xml:space="preserve"> łącznie za 10</w:t>
      </w:r>
      <w:r w:rsidR="002B1EED">
        <w:rPr>
          <w:rFonts w:cs="Arial"/>
        </w:rPr>
        <w:t xml:space="preserve">% </w:t>
      </w:r>
      <w:r w:rsidR="00CC357B" w:rsidRPr="00CC357B">
        <w:rPr>
          <w:rFonts w:cs="Arial"/>
        </w:rPr>
        <w:t xml:space="preserve"> wszystkich noclegów turystycznych udzielonych w Polsce.</w:t>
      </w:r>
      <w:r w:rsidR="00FC1857">
        <w:rPr>
          <w:rStyle w:val="Odwoanieprzypisudolnego"/>
          <w:rFonts w:cs="Arial"/>
        </w:rPr>
        <w:footnoteReference w:id="52"/>
      </w:r>
    </w:p>
    <w:p w14:paraId="4E399097" w14:textId="4134F4E5" w:rsidR="00CB6848" w:rsidRDefault="00CB6848" w:rsidP="00237FFB">
      <w:pPr>
        <w:jc w:val="both"/>
        <w:rPr>
          <w:rFonts w:cs="Arial"/>
        </w:rPr>
      </w:pPr>
      <w:r>
        <w:rPr>
          <w:rFonts w:cs="Arial"/>
        </w:rPr>
        <w:t xml:space="preserve">Spośród omawianych stolic, </w:t>
      </w:r>
      <w:r w:rsidR="000B5034">
        <w:rPr>
          <w:rFonts w:cs="Arial"/>
        </w:rPr>
        <w:t xml:space="preserve">miastem o </w:t>
      </w:r>
      <w:r>
        <w:rPr>
          <w:rFonts w:cs="Arial"/>
        </w:rPr>
        <w:t>najmniejszej liczbie obiektów noclegowych</w:t>
      </w:r>
      <w:r w:rsidR="007E6374">
        <w:rPr>
          <w:rStyle w:val="Odwoanieprzypisudolnego"/>
          <w:rFonts w:cs="Arial"/>
        </w:rPr>
        <w:footnoteReference w:id="53"/>
      </w:r>
      <w:r w:rsidR="00470C49">
        <w:rPr>
          <w:rFonts w:cs="Arial"/>
        </w:rPr>
        <w:t xml:space="preserve"> </w:t>
      </w:r>
      <w:r w:rsidR="000B5034">
        <w:rPr>
          <w:rFonts w:cs="Arial"/>
        </w:rPr>
        <w:t xml:space="preserve">pozostawał Olsztyn </w:t>
      </w:r>
      <w:r w:rsidR="00470C49">
        <w:rPr>
          <w:rFonts w:cs="Arial"/>
        </w:rPr>
        <w:t xml:space="preserve">– 26 obiektów w roku 2013 oraz w 2019. Na przestrzeni lat 2013-2019 </w:t>
      </w:r>
      <w:r w:rsidR="00674F57">
        <w:rPr>
          <w:rFonts w:cs="Arial"/>
        </w:rPr>
        <w:t>dostępność</w:t>
      </w:r>
      <w:r w:rsidR="00470C49">
        <w:rPr>
          <w:rFonts w:cs="Arial"/>
        </w:rPr>
        <w:t xml:space="preserve"> bazy noclegowej na terenie Olsztyn</w:t>
      </w:r>
      <w:r w:rsidR="00674F57">
        <w:rPr>
          <w:rFonts w:cs="Arial"/>
        </w:rPr>
        <w:t>a charakteryzowała pewna zmienność spadkowa (</w:t>
      </w:r>
      <w:r w:rsidR="00470C49">
        <w:rPr>
          <w:rFonts w:cs="Arial"/>
        </w:rPr>
        <w:t>23 obie</w:t>
      </w:r>
      <w:r w:rsidR="00674F57">
        <w:rPr>
          <w:rFonts w:cs="Arial"/>
        </w:rPr>
        <w:t>kty</w:t>
      </w:r>
      <w:r w:rsidR="000B5034">
        <w:rPr>
          <w:rFonts w:cs="Arial"/>
        </w:rPr>
        <w:t xml:space="preserve"> -</w:t>
      </w:r>
      <w:r w:rsidR="00674F57">
        <w:rPr>
          <w:rFonts w:cs="Arial"/>
        </w:rPr>
        <w:t xml:space="preserve"> w latach 2014, 2015, 2017 oraz 24 obiekty noclegowe </w:t>
      </w:r>
      <w:r w:rsidR="000B5034">
        <w:rPr>
          <w:rFonts w:cs="Arial"/>
        </w:rPr>
        <w:t xml:space="preserve">- </w:t>
      </w:r>
      <w:r w:rsidR="00674F57">
        <w:rPr>
          <w:rFonts w:cs="Arial"/>
        </w:rPr>
        <w:t xml:space="preserve">w roku 2016). Od roku 2018 liczba obiektów </w:t>
      </w:r>
      <w:r w:rsidR="000B5034">
        <w:rPr>
          <w:rFonts w:cs="Arial"/>
        </w:rPr>
        <w:t xml:space="preserve">zakwaterowania turystycznego </w:t>
      </w:r>
      <w:r w:rsidR="00674F57">
        <w:rPr>
          <w:rFonts w:cs="Arial"/>
        </w:rPr>
        <w:t>powróciła do stanu rejestrowanego w roku 2013 (tj. 26 obiektów).</w:t>
      </w:r>
      <w:r w:rsidR="00EA09AE">
        <w:rPr>
          <w:rFonts w:cs="Arial"/>
        </w:rPr>
        <w:t xml:space="preserve"> </w:t>
      </w:r>
      <w:r w:rsidR="00C41386">
        <w:rPr>
          <w:rFonts w:cs="Arial"/>
        </w:rPr>
        <w:br/>
      </w:r>
      <w:r w:rsidR="00EA09AE">
        <w:rPr>
          <w:rFonts w:cs="Arial"/>
        </w:rPr>
        <w:t xml:space="preserve">W roku 2019 największą liczbę obiektów noclegowych odnotowano w Lublinie (55) – 47% wzrost </w:t>
      </w:r>
      <w:r w:rsidR="00C41386">
        <w:rPr>
          <w:rFonts w:cs="Arial"/>
        </w:rPr>
        <w:br/>
      </w:r>
      <w:r w:rsidR="00EA09AE">
        <w:rPr>
          <w:rFonts w:cs="Arial"/>
        </w:rPr>
        <w:t>w stosunku do danych za rok 2013.</w:t>
      </w:r>
    </w:p>
    <w:p w14:paraId="508E4322" w14:textId="4E82C055" w:rsidR="00697903" w:rsidRPr="00697903" w:rsidRDefault="00697903" w:rsidP="00697903">
      <w:pPr>
        <w:pStyle w:val="Legenda"/>
        <w:rPr>
          <w:sz w:val="22"/>
          <w:szCs w:val="22"/>
          <w:lang w:val="pl-PL"/>
        </w:rPr>
      </w:pPr>
      <w:bookmarkStart w:id="183" w:name="_Toc73516124"/>
      <w:r w:rsidRPr="00697903">
        <w:rPr>
          <w:sz w:val="22"/>
          <w:szCs w:val="22"/>
        </w:rPr>
        <w:t xml:space="preserve">Wykres </w:t>
      </w:r>
      <w:r w:rsidRPr="00697903">
        <w:rPr>
          <w:sz w:val="22"/>
          <w:szCs w:val="22"/>
        </w:rPr>
        <w:fldChar w:fldCharType="begin"/>
      </w:r>
      <w:r w:rsidRPr="00697903">
        <w:rPr>
          <w:sz w:val="22"/>
          <w:szCs w:val="22"/>
        </w:rPr>
        <w:instrText xml:space="preserve"> SEQ Wykres \* ARABIC </w:instrText>
      </w:r>
      <w:r w:rsidRPr="00697903">
        <w:rPr>
          <w:sz w:val="22"/>
          <w:szCs w:val="22"/>
        </w:rPr>
        <w:fldChar w:fldCharType="separate"/>
      </w:r>
      <w:r w:rsidR="00AD58C3">
        <w:rPr>
          <w:noProof/>
          <w:sz w:val="22"/>
          <w:szCs w:val="22"/>
        </w:rPr>
        <w:t>62</w:t>
      </w:r>
      <w:r w:rsidRPr="00697903">
        <w:rPr>
          <w:sz w:val="22"/>
          <w:szCs w:val="22"/>
        </w:rPr>
        <w:fldChar w:fldCharType="end"/>
      </w:r>
      <w:r w:rsidRPr="00697903">
        <w:rPr>
          <w:sz w:val="22"/>
          <w:szCs w:val="22"/>
        </w:rPr>
        <w:t xml:space="preserve">. </w:t>
      </w:r>
      <w:r w:rsidRPr="00697903">
        <w:rPr>
          <w:bCs/>
          <w:sz w:val="22"/>
          <w:szCs w:val="22"/>
          <w:lang w:val="en-US"/>
        </w:rPr>
        <w:t>Liczba obiektów noclegowych w latach 2013 i 2019</w:t>
      </w:r>
      <w:bookmarkEnd w:id="183"/>
    </w:p>
    <w:p w14:paraId="3DC34687" w14:textId="7AB87B1B" w:rsidR="00CC357B" w:rsidRDefault="00C52F98" w:rsidP="00EF0C0F">
      <w:pPr>
        <w:spacing w:after="0" w:line="240" w:lineRule="auto"/>
        <w:jc w:val="center"/>
        <w:rPr>
          <w:rFonts w:cs="Arial"/>
        </w:rPr>
      </w:pPr>
      <w:r>
        <w:rPr>
          <w:noProof/>
          <w:lang w:eastAsia="pl-PL"/>
        </w:rPr>
        <w:drawing>
          <wp:inline distT="0" distB="0" distL="0" distR="0" wp14:anchorId="55374D4B" wp14:editId="766F6F17">
            <wp:extent cx="4237630" cy="2108580"/>
            <wp:effectExtent l="0" t="0" r="10795" b="6350"/>
            <wp:docPr id="62" name="Wykres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E4BD4A4" w14:textId="77777777" w:rsidR="00EF0C0F" w:rsidRDefault="00EF0C0F" w:rsidP="00EF0C0F">
      <w:pPr>
        <w:spacing w:after="0" w:line="240" w:lineRule="auto"/>
        <w:jc w:val="center"/>
      </w:pPr>
      <w:r w:rsidRPr="0091031D">
        <w:rPr>
          <w:i/>
          <w:sz w:val="20"/>
          <w:szCs w:val="20"/>
        </w:rPr>
        <w:t>źródło: opracowanie własne na podstawie danych GUS</w:t>
      </w:r>
    </w:p>
    <w:p w14:paraId="1257B70B" w14:textId="2CB09531" w:rsidR="00EF0C0F" w:rsidRDefault="00EF0C0F" w:rsidP="000B5034">
      <w:pPr>
        <w:jc w:val="both"/>
        <w:rPr>
          <w:rFonts w:cs="Arial"/>
        </w:rPr>
      </w:pPr>
    </w:p>
    <w:p w14:paraId="171F6F8A" w14:textId="349E29FE" w:rsidR="008F55EB" w:rsidRDefault="008F55EB" w:rsidP="008F55EB">
      <w:pPr>
        <w:jc w:val="both"/>
        <w:rPr>
          <w:rFonts w:cs="Arial"/>
        </w:rPr>
      </w:pPr>
      <w:r>
        <w:rPr>
          <w:rFonts w:cs="Arial"/>
        </w:rPr>
        <w:t xml:space="preserve">Analiza danych odnotowanych na przestrzeni lat 2013-2019 </w:t>
      </w:r>
      <w:r w:rsidR="007D2649">
        <w:rPr>
          <w:rFonts w:cs="Arial"/>
        </w:rPr>
        <w:t xml:space="preserve">pod kątem </w:t>
      </w:r>
      <w:r>
        <w:rPr>
          <w:rFonts w:cs="Arial"/>
        </w:rPr>
        <w:t>dostępności miejsc noclegowych w przeliczeniu na 1000 mieszkańców</w:t>
      </w:r>
      <w:r w:rsidR="007D2649">
        <w:rPr>
          <w:rFonts w:cs="Arial"/>
        </w:rPr>
        <w:t xml:space="preserve"> wykazuje </w:t>
      </w:r>
      <w:r w:rsidR="005A18B0">
        <w:rPr>
          <w:rFonts w:cs="Arial"/>
        </w:rPr>
        <w:t xml:space="preserve">w przypadku </w:t>
      </w:r>
      <w:r w:rsidR="007D2649">
        <w:rPr>
          <w:rFonts w:cs="Arial"/>
        </w:rPr>
        <w:t xml:space="preserve">Olsztyna tendencję spadkową. W roku 2019 miejsc noclegowych było o ok. 9% mniej w porównaniu do roku 2013. </w:t>
      </w:r>
      <w:r w:rsidR="009C6100">
        <w:rPr>
          <w:rFonts w:cs="Arial"/>
        </w:rPr>
        <w:t xml:space="preserve">Pomimo tego, Olsztyn plasował się na najwyższej pozycji </w:t>
      </w:r>
      <w:r w:rsidR="007D2649">
        <w:rPr>
          <w:rFonts w:cs="Arial"/>
        </w:rPr>
        <w:t xml:space="preserve">spośród analizowanych miast Polski Wschodniej </w:t>
      </w:r>
      <w:r>
        <w:rPr>
          <w:rFonts w:cs="Arial"/>
        </w:rPr>
        <w:t>(37 miejsc</w:t>
      </w:r>
      <w:r w:rsidR="009C6100">
        <w:rPr>
          <w:rFonts w:cs="Arial"/>
        </w:rPr>
        <w:t xml:space="preserve"> noclegowych/1000 mieszkańców </w:t>
      </w:r>
      <w:r>
        <w:rPr>
          <w:rFonts w:cs="Arial"/>
        </w:rPr>
        <w:t>- w roku 2013 oraz 34 miejsca</w:t>
      </w:r>
      <w:r w:rsidR="009C6100">
        <w:rPr>
          <w:rFonts w:cs="Arial"/>
        </w:rPr>
        <w:t xml:space="preserve"> noclegowe/1000 mieszkańców </w:t>
      </w:r>
      <w:r>
        <w:rPr>
          <w:rFonts w:cs="Arial"/>
        </w:rPr>
        <w:t xml:space="preserve">– w roku 2019). </w:t>
      </w:r>
      <w:r w:rsidR="004B533F">
        <w:rPr>
          <w:rFonts w:cs="Arial"/>
        </w:rPr>
        <w:t xml:space="preserve">Wskaźnik dostępności miejsc noclegowych w przeliczeniu na 1000 mieszkańców, </w:t>
      </w:r>
      <w:r w:rsidR="004B533F">
        <w:rPr>
          <w:rFonts w:cs="Arial"/>
        </w:rPr>
        <w:br/>
        <w:t>w</w:t>
      </w:r>
      <w:r w:rsidR="009C6100">
        <w:rPr>
          <w:rFonts w:cs="Arial"/>
        </w:rPr>
        <w:t xml:space="preserve"> pozostałych badanych ośrodkach wojewódzkich </w:t>
      </w:r>
      <w:r w:rsidR="004B533F">
        <w:rPr>
          <w:rFonts w:cs="Arial"/>
        </w:rPr>
        <w:t>charakteryzuje stała tendencja wzrostowa</w:t>
      </w:r>
      <w:r>
        <w:rPr>
          <w:rFonts w:cs="Arial"/>
        </w:rPr>
        <w:t xml:space="preserve">. </w:t>
      </w:r>
    </w:p>
    <w:p w14:paraId="32BDC5AC" w14:textId="5F4B4D85" w:rsidR="00A1088A" w:rsidRDefault="00A1088A">
      <w:pPr>
        <w:rPr>
          <w:rFonts w:cs="Arial"/>
        </w:rPr>
      </w:pPr>
      <w:r>
        <w:rPr>
          <w:rFonts w:cs="Arial"/>
        </w:rPr>
        <w:br w:type="page"/>
      </w:r>
    </w:p>
    <w:p w14:paraId="290107B9" w14:textId="4F9087C0" w:rsidR="00A1088A" w:rsidRPr="00A1088A" w:rsidRDefault="00A1088A" w:rsidP="00A1088A">
      <w:pPr>
        <w:pStyle w:val="Legenda"/>
        <w:rPr>
          <w:sz w:val="22"/>
          <w:szCs w:val="22"/>
          <w:lang w:val="pl-PL"/>
        </w:rPr>
      </w:pPr>
      <w:bookmarkStart w:id="184" w:name="_Toc73516125"/>
      <w:r w:rsidRPr="00A1088A">
        <w:rPr>
          <w:sz w:val="22"/>
          <w:szCs w:val="22"/>
        </w:rPr>
        <w:lastRenderedPageBreak/>
        <w:t xml:space="preserve">Wykres </w:t>
      </w:r>
      <w:r w:rsidRPr="00A1088A">
        <w:rPr>
          <w:sz w:val="22"/>
          <w:szCs w:val="22"/>
        </w:rPr>
        <w:fldChar w:fldCharType="begin"/>
      </w:r>
      <w:r w:rsidRPr="00A1088A">
        <w:rPr>
          <w:sz w:val="22"/>
          <w:szCs w:val="22"/>
        </w:rPr>
        <w:instrText xml:space="preserve"> SEQ Wykres \* ARABIC </w:instrText>
      </w:r>
      <w:r w:rsidRPr="00A1088A">
        <w:rPr>
          <w:sz w:val="22"/>
          <w:szCs w:val="22"/>
        </w:rPr>
        <w:fldChar w:fldCharType="separate"/>
      </w:r>
      <w:r w:rsidR="00AD58C3">
        <w:rPr>
          <w:noProof/>
          <w:sz w:val="22"/>
          <w:szCs w:val="22"/>
        </w:rPr>
        <w:t>63</w:t>
      </w:r>
      <w:r w:rsidRPr="00A1088A">
        <w:rPr>
          <w:sz w:val="22"/>
          <w:szCs w:val="22"/>
        </w:rPr>
        <w:fldChar w:fldCharType="end"/>
      </w:r>
      <w:r w:rsidRPr="00A1088A">
        <w:rPr>
          <w:sz w:val="22"/>
          <w:szCs w:val="22"/>
        </w:rPr>
        <w:t xml:space="preserve">. </w:t>
      </w:r>
      <w:r w:rsidRPr="00A1088A">
        <w:rPr>
          <w:bCs/>
          <w:sz w:val="22"/>
          <w:szCs w:val="22"/>
          <w:lang w:val="pl-PL"/>
        </w:rPr>
        <w:t>Liczba miejsc noclegowych na 1000 ludności w latach 2013 i 2019</w:t>
      </w:r>
      <w:bookmarkEnd w:id="184"/>
    </w:p>
    <w:p w14:paraId="78C77093" w14:textId="65ADC6A3" w:rsidR="00EF0C0F" w:rsidRDefault="00CD6D61" w:rsidP="004B533F">
      <w:pPr>
        <w:spacing w:after="0" w:line="240" w:lineRule="auto"/>
        <w:jc w:val="center"/>
        <w:rPr>
          <w:rFonts w:cs="Arial"/>
        </w:rPr>
      </w:pPr>
      <w:r>
        <w:rPr>
          <w:noProof/>
          <w:lang w:eastAsia="pl-PL"/>
        </w:rPr>
        <w:drawing>
          <wp:inline distT="0" distB="0" distL="0" distR="0" wp14:anchorId="31615CA5" wp14:editId="0700EB4C">
            <wp:extent cx="4374108" cy="2238233"/>
            <wp:effectExtent l="0" t="0" r="7620" b="10160"/>
            <wp:docPr id="94" name="Wykres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56AA4D2E" w14:textId="7FF50871" w:rsidR="004B533F" w:rsidRDefault="004B533F" w:rsidP="004B533F">
      <w:pPr>
        <w:spacing w:after="0" w:line="240" w:lineRule="auto"/>
        <w:jc w:val="center"/>
        <w:rPr>
          <w:rFonts w:cs="Arial"/>
        </w:rPr>
      </w:pPr>
      <w:r w:rsidRPr="0091031D">
        <w:rPr>
          <w:i/>
          <w:sz w:val="20"/>
          <w:szCs w:val="20"/>
        </w:rPr>
        <w:t>źródło: opracowanie własne na podstawie danych GUS</w:t>
      </w:r>
    </w:p>
    <w:p w14:paraId="08F76899" w14:textId="7077E938" w:rsidR="007E5A34" w:rsidRDefault="007E5A34" w:rsidP="00FA7751">
      <w:pPr>
        <w:jc w:val="both"/>
        <w:rPr>
          <w:rFonts w:cs="Arial"/>
        </w:rPr>
      </w:pPr>
    </w:p>
    <w:p w14:paraId="626E8383" w14:textId="08C9C250" w:rsidR="005778CF" w:rsidRDefault="00B0173C" w:rsidP="00206773">
      <w:pPr>
        <w:spacing w:before="120" w:after="120"/>
        <w:jc w:val="both"/>
        <w:rPr>
          <w:rFonts w:cs="Arial"/>
        </w:rPr>
      </w:pPr>
      <w:r>
        <w:t>W roku 2019 najkorzystniejszą sytuację pod kątem wykorzystania obiektów noclegowych obserwuje się w Rzeszowie (1</w:t>
      </w:r>
      <w:r w:rsidR="00206773">
        <w:t xml:space="preserve"> </w:t>
      </w:r>
      <w:r>
        <w:t xml:space="preserve">561 turystów korzystających z noclegów w przeliczeniu na 1000 mieszkańców, więcej o 655 turystów </w:t>
      </w:r>
      <w:r w:rsidR="003A7B65">
        <w:t xml:space="preserve">(42%) </w:t>
      </w:r>
      <w:r>
        <w:t xml:space="preserve">niż w badanym roku 2013). </w:t>
      </w:r>
      <w:r w:rsidR="003A7B65">
        <w:t>W Olsztynie w roku 2013 odnotowano 1</w:t>
      </w:r>
      <w:r w:rsidR="00206773">
        <w:t xml:space="preserve"> </w:t>
      </w:r>
      <w:r w:rsidR="003A7B65">
        <w:t>111 turystów korzystających z usług zakwaterowania/1000 ludności zaś w 2019 roku 1</w:t>
      </w:r>
      <w:r w:rsidR="00206773">
        <w:t xml:space="preserve"> </w:t>
      </w:r>
      <w:r w:rsidR="003A7B65">
        <w:t xml:space="preserve">105 turystów. </w:t>
      </w:r>
      <w:r w:rsidR="003A7B65">
        <w:br/>
        <w:t>Analizując dane dostępne dla miasta Olsztyna, w badanych latach 2013-2019 najniższy popyt na usługi noclegowe zarejestrowano w roku 2014</w:t>
      </w:r>
      <w:r w:rsidR="00344CB1">
        <w:t xml:space="preserve">. W badanym 2014 roku 975 turystów skorzystało z noclegów w olsztyńskich obiektach turystycznych. W kolejnych latach 2015-2019 liczba odwiedzających Olsztyn </w:t>
      </w:r>
      <w:r w:rsidR="00344CB1">
        <w:br/>
        <w:t xml:space="preserve">i korzystających z bazy noclegowej sukcesywnie rosła. </w:t>
      </w:r>
    </w:p>
    <w:p w14:paraId="112A5577" w14:textId="25F144ED" w:rsidR="00923447" w:rsidRDefault="00923447" w:rsidP="00923447">
      <w:pPr>
        <w:jc w:val="both"/>
        <w:rPr>
          <w:rFonts w:cs="Arial"/>
        </w:rPr>
      </w:pPr>
    </w:p>
    <w:p w14:paraId="763E74FF" w14:textId="4A6E33A1" w:rsidR="00F46E77" w:rsidRPr="00F46E77" w:rsidRDefault="00F46E77" w:rsidP="00F46E77">
      <w:pPr>
        <w:pStyle w:val="Legenda"/>
        <w:rPr>
          <w:sz w:val="22"/>
          <w:szCs w:val="22"/>
          <w:lang w:val="pl-PL"/>
        </w:rPr>
      </w:pPr>
      <w:bookmarkStart w:id="185" w:name="_Toc73516126"/>
      <w:r w:rsidRPr="00F46E77">
        <w:rPr>
          <w:sz w:val="22"/>
          <w:szCs w:val="22"/>
        </w:rPr>
        <w:t xml:space="preserve">Wykres </w:t>
      </w:r>
      <w:r w:rsidRPr="00F46E77">
        <w:rPr>
          <w:sz w:val="22"/>
          <w:szCs w:val="22"/>
        </w:rPr>
        <w:fldChar w:fldCharType="begin"/>
      </w:r>
      <w:r w:rsidRPr="00F46E77">
        <w:rPr>
          <w:sz w:val="22"/>
          <w:szCs w:val="22"/>
        </w:rPr>
        <w:instrText xml:space="preserve"> SEQ Wykres \* ARABIC </w:instrText>
      </w:r>
      <w:r w:rsidRPr="00F46E77">
        <w:rPr>
          <w:sz w:val="22"/>
          <w:szCs w:val="22"/>
        </w:rPr>
        <w:fldChar w:fldCharType="separate"/>
      </w:r>
      <w:r w:rsidR="00AD58C3">
        <w:rPr>
          <w:noProof/>
          <w:sz w:val="22"/>
          <w:szCs w:val="22"/>
        </w:rPr>
        <w:t>64</w:t>
      </w:r>
      <w:r w:rsidRPr="00F46E77">
        <w:rPr>
          <w:sz w:val="22"/>
          <w:szCs w:val="22"/>
        </w:rPr>
        <w:fldChar w:fldCharType="end"/>
      </w:r>
      <w:r w:rsidRPr="00F46E77">
        <w:rPr>
          <w:sz w:val="22"/>
          <w:szCs w:val="22"/>
        </w:rPr>
        <w:t>.</w:t>
      </w:r>
      <w:r w:rsidRPr="00F46E77">
        <w:rPr>
          <w:rFonts w:eastAsiaTheme="minorEastAsia" w:hAnsi="Times New Roman"/>
          <w:bCs/>
          <w:color w:val="000000"/>
          <w:kern w:val="24"/>
          <w:sz w:val="22"/>
          <w:szCs w:val="22"/>
          <w:lang w:val="en-US" w:eastAsia="pl-PL"/>
        </w:rPr>
        <w:t xml:space="preserve"> </w:t>
      </w:r>
      <w:r w:rsidRPr="00F46E77">
        <w:rPr>
          <w:bCs/>
          <w:sz w:val="22"/>
          <w:szCs w:val="22"/>
          <w:lang w:val="en-US"/>
        </w:rPr>
        <w:t>Turyści korzystający z noclegów na 1000 ludności w latach 2013 i 2019</w:t>
      </w:r>
      <w:bookmarkEnd w:id="185"/>
    </w:p>
    <w:p w14:paraId="201D649D" w14:textId="77777777" w:rsidR="00923447" w:rsidRDefault="00923447" w:rsidP="00344CB1">
      <w:pPr>
        <w:spacing w:after="0" w:line="240" w:lineRule="auto"/>
        <w:jc w:val="center"/>
        <w:rPr>
          <w:rFonts w:cs="Arial"/>
        </w:rPr>
      </w:pPr>
      <w:r>
        <w:rPr>
          <w:noProof/>
          <w:lang w:eastAsia="pl-PL"/>
        </w:rPr>
        <w:drawing>
          <wp:inline distT="0" distB="0" distL="0" distR="0" wp14:anchorId="2D3F6659" wp14:editId="1D615DA7">
            <wp:extent cx="4274185" cy="2463421"/>
            <wp:effectExtent l="0" t="0" r="12065" b="13335"/>
            <wp:docPr id="129" name="Wykres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475058A6" w14:textId="77777777" w:rsidR="00344CB1" w:rsidRDefault="00344CB1" w:rsidP="00344CB1">
      <w:pPr>
        <w:spacing w:after="0" w:line="240" w:lineRule="auto"/>
        <w:jc w:val="center"/>
        <w:rPr>
          <w:rFonts w:cs="Arial"/>
        </w:rPr>
      </w:pPr>
      <w:r w:rsidRPr="0091031D">
        <w:rPr>
          <w:i/>
          <w:sz w:val="20"/>
          <w:szCs w:val="20"/>
        </w:rPr>
        <w:t>źródło: opracowanie własne na podstawie danych GUS</w:t>
      </w:r>
    </w:p>
    <w:p w14:paraId="22A99F39" w14:textId="2544B07C" w:rsidR="00923447" w:rsidRDefault="00923447" w:rsidP="00923447">
      <w:pPr>
        <w:jc w:val="both"/>
        <w:rPr>
          <w:rFonts w:cs="Arial"/>
        </w:rPr>
      </w:pPr>
    </w:p>
    <w:p w14:paraId="57334D6D" w14:textId="0890495C" w:rsidR="00F46E77" w:rsidRDefault="00F46E77">
      <w:pPr>
        <w:rPr>
          <w:rFonts w:cs="Arial"/>
        </w:rPr>
      </w:pPr>
      <w:r>
        <w:rPr>
          <w:rFonts w:cs="Arial"/>
        </w:rPr>
        <w:br w:type="page"/>
      </w:r>
    </w:p>
    <w:p w14:paraId="2853938C" w14:textId="41A8B49C" w:rsidR="00F46E77" w:rsidRPr="00F46E77" w:rsidRDefault="00F46E77" w:rsidP="00F46E77">
      <w:pPr>
        <w:pStyle w:val="Legenda"/>
        <w:rPr>
          <w:sz w:val="22"/>
          <w:szCs w:val="22"/>
          <w:lang w:val="pl-PL"/>
        </w:rPr>
      </w:pPr>
      <w:bookmarkStart w:id="186" w:name="_Toc73516127"/>
      <w:r w:rsidRPr="00F46E77">
        <w:rPr>
          <w:sz w:val="22"/>
          <w:szCs w:val="22"/>
        </w:rPr>
        <w:lastRenderedPageBreak/>
        <w:t xml:space="preserve">Wykres </w:t>
      </w:r>
      <w:r w:rsidRPr="00F46E77">
        <w:rPr>
          <w:sz w:val="22"/>
          <w:szCs w:val="22"/>
        </w:rPr>
        <w:fldChar w:fldCharType="begin"/>
      </w:r>
      <w:r w:rsidRPr="00F46E77">
        <w:rPr>
          <w:sz w:val="22"/>
          <w:szCs w:val="22"/>
        </w:rPr>
        <w:instrText xml:space="preserve"> SEQ Wykres \* ARABIC </w:instrText>
      </w:r>
      <w:r w:rsidRPr="00F46E77">
        <w:rPr>
          <w:sz w:val="22"/>
          <w:szCs w:val="22"/>
        </w:rPr>
        <w:fldChar w:fldCharType="separate"/>
      </w:r>
      <w:r w:rsidR="00AD58C3">
        <w:rPr>
          <w:noProof/>
          <w:sz w:val="22"/>
          <w:szCs w:val="22"/>
        </w:rPr>
        <w:t>65</w:t>
      </w:r>
      <w:r w:rsidRPr="00F46E77">
        <w:rPr>
          <w:sz w:val="22"/>
          <w:szCs w:val="22"/>
        </w:rPr>
        <w:fldChar w:fldCharType="end"/>
      </w:r>
      <w:r w:rsidRPr="00F46E77">
        <w:rPr>
          <w:sz w:val="22"/>
          <w:szCs w:val="22"/>
        </w:rPr>
        <w:t>.</w:t>
      </w:r>
      <w:r w:rsidRPr="00F46E77">
        <w:rPr>
          <w:rFonts w:eastAsiaTheme="minorEastAsia" w:hAnsi="Times New Roman"/>
          <w:bCs/>
          <w:color w:val="000000"/>
          <w:kern w:val="24"/>
          <w:sz w:val="22"/>
          <w:szCs w:val="22"/>
          <w:lang w:eastAsia="pl-PL"/>
        </w:rPr>
        <w:t xml:space="preserve"> </w:t>
      </w:r>
      <w:r w:rsidRPr="00F46E77">
        <w:rPr>
          <w:bCs/>
          <w:sz w:val="22"/>
          <w:szCs w:val="22"/>
          <w:lang w:val="pl-PL"/>
        </w:rPr>
        <w:t>Turyści korzystający z noclegów  na 1000 ludności w Olsztynie w latach 2013-2019</w:t>
      </w:r>
      <w:bookmarkEnd w:id="186"/>
    </w:p>
    <w:p w14:paraId="118294A1" w14:textId="77777777" w:rsidR="00344CB1" w:rsidRDefault="00923447" w:rsidP="00344CB1">
      <w:pPr>
        <w:spacing w:after="0" w:line="240" w:lineRule="auto"/>
        <w:jc w:val="center"/>
        <w:rPr>
          <w:i/>
          <w:sz w:val="20"/>
          <w:szCs w:val="20"/>
        </w:rPr>
      </w:pPr>
      <w:r>
        <w:rPr>
          <w:noProof/>
          <w:lang w:eastAsia="pl-PL"/>
        </w:rPr>
        <w:drawing>
          <wp:inline distT="0" distB="0" distL="0" distR="0" wp14:anchorId="4513F7EF" wp14:editId="44E87A4B">
            <wp:extent cx="4278573" cy="2006221"/>
            <wp:effectExtent l="0" t="0" r="8255" b="13335"/>
            <wp:docPr id="128" name="Wykres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r w:rsidR="00344CB1" w:rsidRPr="00344CB1">
        <w:rPr>
          <w:i/>
          <w:sz w:val="20"/>
          <w:szCs w:val="20"/>
        </w:rPr>
        <w:t xml:space="preserve"> </w:t>
      </w:r>
    </w:p>
    <w:p w14:paraId="4F878848" w14:textId="1CA21815" w:rsidR="00344CB1" w:rsidRDefault="00344CB1" w:rsidP="00344CB1">
      <w:pPr>
        <w:spacing w:after="0" w:line="240" w:lineRule="auto"/>
        <w:jc w:val="center"/>
        <w:rPr>
          <w:rFonts w:cs="Arial"/>
        </w:rPr>
      </w:pPr>
      <w:r w:rsidRPr="0091031D">
        <w:rPr>
          <w:i/>
          <w:sz w:val="20"/>
          <w:szCs w:val="20"/>
        </w:rPr>
        <w:t>źródło: opracowanie własne na podstawie danych GUS</w:t>
      </w:r>
    </w:p>
    <w:p w14:paraId="604E0C6C" w14:textId="77777777" w:rsidR="00923447" w:rsidRDefault="00923447" w:rsidP="00923447">
      <w:pPr>
        <w:jc w:val="center"/>
        <w:rPr>
          <w:rFonts w:cs="Arial"/>
        </w:rPr>
      </w:pPr>
    </w:p>
    <w:p w14:paraId="491E443B" w14:textId="4A62D08E" w:rsidR="00E72F21" w:rsidRDefault="00432322" w:rsidP="00E72F21">
      <w:pPr>
        <w:pStyle w:val="Nagwek3"/>
      </w:pPr>
      <w:bookmarkStart w:id="187" w:name="_Toc73534917"/>
      <w:r>
        <w:t>3.1.</w:t>
      </w:r>
      <w:r w:rsidR="008D0C2D">
        <w:t>3</w:t>
      </w:r>
      <w:r>
        <w:t xml:space="preserve"> </w:t>
      </w:r>
      <w:r w:rsidR="00E72F21">
        <w:t>Rolnictwo i łowiectwo</w:t>
      </w:r>
      <w:bookmarkEnd w:id="187"/>
    </w:p>
    <w:p w14:paraId="292C54B7" w14:textId="3247B4C1" w:rsidR="00E72F21" w:rsidRDefault="00CF183E" w:rsidP="00CF183E">
      <w:pPr>
        <w:jc w:val="both"/>
        <w:rPr>
          <w:rFonts w:eastAsiaTheme="majorEastAsia" w:cstheme="majorBidi"/>
          <w:color w:val="000000" w:themeColor="text1"/>
        </w:rPr>
      </w:pPr>
      <w:r>
        <w:rPr>
          <w:rFonts w:eastAsiaTheme="majorEastAsia" w:cstheme="majorBidi"/>
          <w:color w:val="000000" w:themeColor="text1"/>
        </w:rPr>
        <w:t xml:space="preserve">Największą liczbę podmiotów sekcji A obejmującej działalność w obszarze rolnictwa, leśnictwa, łowiectwa i rybactwa w roku 2019 notuje się w Białymstoku (217 podmiotów). W Olsztynie zarejestrowano 154 podmiotów (mniej o 19 firm w roku 2019 niż w roku 2013). </w:t>
      </w:r>
      <w:r w:rsidR="00AB2B8C">
        <w:rPr>
          <w:rFonts w:eastAsiaTheme="majorEastAsia" w:cstheme="majorBidi"/>
          <w:color w:val="000000" w:themeColor="text1"/>
        </w:rPr>
        <w:t>Analizując poziom udziału podmiotów sekcji A w liczbie przedsiębiorstw ogółem na obszarze omawianych miast spadł nieznacznie w Olsztynie oraz w Białymstoku</w:t>
      </w:r>
      <w:r w:rsidR="005D72AD">
        <w:rPr>
          <w:rFonts w:eastAsiaTheme="majorEastAsia" w:cstheme="majorBidi"/>
          <w:color w:val="000000" w:themeColor="text1"/>
        </w:rPr>
        <w:t xml:space="preserve">, w Kielcach i Lublinie pozostaje bez zmian. Jedynie </w:t>
      </w:r>
      <w:r w:rsidR="005D72AD">
        <w:rPr>
          <w:rFonts w:eastAsiaTheme="majorEastAsia" w:cstheme="majorBidi"/>
          <w:color w:val="000000" w:themeColor="text1"/>
        </w:rPr>
        <w:br/>
        <w:t>w Rzeszowie</w:t>
      </w:r>
      <w:r w:rsidR="00AB2B8C">
        <w:rPr>
          <w:rFonts w:eastAsiaTheme="majorEastAsia" w:cstheme="majorBidi"/>
          <w:color w:val="000000" w:themeColor="text1"/>
        </w:rPr>
        <w:t xml:space="preserve"> </w:t>
      </w:r>
      <w:r w:rsidR="005D72AD">
        <w:rPr>
          <w:rFonts w:eastAsiaTheme="majorEastAsia" w:cstheme="majorBidi"/>
          <w:color w:val="000000" w:themeColor="text1"/>
        </w:rPr>
        <w:t>wzrost podmiotów był dwukrotnie wyższy w roku 2019 w porównaniu do danych za rok 2013 - 63 firm w roku 2013 oraz 125 przedsiębiorstw w badanym 2019 roku.</w:t>
      </w:r>
    </w:p>
    <w:p w14:paraId="312A8579" w14:textId="335D801E" w:rsidR="00424FC5" w:rsidRPr="00424FC5" w:rsidRDefault="00424FC5" w:rsidP="00424FC5">
      <w:pPr>
        <w:pStyle w:val="Legenda"/>
        <w:rPr>
          <w:sz w:val="22"/>
          <w:szCs w:val="22"/>
          <w:lang w:val="pl-PL"/>
        </w:rPr>
      </w:pPr>
      <w:bookmarkStart w:id="188" w:name="_Toc73516128"/>
      <w:r w:rsidRPr="00424FC5">
        <w:rPr>
          <w:sz w:val="22"/>
          <w:szCs w:val="22"/>
        </w:rPr>
        <w:t xml:space="preserve">Wykres </w:t>
      </w:r>
      <w:r w:rsidRPr="00424FC5">
        <w:rPr>
          <w:sz w:val="22"/>
          <w:szCs w:val="22"/>
        </w:rPr>
        <w:fldChar w:fldCharType="begin"/>
      </w:r>
      <w:r w:rsidRPr="00424FC5">
        <w:rPr>
          <w:sz w:val="22"/>
          <w:szCs w:val="22"/>
        </w:rPr>
        <w:instrText xml:space="preserve"> SEQ Wykres \* ARABIC </w:instrText>
      </w:r>
      <w:r w:rsidRPr="00424FC5">
        <w:rPr>
          <w:sz w:val="22"/>
          <w:szCs w:val="22"/>
        </w:rPr>
        <w:fldChar w:fldCharType="separate"/>
      </w:r>
      <w:r w:rsidR="00AD58C3">
        <w:rPr>
          <w:noProof/>
          <w:sz w:val="22"/>
          <w:szCs w:val="22"/>
        </w:rPr>
        <w:t>66</w:t>
      </w:r>
      <w:r w:rsidRPr="00424FC5">
        <w:rPr>
          <w:sz w:val="22"/>
          <w:szCs w:val="22"/>
        </w:rPr>
        <w:fldChar w:fldCharType="end"/>
      </w:r>
      <w:r w:rsidRPr="00424FC5">
        <w:rPr>
          <w:sz w:val="22"/>
          <w:szCs w:val="22"/>
        </w:rPr>
        <w:t xml:space="preserve">. </w:t>
      </w:r>
      <w:r w:rsidRPr="00424FC5">
        <w:rPr>
          <w:sz w:val="22"/>
          <w:szCs w:val="22"/>
          <w:lang w:val="en-US"/>
        </w:rPr>
        <w:t>Udział podmiotów sekcji A - rolnictwo, leśnictwo, łowiectwo, rybactwo w liczbie przedsiębiorst</w:t>
      </w:r>
      <w:r w:rsidRPr="00424FC5">
        <w:rPr>
          <w:sz w:val="22"/>
          <w:szCs w:val="22"/>
          <w:lang w:val="pl-PL"/>
        </w:rPr>
        <w:t>w</w:t>
      </w:r>
      <w:r w:rsidRPr="00424FC5">
        <w:rPr>
          <w:sz w:val="22"/>
          <w:szCs w:val="22"/>
          <w:lang w:val="en-US"/>
        </w:rPr>
        <w:t xml:space="preserve"> ogółem</w:t>
      </w:r>
      <w:r w:rsidRPr="00424FC5">
        <w:rPr>
          <w:sz w:val="22"/>
          <w:szCs w:val="22"/>
          <w:lang w:val="pl-PL"/>
        </w:rPr>
        <w:t xml:space="preserve"> w latach 2013 i 2019</w:t>
      </w:r>
      <w:bookmarkEnd w:id="188"/>
    </w:p>
    <w:p w14:paraId="24BABCAF" w14:textId="77777777" w:rsidR="00E72F21" w:rsidRDefault="00AB2B8C" w:rsidP="00AB2B8C">
      <w:pPr>
        <w:spacing w:after="0" w:line="240" w:lineRule="auto"/>
        <w:jc w:val="center"/>
        <w:rPr>
          <w:rFonts w:eastAsiaTheme="majorEastAsia" w:cstheme="majorBidi"/>
          <w:color w:val="000000" w:themeColor="text1"/>
        </w:rPr>
      </w:pPr>
      <w:r>
        <w:rPr>
          <w:noProof/>
          <w:lang w:eastAsia="pl-PL"/>
        </w:rPr>
        <w:drawing>
          <wp:inline distT="0" distB="0" distL="0" distR="0" wp14:anchorId="6D9E5D08" wp14:editId="4AA332CE">
            <wp:extent cx="4238625" cy="2304288"/>
            <wp:effectExtent l="0" t="0" r="9525" b="1270"/>
            <wp:docPr id="87" name="Wykres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2AE55500" w14:textId="77777777" w:rsidR="00E72F21" w:rsidRDefault="00E72F21" w:rsidP="00AB2B8C">
      <w:pPr>
        <w:spacing w:after="0" w:line="240" w:lineRule="auto"/>
        <w:jc w:val="center"/>
      </w:pPr>
      <w:r w:rsidRPr="0091031D">
        <w:rPr>
          <w:i/>
          <w:sz w:val="20"/>
          <w:szCs w:val="20"/>
        </w:rPr>
        <w:t>źródło: opracowanie własne na podstawie danych GUS</w:t>
      </w:r>
    </w:p>
    <w:p w14:paraId="3AFAA928" w14:textId="77777777" w:rsidR="00E72F21" w:rsidRDefault="00E72F21" w:rsidP="00D66517">
      <w:pPr>
        <w:rPr>
          <w:rFonts w:eastAsiaTheme="majorEastAsia" w:cstheme="majorBidi"/>
          <w:color w:val="000000" w:themeColor="text1"/>
        </w:rPr>
      </w:pPr>
    </w:p>
    <w:p w14:paraId="3D383A4C" w14:textId="4D09597D" w:rsidR="005D72AD" w:rsidRDefault="005D72AD" w:rsidP="00DC4DE0">
      <w:pPr>
        <w:jc w:val="both"/>
        <w:rPr>
          <w:rFonts w:eastAsiaTheme="majorEastAsia" w:cstheme="majorBidi"/>
          <w:color w:val="000000" w:themeColor="text1"/>
        </w:rPr>
      </w:pPr>
      <w:r>
        <w:rPr>
          <w:rFonts w:eastAsiaTheme="majorEastAsia" w:cstheme="majorBidi"/>
          <w:color w:val="000000" w:themeColor="text1"/>
        </w:rPr>
        <w:t>We wszystkich gminach MOF Olsztyna zarejestrowano spadek udziału podmiotów sekcji A w ogólnej liczbie przedsiębiorstw</w:t>
      </w:r>
      <w:r w:rsidR="00DC4DE0">
        <w:rPr>
          <w:rFonts w:eastAsiaTheme="majorEastAsia" w:cstheme="majorBidi"/>
          <w:color w:val="000000" w:themeColor="text1"/>
        </w:rPr>
        <w:t xml:space="preserve"> w roku 2019 względem danych za rok 2013. Najwyższy spadek zanotowano </w:t>
      </w:r>
      <w:r w:rsidR="00DC4DE0">
        <w:rPr>
          <w:rFonts w:eastAsiaTheme="majorEastAsia" w:cstheme="majorBidi"/>
          <w:color w:val="000000" w:themeColor="text1"/>
        </w:rPr>
        <w:br/>
        <w:t xml:space="preserve">w gminie Purda (mniej o 3,5% w roku 2019 w porównaniu do roku 2013). Wśród gmin MOF Olsztyna największą liczbę firm zarejestrowanych w </w:t>
      </w:r>
      <w:r w:rsidR="00D3309E">
        <w:rPr>
          <w:rFonts w:eastAsiaTheme="majorEastAsia" w:cstheme="majorBidi"/>
          <w:color w:val="000000" w:themeColor="text1"/>
        </w:rPr>
        <w:t xml:space="preserve">sekcji A, w roku 2109 zarejestrowano w Olsztynie (154 podmiotów) oraz w Gietrzwałdzie (48 </w:t>
      </w:r>
      <w:r w:rsidR="00900EEA">
        <w:rPr>
          <w:rFonts w:eastAsiaTheme="majorEastAsia" w:cstheme="majorBidi"/>
          <w:color w:val="000000" w:themeColor="text1"/>
        </w:rPr>
        <w:t>przedsiębiorstw</w:t>
      </w:r>
      <w:r w:rsidR="00D3309E">
        <w:rPr>
          <w:rFonts w:eastAsiaTheme="majorEastAsia" w:cstheme="majorBidi"/>
          <w:color w:val="000000" w:themeColor="text1"/>
        </w:rPr>
        <w:t>).</w:t>
      </w:r>
    </w:p>
    <w:p w14:paraId="7ABAF0FD" w14:textId="5C343F1A" w:rsidR="00404DEF" w:rsidRDefault="00404DEF">
      <w:pPr>
        <w:rPr>
          <w:rFonts w:eastAsiaTheme="majorEastAsia" w:cstheme="majorBidi"/>
          <w:color w:val="000000" w:themeColor="text1"/>
        </w:rPr>
      </w:pPr>
      <w:r>
        <w:rPr>
          <w:rFonts w:eastAsiaTheme="majorEastAsia" w:cstheme="majorBidi"/>
          <w:color w:val="000000" w:themeColor="text1"/>
        </w:rPr>
        <w:br w:type="page"/>
      </w:r>
    </w:p>
    <w:p w14:paraId="38B06460" w14:textId="70A93FFB" w:rsidR="00404DEF" w:rsidRPr="004A1CFE" w:rsidRDefault="00404DEF" w:rsidP="00404DEF">
      <w:pPr>
        <w:pStyle w:val="Legenda"/>
        <w:rPr>
          <w:rFonts w:eastAsiaTheme="majorEastAsia" w:cstheme="majorBidi"/>
          <w:color w:val="000000" w:themeColor="text1"/>
          <w:sz w:val="22"/>
          <w:szCs w:val="22"/>
        </w:rPr>
      </w:pPr>
      <w:bookmarkStart w:id="189" w:name="_Toc73534983"/>
      <w:r>
        <w:lastRenderedPageBreak/>
        <w:t xml:space="preserve">Tabela </w:t>
      </w:r>
      <w:r>
        <w:fldChar w:fldCharType="begin"/>
      </w:r>
      <w:r>
        <w:instrText xml:space="preserve"> SEQ Tabela \* ARABIC </w:instrText>
      </w:r>
      <w:r>
        <w:fldChar w:fldCharType="separate"/>
      </w:r>
      <w:r w:rsidR="00AD58C3">
        <w:rPr>
          <w:noProof/>
        </w:rPr>
        <w:t>20</w:t>
      </w:r>
      <w:r>
        <w:fldChar w:fldCharType="end"/>
      </w:r>
      <w:r>
        <w:t xml:space="preserve">. </w:t>
      </w:r>
      <w:r w:rsidRPr="004A1CFE">
        <w:rPr>
          <w:sz w:val="22"/>
          <w:szCs w:val="22"/>
        </w:rPr>
        <w:t xml:space="preserve">Podmioty gospodarcze sekcji </w:t>
      </w:r>
      <w:r>
        <w:rPr>
          <w:sz w:val="22"/>
          <w:szCs w:val="22"/>
        </w:rPr>
        <w:t>A</w:t>
      </w:r>
      <w:r w:rsidRPr="004A1CFE">
        <w:rPr>
          <w:sz w:val="22"/>
          <w:szCs w:val="22"/>
        </w:rPr>
        <w:t xml:space="preserve"> (</w:t>
      </w:r>
      <w:r>
        <w:rPr>
          <w:sz w:val="22"/>
          <w:szCs w:val="22"/>
        </w:rPr>
        <w:t>rolnictwo, leśnictwo, łowiectwo, rybactwo</w:t>
      </w:r>
      <w:r w:rsidRPr="004A1CFE">
        <w:rPr>
          <w:sz w:val="22"/>
          <w:szCs w:val="22"/>
        </w:rPr>
        <w:t xml:space="preserve">) w </w:t>
      </w:r>
      <w:r>
        <w:rPr>
          <w:sz w:val="22"/>
          <w:szCs w:val="22"/>
        </w:rPr>
        <w:t>latach</w:t>
      </w:r>
      <w:r w:rsidRPr="004A1CFE">
        <w:rPr>
          <w:sz w:val="22"/>
          <w:szCs w:val="22"/>
        </w:rPr>
        <w:t xml:space="preserve"> 2013 </w:t>
      </w:r>
      <w:r>
        <w:rPr>
          <w:sz w:val="22"/>
          <w:szCs w:val="22"/>
        </w:rPr>
        <w:br/>
      </w:r>
      <w:r w:rsidRPr="004A1CFE">
        <w:rPr>
          <w:sz w:val="22"/>
          <w:szCs w:val="22"/>
        </w:rPr>
        <w:t>i 2019</w:t>
      </w:r>
      <w:bookmarkEnd w:id="189"/>
    </w:p>
    <w:tbl>
      <w:tblPr>
        <w:tblW w:w="8080" w:type="dxa"/>
        <w:jc w:val="center"/>
        <w:tblCellMar>
          <w:left w:w="70" w:type="dxa"/>
          <w:right w:w="70" w:type="dxa"/>
        </w:tblCellMar>
        <w:tblLook w:val="04A0" w:firstRow="1" w:lastRow="0" w:firstColumn="1" w:lastColumn="0" w:noHBand="0" w:noVBand="1"/>
      </w:tblPr>
      <w:tblGrid>
        <w:gridCol w:w="2380"/>
        <w:gridCol w:w="1448"/>
        <w:gridCol w:w="1432"/>
        <w:gridCol w:w="1403"/>
        <w:gridCol w:w="1417"/>
      </w:tblGrid>
      <w:tr w:rsidR="007C02A9" w:rsidRPr="007C02A9" w14:paraId="14AFD2F1" w14:textId="77777777" w:rsidTr="008E1D26">
        <w:trPr>
          <w:trHeight w:val="811"/>
          <w:jc w:val="center"/>
        </w:trPr>
        <w:tc>
          <w:tcPr>
            <w:tcW w:w="2380" w:type="dxa"/>
            <w:vMerge w:val="restart"/>
            <w:tcBorders>
              <w:top w:val="nil"/>
              <w:left w:val="nil"/>
              <w:bottom w:val="nil"/>
              <w:right w:val="nil"/>
            </w:tcBorders>
            <w:shd w:val="clear" w:color="000000" w:fill="FFFFFF"/>
            <w:vAlign w:val="center"/>
            <w:hideMark/>
          </w:tcPr>
          <w:p w14:paraId="31215C7D" w14:textId="77777777" w:rsidR="007C02A9" w:rsidRPr="007C02A9" w:rsidRDefault="007C02A9" w:rsidP="007C02A9">
            <w:pPr>
              <w:spacing w:after="0" w:line="240" w:lineRule="auto"/>
              <w:jc w:val="center"/>
              <w:rPr>
                <w:rFonts w:ascii="Calibri" w:eastAsia="Times New Roman" w:hAnsi="Calibri" w:cs="Times New Roman"/>
                <w:color w:val="000000"/>
                <w:sz w:val="20"/>
                <w:szCs w:val="20"/>
                <w:lang w:eastAsia="pl-PL"/>
              </w:rPr>
            </w:pPr>
            <w:r w:rsidRPr="007C02A9">
              <w:rPr>
                <w:rFonts w:ascii="Calibri" w:eastAsia="Times New Roman" w:hAnsi="Calibri" w:cs="Times New Roman"/>
                <w:color w:val="000000"/>
                <w:sz w:val="20"/>
                <w:szCs w:val="20"/>
                <w:lang w:eastAsia="pl-PL"/>
              </w:rPr>
              <w:t> </w:t>
            </w:r>
          </w:p>
        </w:tc>
        <w:tc>
          <w:tcPr>
            <w:tcW w:w="2880" w:type="dxa"/>
            <w:gridSpan w:val="2"/>
            <w:tcBorders>
              <w:top w:val="single" w:sz="4" w:space="0" w:color="auto"/>
              <w:left w:val="single" w:sz="4" w:space="0" w:color="auto"/>
              <w:bottom w:val="single" w:sz="4" w:space="0" w:color="auto"/>
              <w:right w:val="single" w:sz="4" w:space="0" w:color="auto"/>
            </w:tcBorders>
            <w:shd w:val="clear" w:color="auto" w:fill="92D050"/>
            <w:vAlign w:val="center"/>
            <w:hideMark/>
          </w:tcPr>
          <w:p w14:paraId="67E5E9F2" w14:textId="77777777" w:rsidR="007C02A9" w:rsidRPr="007C02A9" w:rsidRDefault="007C02A9" w:rsidP="008E1D26">
            <w:pPr>
              <w:spacing w:after="0" w:line="240" w:lineRule="auto"/>
              <w:jc w:val="center"/>
              <w:rPr>
                <w:rFonts w:ascii="Calibri" w:eastAsia="Times New Roman" w:hAnsi="Calibri" w:cs="Times New Roman"/>
                <w:b/>
                <w:bCs/>
                <w:color w:val="000000"/>
                <w:sz w:val="20"/>
                <w:szCs w:val="20"/>
                <w:lang w:eastAsia="pl-PL"/>
              </w:rPr>
            </w:pPr>
            <w:r w:rsidRPr="007C02A9">
              <w:rPr>
                <w:rFonts w:ascii="Calibri" w:eastAsia="Times New Roman" w:hAnsi="Calibri" w:cs="Times New Roman"/>
                <w:b/>
                <w:bCs/>
                <w:color w:val="000000"/>
                <w:sz w:val="20"/>
                <w:szCs w:val="20"/>
                <w:lang w:eastAsia="pl-PL"/>
              </w:rPr>
              <w:t>Sekcja A (rolnictwo, leśnictwo, łowiectwo, rybactwo)</w:t>
            </w:r>
          </w:p>
        </w:tc>
        <w:tc>
          <w:tcPr>
            <w:tcW w:w="2820" w:type="dxa"/>
            <w:gridSpan w:val="2"/>
            <w:tcBorders>
              <w:top w:val="single" w:sz="4" w:space="0" w:color="auto"/>
              <w:left w:val="nil"/>
              <w:bottom w:val="single" w:sz="4" w:space="0" w:color="auto"/>
              <w:right w:val="single" w:sz="4" w:space="0" w:color="auto"/>
            </w:tcBorders>
            <w:shd w:val="clear" w:color="auto" w:fill="92D050"/>
            <w:vAlign w:val="center"/>
            <w:hideMark/>
          </w:tcPr>
          <w:p w14:paraId="7A4CCE24" w14:textId="77777777" w:rsidR="00BF7C39" w:rsidRDefault="007C02A9" w:rsidP="007C02A9">
            <w:pPr>
              <w:spacing w:after="0" w:line="240" w:lineRule="auto"/>
              <w:jc w:val="center"/>
              <w:rPr>
                <w:rFonts w:ascii="Calibri" w:eastAsia="Times New Roman" w:hAnsi="Calibri" w:cs="Times New Roman"/>
                <w:b/>
                <w:bCs/>
                <w:sz w:val="20"/>
                <w:szCs w:val="20"/>
                <w:lang w:eastAsia="pl-PL"/>
              </w:rPr>
            </w:pPr>
            <w:r w:rsidRPr="007C02A9">
              <w:rPr>
                <w:rFonts w:ascii="Calibri" w:eastAsia="Times New Roman" w:hAnsi="Calibri" w:cs="Times New Roman"/>
                <w:b/>
                <w:bCs/>
                <w:sz w:val="20"/>
                <w:szCs w:val="20"/>
                <w:lang w:eastAsia="pl-PL"/>
              </w:rPr>
              <w:t xml:space="preserve">Udział % podmiotów sekcji A </w:t>
            </w:r>
          </w:p>
          <w:p w14:paraId="6F8D2420" w14:textId="77777777" w:rsidR="007C02A9" w:rsidRPr="007C02A9" w:rsidRDefault="007C02A9" w:rsidP="007C02A9">
            <w:pPr>
              <w:spacing w:after="0" w:line="240" w:lineRule="auto"/>
              <w:jc w:val="center"/>
              <w:rPr>
                <w:rFonts w:ascii="Calibri" w:eastAsia="Times New Roman" w:hAnsi="Calibri" w:cs="Times New Roman"/>
                <w:b/>
                <w:bCs/>
                <w:sz w:val="20"/>
                <w:szCs w:val="20"/>
                <w:lang w:eastAsia="pl-PL"/>
              </w:rPr>
            </w:pPr>
            <w:r w:rsidRPr="007C02A9">
              <w:rPr>
                <w:rFonts w:ascii="Calibri" w:eastAsia="Times New Roman" w:hAnsi="Calibri" w:cs="Times New Roman"/>
                <w:b/>
                <w:bCs/>
                <w:sz w:val="20"/>
                <w:szCs w:val="20"/>
                <w:lang w:eastAsia="pl-PL"/>
              </w:rPr>
              <w:t>w liczbie przedsiębiorstw ogółem w latach 2013 i 2019</w:t>
            </w:r>
          </w:p>
        </w:tc>
      </w:tr>
      <w:tr w:rsidR="007C02A9" w:rsidRPr="007C02A9" w14:paraId="54BBB62E" w14:textId="77777777" w:rsidTr="008E1D26">
        <w:trPr>
          <w:trHeight w:val="300"/>
          <w:jc w:val="center"/>
        </w:trPr>
        <w:tc>
          <w:tcPr>
            <w:tcW w:w="2380" w:type="dxa"/>
            <w:vMerge/>
            <w:tcBorders>
              <w:top w:val="nil"/>
              <w:left w:val="nil"/>
              <w:bottom w:val="nil"/>
              <w:right w:val="nil"/>
            </w:tcBorders>
            <w:vAlign w:val="center"/>
            <w:hideMark/>
          </w:tcPr>
          <w:p w14:paraId="383C3002" w14:textId="77777777" w:rsidR="007C02A9" w:rsidRPr="007C02A9" w:rsidRDefault="007C02A9" w:rsidP="007C02A9">
            <w:pPr>
              <w:spacing w:after="0" w:line="240" w:lineRule="auto"/>
              <w:rPr>
                <w:rFonts w:ascii="Calibri" w:eastAsia="Times New Roman" w:hAnsi="Calibri" w:cs="Times New Roman"/>
                <w:color w:val="000000"/>
                <w:sz w:val="20"/>
                <w:szCs w:val="20"/>
                <w:lang w:eastAsia="pl-PL"/>
              </w:rPr>
            </w:pPr>
          </w:p>
        </w:tc>
        <w:tc>
          <w:tcPr>
            <w:tcW w:w="1448" w:type="dxa"/>
            <w:tcBorders>
              <w:top w:val="nil"/>
              <w:left w:val="single" w:sz="4" w:space="0" w:color="auto"/>
              <w:bottom w:val="single" w:sz="4" w:space="0" w:color="auto"/>
              <w:right w:val="single" w:sz="4" w:space="0" w:color="auto"/>
            </w:tcBorders>
            <w:shd w:val="clear" w:color="auto" w:fill="92D050"/>
            <w:vAlign w:val="center"/>
            <w:hideMark/>
          </w:tcPr>
          <w:p w14:paraId="780A8900" w14:textId="77777777" w:rsidR="007C02A9" w:rsidRPr="007C02A9" w:rsidRDefault="007C02A9" w:rsidP="00BF7C39">
            <w:pPr>
              <w:spacing w:after="0" w:line="240" w:lineRule="auto"/>
              <w:jc w:val="center"/>
              <w:rPr>
                <w:rFonts w:ascii="Calibri" w:eastAsia="Times New Roman" w:hAnsi="Calibri" w:cs="Times New Roman"/>
                <w:b/>
                <w:bCs/>
                <w:color w:val="000000"/>
                <w:sz w:val="20"/>
                <w:szCs w:val="20"/>
                <w:lang w:eastAsia="pl-PL"/>
              </w:rPr>
            </w:pPr>
            <w:r w:rsidRPr="007C02A9">
              <w:rPr>
                <w:rFonts w:ascii="Calibri" w:eastAsia="Times New Roman" w:hAnsi="Calibri" w:cs="Times New Roman"/>
                <w:b/>
                <w:bCs/>
                <w:color w:val="000000"/>
                <w:sz w:val="20"/>
                <w:szCs w:val="20"/>
                <w:lang w:eastAsia="pl-PL"/>
              </w:rPr>
              <w:t>2013</w:t>
            </w:r>
          </w:p>
        </w:tc>
        <w:tc>
          <w:tcPr>
            <w:tcW w:w="1432" w:type="dxa"/>
            <w:tcBorders>
              <w:top w:val="nil"/>
              <w:left w:val="nil"/>
              <w:bottom w:val="single" w:sz="4" w:space="0" w:color="auto"/>
              <w:right w:val="single" w:sz="4" w:space="0" w:color="auto"/>
            </w:tcBorders>
            <w:shd w:val="clear" w:color="auto" w:fill="92D050"/>
            <w:vAlign w:val="center"/>
            <w:hideMark/>
          </w:tcPr>
          <w:p w14:paraId="4736C1C1" w14:textId="77777777" w:rsidR="007C02A9" w:rsidRPr="007C02A9" w:rsidRDefault="007C02A9" w:rsidP="00BF7C39">
            <w:pPr>
              <w:spacing w:after="0" w:line="240" w:lineRule="auto"/>
              <w:jc w:val="center"/>
              <w:rPr>
                <w:rFonts w:ascii="Calibri" w:eastAsia="Times New Roman" w:hAnsi="Calibri" w:cs="Times New Roman"/>
                <w:b/>
                <w:bCs/>
                <w:color w:val="000000"/>
                <w:sz w:val="20"/>
                <w:szCs w:val="20"/>
                <w:lang w:eastAsia="pl-PL"/>
              </w:rPr>
            </w:pPr>
            <w:r w:rsidRPr="007C02A9">
              <w:rPr>
                <w:rFonts w:ascii="Calibri" w:eastAsia="Times New Roman" w:hAnsi="Calibri" w:cs="Times New Roman"/>
                <w:b/>
                <w:bCs/>
                <w:color w:val="000000"/>
                <w:sz w:val="20"/>
                <w:szCs w:val="20"/>
                <w:lang w:eastAsia="pl-PL"/>
              </w:rPr>
              <w:t>2019</w:t>
            </w:r>
          </w:p>
        </w:tc>
        <w:tc>
          <w:tcPr>
            <w:tcW w:w="1403" w:type="dxa"/>
            <w:tcBorders>
              <w:top w:val="nil"/>
              <w:left w:val="nil"/>
              <w:bottom w:val="nil"/>
              <w:right w:val="single" w:sz="4" w:space="0" w:color="auto"/>
            </w:tcBorders>
            <w:shd w:val="clear" w:color="auto" w:fill="92D050"/>
            <w:noWrap/>
            <w:vAlign w:val="bottom"/>
            <w:hideMark/>
          </w:tcPr>
          <w:p w14:paraId="1AB3F397" w14:textId="77777777" w:rsidR="007C02A9" w:rsidRPr="007C02A9" w:rsidRDefault="007C02A9" w:rsidP="00BF7C39">
            <w:pPr>
              <w:spacing w:after="0" w:line="240" w:lineRule="auto"/>
              <w:jc w:val="center"/>
              <w:rPr>
                <w:rFonts w:ascii="Calibri" w:eastAsia="Times New Roman" w:hAnsi="Calibri" w:cs="Times New Roman"/>
                <w:b/>
                <w:bCs/>
                <w:sz w:val="20"/>
                <w:szCs w:val="20"/>
                <w:lang w:eastAsia="pl-PL"/>
              </w:rPr>
            </w:pPr>
            <w:r w:rsidRPr="007C02A9">
              <w:rPr>
                <w:rFonts w:ascii="Calibri" w:eastAsia="Times New Roman" w:hAnsi="Calibri" w:cs="Times New Roman"/>
                <w:b/>
                <w:bCs/>
                <w:sz w:val="20"/>
                <w:szCs w:val="20"/>
                <w:lang w:eastAsia="pl-PL"/>
              </w:rPr>
              <w:t>2013</w:t>
            </w:r>
          </w:p>
        </w:tc>
        <w:tc>
          <w:tcPr>
            <w:tcW w:w="1417" w:type="dxa"/>
            <w:tcBorders>
              <w:top w:val="nil"/>
              <w:left w:val="nil"/>
              <w:bottom w:val="nil"/>
              <w:right w:val="single" w:sz="4" w:space="0" w:color="auto"/>
            </w:tcBorders>
            <w:shd w:val="clear" w:color="auto" w:fill="92D050"/>
            <w:noWrap/>
            <w:vAlign w:val="bottom"/>
            <w:hideMark/>
          </w:tcPr>
          <w:p w14:paraId="04949F9B" w14:textId="77777777" w:rsidR="007C02A9" w:rsidRPr="007C02A9" w:rsidRDefault="007C02A9" w:rsidP="00BF7C39">
            <w:pPr>
              <w:spacing w:after="0" w:line="240" w:lineRule="auto"/>
              <w:jc w:val="center"/>
              <w:rPr>
                <w:rFonts w:ascii="Calibri" w:eastAsia="Times New Roman" w:hAnsi="Calibri" w:cs="Times New Roman"/>
                <w:b/>
                <w:bCs/>
                <w:sz w:val="20"/>
                <w:szCs w:val="20"/>
                <w:lang w:eastAsia="pl-PL"/>
              </w:rPr>
            </w:pPr>
            <w:r w:rsidRPr="007C02A9">
              <w:rPr>
                <w:rFonts w:ascii="Calibri" w:eastAsia="Times New Roman" w:hAnsi="Calibri" w:cs="Times New Roman"/>
                <w:b/>
                <w:bCs/>
                <w:sz w:val="20"/>
                <w:szCs w:val="20"/>
                <w:lang w:eastAsia="pl-PL"/>
              </w:rPr>
              <w:t>2019</w:t>
            </w:r>
          </w:p>
        </w:tc>
      </w:tr>
      <w:tr w:rsidR="007C02A9" w:rsidRPr="007C02A9" w14:paraId="140DA700" w14:textId="77777777" w:rsidTr="008E1D26">
        <w:trPr>
          <w:trHeight w:val="300"/>
          <w:jc w:val="center"/>
        </w:trPr>
        <w:tc>
          <w:tcPr>
            <w:tcW w:w="23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048D761" w14:textId="77777777" w:rsidR="007C02A9" w:rsidRPr="007C02A9" w:rsidRDefault="007C02A9" w:rsidP="007C02A9">
            <w:pPr>
              <w:spacing w:after="0" w:line="240" w:lineRule="auto"/>
              <w:rPr>
                <w:rFonts w:ascii="Calibri" w:eastAsia="Times New Roman" w:hAnsi="Calibri" w:cs="Times New Roman"/>
                <w:sz w:val="20"/>
                <w:szCs w:val="20"/>
                <w:lang w:eastAsia="pl-PL"/>
              </w:rPr>
            </w:pPr>
            <w:r w:rsidRPr="007C02A9">
              <w:rPr>
                <w:rFonts w:ascii="Calibri" w:eastAsia="Times New Roman" w:hAnsi="Calibri" w:cs="Times New Roman"/>
                <w:sz w:val="20"/>
                <w:szCs w:val="20"/>
                <w:lang w:eastAsia="pl-PL"/>
              </w:rPr>
              <w:t>WARMIŃSKO-MAZURSKIE</w:t>
            </w:r>
          </w:p>
        </w:tc>
        <w:tc>
          <w:tcPr>
            <w:tcW w:w="1448" w:type="dxa"/>
            <w:tcBorders>
              <w:top w:val="nil"/>
              <w:left w:val="nil"/>
              <w:bottom w:val="single" w:sz="4" w:space="0" w:color="auto"/>
              <w:right w:val="single" w:sz="4" w:space="0" w:color="auto"/>
            </w:tcBorders>
            <w:shd w:val="clear" w:color="000000" w:fill="FFFFFF"/>
            <w:noWrap/>
            <w:vAlign w:val="bottom"/>
            <w:hideMark/>
          </w:tcPr>
          <w:p w14:paraId="457B87D1" w14:textId="77777777" w:rsidR="007C02A9" w:rsidRPr="007C02A9" w:rsidRDefault="007C02A9" w:rsidP="007C02A9">
            <w:pPr>
              <w:spacing w:after="0" w:line="240" w:lineRule="auto"/>
              <w:jc w:val="right"/>
              <w:rPr>
                <w:rFonts w:ascii="Calibri" w:eastAsia="Times New Roman" w:hAnsi="Calibri" w:cs="Times New Roman"/>
                <w:sz w:val="20"/>
                <w:szCs w:val="20"/>
                <w:lang w:eastAsia="pl-PL"/>
              </w:rPr>
            </w:pPr>
            <w:r w:rsidRPr="007C02A9">
              <w:rPr>
                <w:rFonts w:ascii="Calibri" w:eastAsia="Times New Roman" w:hAnsi="Calibri" w:cs="Times New Roman"/>
                <w:sz w:val="20"/>
                <w:szCs w:val="20"/>
                <w:lang w:eastAsia="pl-PL"/>
              </w:rPr>
              <w:t>5 359</w:t>
            </w:r>
          </w:p>
        </w:tc>
        <w:tc>
          <w:tcPr>
            <w:tcW w:w="1432" w:type="dxa"/>
            <w:tcBorders>
              <w:top w:val="nil"/>
              <w:left w:val="nil"/>
              <w:bottom w:val="single" w:sz="4" w:space="0" w:color="auto"/>
              <w:right w:val="single" w:sz="4" w:space="0" w:color="auto"/>
            </w:tcBorders>
            <w:shd w:val="clear" w:color="000000" w:fill="FFFFFF"/>
            <w:noWrap/>
            <w:vAlign w:val="bottom"/>
            <w:hideMark/>
          </w:tcPr>
          <w:p w14:paraId="2F164620" w14:textId="77777777" w:rsidR="007C02A9" w:rsidRPr="007C02A9" w:rsidRDefault="007C02A9" w:rsidP="007C02A9">
            <w:pPr>
              <w:spacing w:after="0" w:line="240" w:lineRule="auto"/>
              <w:jc w:val="right"/>
              <w:rPr>
                <w:rFonts w:ascii="Calibri" w:eastAsia="Times New Roman" w:hAnsi="Calibri" w:cs="Times New Roman"/>
                <w:sz w:val="20"/>
                <w:szCs w:val="20"/>
                <w:lang w:eastAsia="pl-PL"/>
              </w:rPr>
            </w:pPr>
            <w:r w:rsidRPr="007C02A9">
              <w:rPr>
                <w:rFonts w:ascii="Calibri" w:eastAsia="Times New Roman" w:hAnsi="Calibri" w:cs="Times New Roman"/>
                <w:sz w:val="20"/>
                <w:szCs w:val="20"/>
                <w:lang w:eastAsia="pl-PL"/>
              </w:rPr>
              <w:t>4 109</w:t>
            </w:r>
          </w:p>
        </w:tc>
        <w:tc>
          <w:tcPr>
            <w:tcW w:w="1403" w:type="dxa"/>
            <w:tcBorders>
              <w:top w:val="single" w:sz="4" w:space="0" w:color="auto"/>
              <w:left w:val="nil"/>
              <w:bottom w:val="single" w:sz="4" w:space="0" w:color="auto"/>
              <w:right w:val="single" w:sz="4" w:space="0" w:color="auto"/>
            </w:tcBorders>
            <w:shd w:val="clear" w:color="000000" w:fill="FFFFFF"/>
            <w:noWrap/>
            <w:vAlign w:val="bottom"/>
            <w:hideMark/>
          </w:tcPr>
          <w:p w14:paraId="048D145E" w14:textId="77777777" w:rsidR="007C02A9" w:rsidRPr="007C02A9" w:rsidRDefault="007C02A9" w:rsidP="007C02A9">
            <w:pPr>
              <w:spacing w:after="0" w:line="240" w:lineRule="auto"/>
              <w:jc w:val="right"/>
              <w:rPr>
                <w:rFonts w:ascii="Calibri" w:eastAsia="Times New Roman" w:hAnsi="Calibri" w:cs="Times New Roman"/>
                <w:sz w:val="20"/>
                <w:szCs w:val="20"/>
                <w:lang w:eastAsia="pl-PL"/>
              </w:rPr>
            </w:pPr>
            <w:r w:rsidRPr="007C02A9">
              <w:rPr>
                <w:rFonts w:ascii="Calibri" w:eastAsia="Times New Roman" w:hAnsi="Calibri" w:cs="Times New Roman"/>
                <w:sz w:val="20"/>
                <w:szCs w:val="20"/>
                <w:lang w:eastAsia="pl-PL"/>
              </w:rPr>
              <w:t>4,4%</w:t>
            </w:r>
          </w:p>
        </w:tc>
        <w:tc>
          <w:tcPr>
            <w:tcW w:w="1417" w:type="dxa"/>
            <w:tcBorders>
              <w:top w:val="single" w:sz="4" w:space="0" w:color="auto"/>
              <w:left w:val="nil"/>
              <w:bottom w:val="single" w:sz="4" w:space="0" w:color="auto"/>
              <w:right w:val="single" w:sz="4" w:space="0" w:color="auto"/>
            </w:tcBorders>
            <w:shd w:val="clear" w:color="000000" w:fill="FFFFFF"/>
            <w:noWrap/>
            <w:vAlign w:val="bottom"/>
            <w:hideMark/>
          </w:tcPr>
          <w:p w14:paraId="33530C5A" w14:textId="77777777" w:rsidR="007C02A9" w:rsidRPr="007C02A9" w:rsidRDefault="007C02A9" w:rsidP="007C02A9">
            <w:pPr>
              <w:spacing w:after="0" w:line="240" w:lineRule="auto"/>
              <w:jc w:val="right"/>
              <w:rPr>
                <w:rFonts w:ascii="Calibri" w:eastAsia="Times New Roman" w:hAnsi="Calibri" w:cs="Times New Roman"/>
                <w:sz w:val="20"/>
                <w:szCs w:val="20"/>
                <w:lang w:eastAsia="pl-PL"/>
              </w:rPr>
            </w:pPr>
            <w:r w:rsidRPr="007C02A9">
              <w:rPr>
                <w:rFonts w:ascii="Calibri" w:eastAsia="Times New Roman" w:hAnsi="Calibri" w:cs="Times New Roman"/>
                <w:sz w:val="20"/>
                <w:szCs w:val="20"/>
                <w:lang w:eastAsia="pl-PL"/>
              </w:rPr>
              <w:t>3,1%</w:t>
            </w:r>
          </w:p>
        </w:tc>
      </w:tr>
      <w:tr w:rsidR="007C02A9" w:rsidRPr="007C02A9" w14:paraId="2836801E" w14:textId="77777777" w:rsidTr="008E1D26">
        <w:trPr>
          <w:trHeight w:val="300"/>
          <w:jc w:val="center"/>
        </w:trPr>
        <w:tc>
          <w:tcPr>
            <w:tcW w:w="2380" w:type="dxa"/>
            <w:tcBorders>
              <w:top w:val="nil"/>
              <w:left w:val="single" w:sz="4" w:space="0" w:color="auto"/>
              <w:bottom w:val="single" w:sz="4" w:space="0" w:color="auto"/>
              <w:right w:val="single" w:sz="4" w:space="0" w:color="auto"/>
            </w:tcBorders>
            <w:shd w:val="clear" w:color="000000" w:fill="FFFFFF"/>
            <w:noWrap/>
            <w:vAlign w:val="bottom"/>
            <w:hideMark/>
          </w:tcPr>
          <w:p w14:paraId="6ACC575B" w14:textId="77777777" w:rsidR="007C02A9" w:rsidRPr="007C02A9" w:rsidRDefault="007C02A9" w:rsidP="007C02A9">
            <w:pPr>
              <w:spacing w:after="0" w:line="240" w:lineRule="auto"/>
              <w:rPr>
                <w:rFonts w:ascii="Calibri" w:eastAsia="Times New Roman" w:hAnsi="Calibri" w:cs="Times New Roman"/>
                <w:sz w:val="20"/>
                <w:szCs w:val="20"/>
                <w:lang w:eastAsia="pl-PL"/>
              </w:rPr>
            </w:pPr>
            <w:r w:rsidRPr="007C02A9">
              <w:rPr>
                <w:rFonts w:ascii="Calibri" w:eastAsia="Times New Roman" w:hAnsi="Calibri" w:cs="Times New Roman"/>
                <w:sz w:val="20"/>
                <w:szCs w:val="20"/>
                <w:lang w:eastAsia="pl-PL"/>
              </w:rPr>
              <w:t>MOF Olsztyn</w:t>
            </w:r>
          </w:p>
        </w:tc>
        <w:tc>
          <w:tcPr>
            <w:tcW w:w="1448" w:type="dxa"/>
            <w:tcBorders>
              <w:top w:val="nil"/>
              <w:left w:val="nil"/>
              <w:bottom w:val="single" w:sz="4" w:space="0" w:color="auto"/>
              <w:right w:val="single" w:sz="4" w:space="0" w:color="auto"/>
            </w:tcBorders>
            <w:shd w:val="clear" w:color="000000" w:fill="FFFFFF"/>
            <w:noWrap/>
            <w:vAlign w:val="bottom"/>
            <w:hideMark/>
          </w:tcPr>
          <w:p w14:paraId="3C402C47" w14:textId="77777777" w:rsidR="007C02A9" w:rsidRPr="007C02A9" w:rsidRDefault="007C02A9" w:rsidP="007C02A9">
            <w:pPr>
              <w:spacing w:after="0" w:line="240" w:lineRule="auto"/>
              <w:jc w:val="right"/>
              <w:rPr>
                <w:rFonts w:ascii="Calibri" w:eastAsia="Times New Roman" w:hAnsi="Calibri" w:cs="Times New Roman"/>
                <w:sz w:val="20"/>
                <w:szCs w:val="20"/>
                <w:lang w:eastAsia="pl-PL"/>
              </w:rPr>
            </w:pPr>
            <w:r w:rsidRPr="007C02A9">
              <w:rPr>
                <w:rFonts w:ascii="Calibri" w:eastAsia="Times New Roman" w:hAnsi="Calibri" w:cs="Times New Roman"/>
                <w:sz w:val="20"/>
                <w:szCs w:val="20"/>
                <w:lang w:eastAsia="pl-PL"/>
              </w:rPr>
              <w:t>394</w:t>
            </w:r>
          </w:p>
        </w:tc>
        <w:tc>
          <w:tcPr>
            <w:tcW w:w="1432" w:type="dxa"/>
            <w:tcBorders>
              <w:top w:val="nil"/>
              <w:left w:val="nil"/>
              <w:bottom w:val="single" w:sz="4" w:space="0" w:color="auto"/>
              <w:right w:val="single" w:sz="4" w:space="0" w:color="auto"/>
            </w:tcBorders>
            <w:shd w:val="clear" w:color="000000" w:fill="FFFFFF"/>
            <w:noWrap/>
            <w:vAlign w:val="bottom"/>
            <w:hideMark/>
          </w:tcPr>
          <w:p w14:paraId="04EF8121" w14:textId="77777777" w:rsidR="007C02A9" w:rsidRPr="007C02A9" w:rsidRDefault="007C02A9" w:rsidP="007C02A9">
            <w:pPr>
              <w:spacing w:after="0" w:line="240" w:lineRule="auto"/>
              <w:jc w:val="right"/>
              <w:rPr>
                <w:rFonts w:ascii="Calibri" w:eastAsia="Times New Roman" w:hAnsi="Calibri" w:cs="Times New Roman"/>
                <w:sz w:val="20"/>
                <w:szCs w:val="20"/>
                <w:lang w:eastAsia="pl-PL"/>
              </w:rPr>
            </w:pPr>
            <w:r w:rsidRPr="007C02A9">
              <w:rPr>
                <w:rFonts w:ascii="Calibri" w:eastAsia="Times New Roman" w:hAnsi="Calibri" w:cs="Times New Roman"/>
                <w:sz w:val="20"/>
                <w:szCs w:val="20"/>
                <w:lang w:eastAsia="pl-PL"/>
              </w:rPr>
              <w:t>340</w:t>
            </w:r>
          </w:p>
        </w:tc>
        <w:tc>
          <w:tcPr>
            <w:tcW w:w="1403" w:type="dxa"/>
            <w:tcBorders>
              <w:top w:val="nil"/>
              <w:left w:val="nil"/>
              <w:bottom w:val="single" w:sz="4" w:space="0" w:color="auto"/>
              <w:right w:val="single" w:sz="4" w:space="0" w:color="auto"/>
            </w:tcBorders>
            <w:shd w:val="clear" w:color="000000" w:fill="FFFFFF"/>
            <w:noWrap/>
            <w:vAlign w:val="bottom"/>
            <w:hideMark/>
          </w:tcPr>
          <w:p w14:paraId="73398097" w14:textId="77777777" w:rsidR="007C02A9" w:rsidRPr="007C02A9" w:rsidRDefault="007C02A9" w:rsidP="007C02A9">
            <w:pPr>
              <w:spacing w:after="0" w:line="240" w:lineRule="auto"/>
              <w:jc w:val="right"/>
              <w:rPr>
                <w:rFonts w:ascii="Calibri" w:eastAsia="Times New Roman" w:hAnsi="Calibri" w:cs="Times New Roman"/>
                <w:sz w:val="20"/>
                <w:szCs w:val="20"/>
                <w:lang w:eastAsia="pl-PL"/>
              </w:rPr>
            </w:pPr>
            <w:r w:rsidRPr="007C02A9">
              <w:rPr>
                <w:rFonts w:ascii="Calibri" w:eastAsia="Times New Roman" w:hAnsi="Calibri" w:cs="Times New Roman"/>
                <w:sz w:val="20"/>
                <w:szCs w:val="20"/>
                <w:lang w:eastAsia="pl-PL"/>
              </w:rPr>
              <w:t>1,4%</w:t>
            </w:r>
          </w:p>
        </w:tc>
        <w:tc>
          <w:tcPr>
            <w:tcW w:w="1417" w:type="dxa"/>
            <w:tcBorders>
              <w:top w:val="nil"/>
              <w:left w:val="nil"/>
              <w:bottom w:val="single" w:sz="4" w:space="0" w:color="auto"/>
              <w:right w:val="single" w:sz="4" w:space="0" w:color="auto"/>
            </w:tcBorders>
            <w:shd w:val="clear" w:color="000000" w:fill="FFFFFF"/>
            <w:noWrap/>
            <w:vAlign w:val="bottom"/>
            <w:hideMark/>
          </w:tcPr>
          <w:p w14:paraId="00070424" w14:textId="77777777" w:rsidR="007C02A9" w:rsidRPr="007C02A9" w:rsidRDefault="007C02A9" w:rsidP="007C02A9">
            <w:pPr>
              <w:spacing w:after="0" w:line="240" w:lineRule="auto"/>
              <w:jc w:val="right"/>
              <w:rPr>
                <w:rFonts w:ascii="Calibri" w:eastAsia="Times New Roman" w:hAnsi="Calibri" w:cs="Times New Roman"/>
                <w:sz w:val="20"/>
                <w:szCs w:val="20"/>
                <w:lang w:eastAsia="pl-PL"/>
              </w:rPr>
            </w:pPr>
            <w:r w:rsidRPr="007C02A9">
              <w:rPr>
                <w:rFonts w:ascii="Calibri" w:eastAsia="Times New Roman" w:hAnsi="Calibri" w:cs="Times New Roman"/>
                <w:sz w:val="20"/>
                <w:szCs w:val="20"/>
                <w:lang w:eastAsia="pl-PL"/>
              </w:rPr>
              <w:t>1,1%</w:t>
            </w:r>
          </w:p>
        </w:tc>
      </w:tr>
      <w:tr w:rsidR="007C02A9" w:rsidRPr="007C02A9" w14:paraId="0004A5A2" w14:textId="77777777" w:rsidTr="008E1D26">
        <w:trPr>
          <w:trHeight w:val="300"/>
          <w:jc w:val="center"/>
        </w:trPr>
        <w:tc>
          <w:tcPr>
            <w:tcW w:w="2380" w:type="dxa"/>
            <w:tcBorders>
              <w:top w:val="nil"/>
              <w:left w:val="single" w:sz="4" w:space="0" w:color="auto"/>
              <w:bottom w:val="single" w:sz="4" w:space="0" w:color="auto"/>
              <w:right w:val="single" w:sz="4" w:space="0" w:color="auto"/>
            </w:tcBorders>
            <w:shd w:val="clear" w:color="000000" w:fill="FFFFFF"/>
            <w:noWrap/>
            <w:vAlign w:val="bottom"/>
            <w:hideMark/>
          </w:tcPr>
          <w:p w14:paraId="4DDDCABA" w14:textId="77777777" w:rsidR="007C02A9" w:rsidRPr="007C02A9" w:rsidRDefault="007C02A9" w:rsidP="007C02A9">
            <w:pPr>
              <w:spacing w:after="0" w:line="240" w:lineRule="auto"/>
              <w:rPr>
                <w:rFonts w:ascii="Calibri" w:eastAsia="Times New Roman" w:hAnsi="Calibri" w:cs="Times New Roman"/>
                <w:sz w:val="20"/>
                <w:szCs w:val="20"/>
                <w:lang w:eastAsia="pl-PL"/>
              </w:rPr>
            </w:pPr>
            <w:r w:rsidRPr="007C02A9">
              <w:rPr>
                <w:rFonts w:ascii="Calibri" w:eastAsia="Times New Roman" w:hAnsi="Calibri" w:cs="Times New Roman"/>
                <w:sz w:val="20"/>
                <w:szCs w:val="20"/>
                <w:lang w:eastAsia="pl-PL"/>
              </w:rPr>
              <w:t>Olsztyn</w:t>
            </w:r>
          </w:p>
        </w:tc>
        <w:tc>
          <w:tcPr>
            <w:tcW w:w="1448" w:type="dxa"/>
            <w:tcBorders>
              <w:top w:val="nil"/>
              <w:left w:val="nil"/>
              <w:bottom w:val="single" w:sz="4" w:space="0" w:color="auto"/>
              <w:right w:val="single" w:sz="4" w:space="0" w:color="auto"/>
            </w:tcBorders>
            <w:shd w:val="clear" w:color="000000" w:fill="FFFFFF"/>
            <w:noWrap/>
            <w:vAlign w:val="bottom"/>
            <w:hideMark/>
          </w:tcPr>
          <w:p w14:paraId="50B72227" w14:textId="77777777" w:rsidR="007C02A9" w:rsidRPr="007C02A9" w:rsidRDefault="007C02A9" w:rsidP="007C02A9">
            <w:pPr>
              <w:spacing w:after="0" w:line="240" w:lineRule="auto"/>
              <w:jc w:val="right"/>
              <w:rPr>
                <w:rFonts w:ascii="Calibri" w:eastAsia="Times New Roman" w:hAnsi="Calibri" w:cs="Times New Roman"/>
                <w:sz w:val="20"/>
                <w:szCs w:val="20"/>
                <w:lang w:eastAsia="pl-PL"/>
              </w:rPr>
            </w:pPr>
            <w:r w:rsidRPr="007C02A9">
              <w:rPr>
                <w:rFonts w:ascii="Calibri" w:eastAsia="Times New Roman" w:hAnsi="Calibri" w:cs="Times New Roman"/>
                <w:sz w:val="20"/>
                <w:szCs w:val="20"/>
                <w:lang w:eastAsia="pl-PL"/>
              </w:rPr>
              <w:t>173</w:t>
            </w:r>
          </w:p>
        </w:tc>
        <w:tc>
          <w:tcPr>
            <w:tcW w:w="1432" w:type="dxa"/>
            <w:tcBorders>
              <w:top w:val="nil"/>
              <w:left w:val="nil"/>
              <w:bottom w:val="single" w:sz="4" w:space="0" w:color="auto"/>
              <w:right w:val="single" w:sz="4" w:space="0" w:color="auto"/>
            </w:tcBorders>
            <w:shd w:val="clear" w:color="000000" w:fill="FFFFFF"/>
            <w:noWrap/>
            <w:vAlign w:val="bottom"/>
            <w:hideMark/>
          </w:tcPr>
          <w:p w14:paraId="1CA6112E" w14:textId="77777777" w:rsidR="007C02A9" w:rsidRPr="007C02A9" w:rsidRDefault="007C02A9" w:rsidP="007C02A9">
            <w:pPr>
              <w:spacing w:after="0" w:line="240" w:lineRule="auto"/>
              <w:jc w:val="right"/>
              <w:rPr>
                <w:rFonts w:ascii="Calibri" w:eastAsia="Times New Roman" w:hAnsi="Calibri" w:cs="Times New Roman"/>
                <w:sz w:val="20"/>
                <w:szCs w:val="20"/>
                <w:lang w:eastAsia="pl-PL"/>
              </w:rPr>
            </w:pPr>
            <w:r w:rsidRPr="007C02A9">
              <w:rPr>
                <w:rFonts w:ascii="Calibri" w:eastAsia="Times New Roman" w:hAnsi="Calibri" w:cs="Times New Roman"/>
                <w:sz w:val="20"/>
                <w:szCs w:val="20"/>
                <w:lang w:eastAsia="pl-PL"/>
              </w:rPr>
              <w:t>154</w:t>
            </w:r>
          </w:p>
        </w:tc>
        <w:tc>
          <w:tcPr>
            <w:tcW w:w="1403" w:type="dxa"/>
            <w:tcBorders>
              <w:top w:val="nil"/>
              <w:left w:val="nil"/>
              <w:bottom w:val="single" w:sz="4" w:space="0" w:color="auto"/>
              <w:right w:val="single" w:sz="4" w:space="0" w:color="auto"/>
            </w:tcBorders>
            <w:shd w:val="clear" w:color="000000" w:fill="FFFFFF"/>
            <w:noWrap/>
            <w:vAlign w:val="bottom"/>
            <w:hideMark/>
          </w:tcPr>
          <w:p w14:paraId="29EDD17A" w14:textId="77777777" w:rsidR="007C02A9" w:rsidRPr="007C02A9" w:rsidRDefault="007C02A9" w:rsidP="007C02A9">
            <w:pPr>
              <w:spacing w:after="0" w:line="240" w:lineRule="auto"/>
              <w:jc w:val="right"/>
              <w:rPr>
                <w:rFonts w:ascii="Calibri" w:eastAsia="Times New Roman" w:hAnsi="Calibri" w:cs="Times New Roman"/>
                <w:sz w:val="20"/>
                <w:szCs w:val="20"/>
                <w:lang w:eastAsia="pl-PL"/>
              </w:rPr>
            </w:pPr>
            <w:r w:rsidRPr="007C02A9">
              <w:rPr>
                <w:rFonts w:ascii="Calibri" w:eastAsia="Times New Roman" w:hAnsi="Calibri" w:cs="Times New Roman"/>
                <w:sz w:val="20"/>
                <w:szCs w:val="20"/>
                <w:lang w:eastAsia="pl-PL"/>
              </w:rPr>
              <w:t>0,8%</w:t>
            </w:r>
          </w:p>
        </w:tc>
        <w:tc>
          <w:tcPr>
            <w:tcW w:w="1417" w:type="dxa"/>
            <w:tcBorders>
              <w:top w:val="nil"/>
              <w:left w:val="nil"/>
              <w:bottom w:val="single" w:sz="4" w:space="0" w:color="auto"/>
              <w:right w:val="single" w:sz="4" w:space="0" w:color="auto"/>
            </w:tcBorders>
            <w:shd w:val="clear" w:color="000000" w:fill="FFFFFF"/>
            <w:noWrap/>
            <w:vAlign w:val="bottom"/>
            <w:hideMark/>
          </w:tcPr>
          <w:p w14:paraId="2389FEE7" w14:textId="77777777" w:rsidR="007C02A9" w:rsidRPr="007C02A9" w:rsidRDefault="007C02A9" w:rsidP="007C02A9">
            <w:pPr>
              <w:spacing w:after="0" w:line="240" w:lineRule="auto"/>
              <w:jc w:val="right"/>
              <w:rPr>
                <w:rFonts w:ascii="Calibri" w:eastAsia="Times New Roman" w:hAnsi="Calibri" w:cs="Times New Roman"/>
                <w:sz w:val="20"/>
                <w:szCs w:val="20"/>
                <w:lang w:eastAsia="pl-PL"/>
              </w:rPr>
            </w:pPr>
            <w:r w:rsidRPr="007C02A9">
              <w:rPr>
                <w:rFonts w:ascii="Calibri" w:eastAsia="Times New Roman" w:hAnsi="Calibri" w:cs="Times New Roman"/>
                <w:sz w:val="20"/>
                <w:szCs w:val="20"/>
                <w:lang w:eastAsia="pl-PL"/>
              </w:rPr>
              <w:t>0,7%</w:t>
            </w:r>
          </w:p>
        </w:tc>
      </w:tr>
    </w:tbl>
    <w:p w14:paraId="4D52F6CA" w14:textId="77777777" w:rsidR="008E1D26" w:rsidRDefault="008E1D26" w:rsidP="008E1D26">
      <w:pPr>
        <w:spacing w:after="0"/>
        <w:jc w:val="center"/>
      </w:pPr>
      <w:r w:rsidRPr="0091031D">
        <w:rPr>
          <w:i/>
          <w:sz w:val="20"/>
          <w:szCs w:val="20"/>
        </w:rPr>
        <w:t>źródło: opracowanie własne na podstawie danych GUS</w:t>
      </w:r>
    </w:p>
    <w:p w14:paraId="02D29368" w14:textId="77777777" w:rsidR="007C02A9" w:rsidRDefault="007C02A9" w:rsidP="00DC4DE0">
      <w:pPr>
        <w:jc w:val="both"/>
        <w:rPr>
          <w:rFonts w:eastAsiaTheme="majorEastAsia" w:cstheme="majorBidi"/>
          <w:color w:val="000000" w:themeColor="text1"/>
        </w:rPr>
      </w:pPr>
    </w:p>
    <w:p w14:paraId="636DACF5" w14:textId="77777777" w:rsidR="00E72F21" w:rsidRDefault="00E72F21" w:rsidP="00D66517">
      <w:pPr>
        <w:rPr>
          <w:rFonts w:eastAsiaTheme="majorEastAsia" w:cstheme="majorBidi"/>
          <w:color w:val="000000" w:themeColor="text1"/>
        </w:rPr>
      </w:pPr>
    </w:p>
    <w:p w14:paraId="01912B58" w14:textId="1F13FEF2" w:rsidR="00E72F21" w:rsidRDefault="00E72F21" w:rsidP="008D0C2D">
      <w:pPr>
        <w:pStyle w:val="Nagwek3"/>
        <w:numPr>
          <w:ilvl w:val="2"/>
          <w:numId w:val="38"/>
        </w:numPr>
        <w:ind w:left="567" w:hanging="567"/>
      </w:pPr>
      <w:bookmarkStart w:id="190" w:name="_Toc73534918"/>
      <w:r>
        <w:t>Przetwórstwo</w:t>
      </w:r>
      <w:bookmarkEnd w:id="190"/>
      <w:r>
        <w:t xml:space="preserve"> </w:t>
      </w:r>
    </w:p>
    <w:p w14:paraId="39388E82" w14:textId="77777777" w:rsidR="00C445A7" w:rsidRDefault="000D7596" w:rsidP="00FF3CC2">
      <w:pPr>
        <w:jc w:val="both"/>
      </w:pPr>
      <w:r>
        <w:t>Poziom przedsiębiorczości w obszarze przetwórstwa przemysłowego</w:t>
      </w:r>
      <w:r w:rsidR="00FF3CC2">
        <w:t xml:space="preserve"> we wszystkich omawianych ośrodkach wojewódzkich </w:t>
      </w:r>
      <w:r w:rsidR="0053489C">
        <w:t>w roku 2019 był niższy niż w roku 2013</w:t>
      </w:r>
      <w:r w:rsidR="00FF3CC2">
        <w:t xml:space="preserve">. W </w:t>
      </w:r>
      <w:r w:rsidR="0053489C">
        <w:t xml:space="preserve">Olsztynie w </w:t>
      </w:r>
      <w:r w:rsidR="00FF3CC2">
        <w:t>roku 2019 udział podmiotów gospodarczych zarejestrowanych w sekcji C (m.in. produkcja artykułów spożywczych, produkcja wyrobów z drewna) w ogólnej liczbie przedsiębiorstw pozostawał na poziomie 5,6%</w:t>
      </w:r>
      <w:r w:rsidR="0053489C">
        <w:t xml:space="preserve"> (1334 zarejestrowanych podmiotów). </w:t>
      </w:r>
      <w:r w:rsidR="004B55DF">
        <w:t>Spadek w</w:t>
      </w:r>
      <w:r w:rsidR="0053489C">
        <w:t xml:space="preserve">yższy </w:t>
      </w:r>
      <w:r w:rsidR="004B55DF">
        <w:t>niż w Olsztynie analizowanego</w:t>
      </w:r>
      <w:r w:rsidR="0053489C">
        <w:t xml:space="preserve"> wskaźnika zarejestrowano w Białymstoku, Rzeszowie i Lublinie.</w:t>
      </w:r>
    </w:p>
    <w:p w14:paraId="0068BADB" w14:textId="6DDF4461" w:rsidR="00404DEF" w:rsidRPr="00404DEF" w:rsidRDefault="00404DEF" w:rsidP="00404DEF">
      <w:pPr>
        <w:pStyle w:val="Legenda"/>
        <w:rPr>
          <w:sz w:val="22"/>
          <w:szCs w:val="22"/>
          <w:lang w:val="pl-PL"/>
        </w:rPr>
      </w:pPr>
      <w:bookmarkStart w:id="191" w:name="_Toc73516129"/>
      <w:r w:rsidRPr="00404DEF">
        <w:rPr>
          <w:sz w:val="22"/>
          <w:szCs w:val="22"/>
        </w:rPr>
        <w:t xml:space="preserve">Wykres </w:t>
      </w:r>
      <w:r w:rsidRPr="00404DEF">
        <w:rPr>
          <w:sz w:val="22"/>
          <w:szCs w:val="22"/>
        </w:rPr>
        <w:fldChar w:fldCharType="begin"/>
      </w:r>
      <w:r w:rsidRPr="00404DEF">
        <w:rPr>
          <w:sz w:val="22"/>
          <w:szCs w:val="22"/>
        </w:rPr>
        <w:instrText xml:space="preserve"> SEQ Wykres \* ARABIC </w:instrText>
      </w:r>
      <w:r w:rsidRPr="00404DEF">
        <w:rPr>
          <w:sz w:val="22"/>
          <w:szCs w:val="22"/>
        </w:rPr>
        <w:fldChar w:fldCharType="separate"/>
      </w:r>
      <w:r w:rsidR="00AD58C3">
        <w:rPr>
          <w:noProof/>
          <w:sz w:val="22"/>
          <w:szCs w:val="22"/>
        </w:rPr>
        <w:t>67</w:t>
      </w:r>
      <w:r w:rsidRPr="00404DEF">
        <w:rPr>
          <w:sz w:val="22"/>
          <w:szCs w:val="22"/>
        </w:rPr>
        <w:fldChar w:fldCharType="end"/>
      </w:r>
      <w:r w:rsidRPr="00404DEF">
        <w:rPr>
          <w:sz w:val="22"/>
          <w:szCs w:val="22"/>
        </w:rPr>
        <w:t xml:space="preserve">. </w:t>
      </w:r>
      <w:r w:rsidRPr="00404DEF">
        <w:rPr>
          <w:bCs/>
          <w:sz w:val="22"/>
          <w:szCs w:val="22"/>
          <w:lang w:val="en-US"/>
        </w:rPr>
        <w:t>Udział podmiotów sekcji C - przetwórstwo przemysłowe w liczbie przedsiębiorst</w:t>
      </w:r>
      <w:r w:rsidRPr="00404DEF">
        <w:rPr>
          <w:bCs/>
          <w:sz w:val="22"/>
          <w:szCs w:val="22"/>
          <w:lang w:val="pl-PL"/>
        </w:rPr>
        <w:t>w</w:t>
      </w:r>
      <w:r w:rsidRPr="00404DEF">
        <w:rPr>
          <w:bCs/>
          <w:sz w:val="22"/>
          <w:szCs w:val="22"/>
          <w:lang w:val="en-US"/>
        </w:rPr>
        <w:t xml:space="preserve"> ogółem</w:t>
      </w:r>
      <w:r w:rsidRPr="00404DEF">
        <w:rPr>
          <w:bCs/>
          <w:sz w:val="22"/>
          <w:szCs w:val="22"/>
          <w:lang w:val="pl-PL"/>
        </w:rPr>
        <w:t xml:space="preserve"> w latach 2013 i 2019</w:t>
      </w:r>
      <w:bookmarkEnd w:id="191"/>
    </w:p>
    <w:p w14:paraId="62D7C63E" w14:textId="77777777" w:rsidR="00E72F21" w:rsidRDefault="00E34A1D" w:rsidP="00283A0D">
      <w:pPr>
        <w:spacing w:after="0" w:line="240" w:lineRule="auto"/>
        <w:jc w:val="center"/>
      </w:pPr>
      <w:r>
        <w:rPr>
          <w:noProof/>
          <w:lang w:eastAsia="pl-PL"/>
        </w:rPr>
        <w:drawing>
          <wp:inline distT="0" distB="0" distL="0" distR="0" wp14:anchorId="67366DA9" wp14:editId="70A9367A">
            <wp:extent cx="4264761" cy="2077517"/>
            <wp:effectExtent l="0" t="0" r="2540" b="18415"/>
            <wp:docPr id="90" name="Wykres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0ADD14B0" w14:textId="77777777" w:rsidR="00283A0D" w:rsidRDefault="00283A0D" w:rsidP="00283A0D">
      <w:pPr>
        <w:spacing w:after="0" w:line="240" w:lineRule="auto"/>
        <w:jc w:val="center"/>
      </w:pPr>
      <w:r w:rsidRPr="0091031D">
        <w:rPr>
          <w:i/>
          <w:sz w:val="20"/>
          <w:szCs w:val="20"/>
        </w:rPr>
        <w:t>źródło: opracowanie własne na podstawie danych GUS</w:t>
      </w:r>
    </w:p>
    <w:p w14:paraId="5E6F6772" w14:textId="77777777" w:rsidR="00283A0D" w:rsidRDefault="00283A0D" w:rsidP="00E34A1D">
      <w:pPr>
        <w:jc w:val="center"/>
      </w:pPr>
    </w:p>
    <w:p w14:paraId="72E07380" w14:textId="44C5FDFC" w:rsidR="00E72F21" w:rsidRDefault="007C02A9" w:rsidP="00CF5005">
      <w:pPr>
        <w:jc w:val="both"/>
      </w:pPr>
      <w:r>
        <w:t xml:space="preserve">Na tle województwa warmińsko-mazurskiego, a nawet Polski, </w:t>
      </w:r>
      <w:r w:rsidR="00CF5005">
        <w:t>MOF Olsztyna charakteryzuje się względnie wysokim udziałem podmiotów zaliczanych do sekcji C (przetwórstwo przemysłowe). W roku 2019</w:t>
      </w:r>
      <w:r>
        <w:t xml:space="preserve"> w MOF Olsztyna</w:t>
      </w:r>
      <w:r w:rsidR="00CF5005">
        <w:t xml:space="preserve"> stanowił on 6,3%, zaś w województwie 8,0%. </w:t>
      </w:r>
      <w:r>
        <w:t xml:space="preserve">Na terenie pięciu gmin </w:t>
      </w:r>
      <w:r w:rsidR="00CF5005">
        <w:t>udział podmiotów z sekcji C nieznacznie zmniejszył się w roku 2019 w stosunku do roku 2013. Wyjątek stanowi gmina Barczewo, w któr</w:t>
      </w:r>
      <w:r>
        <w:t>ej w roku 2019</w:t>
      </w:r>
      <w:r w:rsidR="00CF5005">
        <w:t xml:space="preserve"> odnotowano dodatni wynik</w:t>
      </w:r>
      <w:r>
        <w:t xml:space="preserve"> zmian</w:t>
      </w:r>
      <w:r w:rsidR="00CF5005">
        <w:t xml:space="preserve"> (przyrost o 1,7% udziału podmiotów sekcji C w ogólnej liczbie zarejestrowanych przedsiębiorstw</w:t>
      </w:r>
      <w:r>
        <w:t xml:space="preserve"> – porównując dane za rok 2013 i 2019</w:t>
      </w:r>
      <w:r w:rsidR="00CF5005">
        <w:t>).</w:t>
      </w:r>
    </w:p>
    <w:p w14:paraId="7AAD7CA4" w14:textId="1B828CE7" w:rsidR="00955DEC" w:rsidRDefault="00955DEC" w:rsidP="00CF5005">
      <w:pPr>
        <w:jc w:val="both"/>
      </w:pPr>
    </w:p>
    <w:p w14:paraId="7A644152" w14:textId="00D32960" w:rsidR="004361AB" w:rsidRDefault="004361AB">
      <w:r>
        <w:br w:type="page"/>
      </w:r>
    </w:p>
    <w:p w14:paraId="3D4DBD82" w14:textId="4769FC42" w:rsidR="004361AB" w:rsidRPr="004A1CFE" w:rsidRDefault="004361AB" w:rsidP="004361AB">
      <w:pPr>
        <w:pStyle w:val="Legenda"/>
        <w:rPr>
          <w:rFonts w:eastAsiaTheme="majorEastAsia" w:cstheme="majorBidi"/>
          <w:color w:val="000000" w:themeColor="text1"/>
          <w:sz w:val="22"/>
          <w:szCs w:val="22"/>
        </w:rPr>
      </w:pPr>
      <w:bookmarkStart w:id="192" w:name="_Toc73534984"/>
      <w:r>
        <w:lastRenderedPageBreak/>
        <w:t xml:space="preserve">Tabela </w:t>
      </w:r>
      <w:r>
        <w:fldChar w:fldCharType="begin"/>
      </w:r>
      <w:r>
        <w:instrText xml:space="preserve"> SEQ Tabela \* ARABIC </w:instrText>
      </w:r>
      <w:r>
        <w:fldChar w:fldCharType="separate"/>
      </w:r>
      <w:r w:rsidR="00AD58C3">
        <w:rPr>
          <w:noProof/>
        </w:rPr>
        <w:t>21</w:t>
      </w:r>
      <w:r>
        <w:fldChar w:fldCharType="end"/>
      </w:r>
      <w:r>
        <w:t xml:space="preserve">. </w:t>
      </w:r>
      <w:r w:rsidRPr="004A1CFE">
        <w:rPr>
          <w:sz w:val="22"/>
          <w:szCs w:val="22"/>
        </w:rPr>
        <w:t xml:space="preserve">Podmioty gospodarcze sekcji </w:t>
      </w:r>
      <w:r>
        <w:rPr>
          <w:sz w:val="22"/>
          <w:szCs w:val="22"/>
        </w:rPr>
        <w:t>A</w:t>
      </w:r>
      <w:r w:rsidRPr="004A1CFE">
        <w:rPr>
          <w:sz w:val="22"/>
          <w:szCs w:val="22"/>
        </w:rPr>
        <w:t xml:space="preserve"> (</w:t>
      </w:r>
      <w:r>
        <w:rPr>
          <w:sz w:val="22"/>
          <w:szCs w:val="22"/>
        </w:rPr>
        <w:t>przetwórstwo przemysłowe</w:t>
      </w:r>
      <w:r w:rsidRPr="004A1CFE">
        <w:rPr>
          <w:sz w:val="22"/>
          <w:szCs w:val="22"/>
        </w:rPr>
        <w:t xml:space="preserve">) w </w:t>
      </w:r>
      <w:r>
        <w:rPr>
          <w:sz w:val="22"/>
          <w:szCs w:val="22"/>
        </w:rPr>
        <w:t>latach</w:t>
      </w:r>
      <w:r w:rsidRPr="004A1CFE">
        <w:rPr>
          <w:sz w:val="22"/>
          <w:szCs w:val="22"/>
        </w:rPr>
        <w:t xml:space="preserve"> 2013 i 2019</w:t>
      </w:r>
      <w:bookmarkEnd w:id="192"/>
    </w:p>
    <w:tbl>
      <w:tblPr>
        <w:tblW w:w="7655" w:type="dxa"/>
        <w:jc w:val="center"/>
        <w:tblCellMar>
          <w:left w:w="70" w:type="dxa"/>
          <w:right w:w="70" w:type="dxa"/>
        </w:tblCellMar>
        <w:tblLook w:val="04A0" w:firstRow="1" w:lastRow="0" w:firstColumn="1" w:lastColumn="0" w:noHBand="0" w:noVBand="1"/>
      </w:tblPr>
      <w:tblGrid>
        <w:gridCol w:w="2268"/>
        <w:gridCol w:w="1276"/>
        <w:gridCol w:w="1276"/>
        <w:gridCol w:w="1417"/>
        <w:gridCol w:w="1418"/>
      </w:tblGrid>
      <w:tr w:rsidR="008E1D26" w:rsidRPr="008E1D26" w14:paraId="24756299" w14:textId="77777777" w:rsidTr="008E1D26">
        <w:trPr>
          <w:trHeight w:val="945"/>
          <w:jc w:val="center"/>
        </w:trPr>
        <w:tc>
          <w:tcPr>
            <w:tcW w:w="2268" w:type="dxa"/>
            <w:tcBorders>
              <w:top w:val="nil"/>
              <w:left w:val="nil"/>
              <w:bottom w:val="nil"/>
              <w:right w:val="nil"/>
            </w:tcBorders>
            <w:shd w:val="clear" w:color="auto" w:fill="auto"/>
            <w:noWrap/>
            <w:vAlign w:val="bottom"/>
            <w:hideMark/>
          </w:tcPr>
          <w:p w14:paraId="27BBF5B4" w14:textId="77777777" w:rsidR="008E1D26" w:rsidRPr="008E1D26" w:rsidRDefault="008E1D26" w:rsidP="008E1D26">
            <w:pPr>
              <w:spacing w:after="0" w:line="240" w:lineRule="auto"/>
              <w:rPr>
                <w:rFonts w:ascii="Times New Roman" w:eastAsia="Times New Roman" w:hAnsi="Times New Roman" w:cs="Times New Roman"/>
                <w:sz w:val="20"/>
                <w:szCs w:val="20"/>
                <w:lang w:eastAsia="pl-PL"/>
              </w:rPr>
            </w:pPr>
          </w:p>
        </w:tc>
        <w:tc>
          <w:tcPr>
            <w:tcW w:w="2552" w:type="dxa"/>
            <w:gridSpan w:val="2"/>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70CDCC22" w14:textId="77777777" w:rsidR="008E1D26" w:rsidRPr="008E1D26" w:rsidRDefault="008E1D26" w:rsidP="008E1D26">
            <w:pPr>
              <w:spacing w:after="0" w:line="240" w:lineRule="auto"/>
              <w:jc w:val="center"/>
              <w:rPr>
                <w:rFonts w:ascii="Calibri" w:eastAsia="Times New Roman" w:hAnsi="Calibri" w:cs="Times New Roman"/>
                <w:b/>
                <w:bCs/>
                <w:color w:val="000000"/>
                <w:sz w:val="20"/>
                <w:szCs w:val="20"/>
                <w:lang w:eastAsia="pl-PL"/>
              </w:rPr>
            </w:pPr>
            <w:r w:rsidRPr="008E1D26">
              <w:rPr>
                <w:rFonts w:ascii="Calibri" w:eastAsia="Times New Roman" w:hAnsi="Calibri" w:cs="Times New Roman"/>
                <w:b/>
                <w:bCs/>
                <w:color w:val="000000"/>
                <w:sz w:val="20"/>
                <w:szCs w:val="20"/>
                <w:lang w:eastAsia="pl-PL"/>
              </w:rPr>
              <w:t>Sekcja C (przetwórstwo przemysłowe)</w:t>
            </w:r>
          </w:p>
        </w:tc>
        <w:tc>
          <w:tcPr>
            <w:tcW w:w="2835" w:type="dxa"/>
            <w:gridSpan w:val="2"/>
            <w:tcBorders>
              <w:top w:val="single" w:sz="4" w:space="0" w:color="auto"/>
              <w:left w:val="nil"/>
              <w:bottom w:val="single" w:sz="4" w:space="0" w:color="auto"/>
              <w:right w:val="single" w:sz="4" w:space="0" w:color="auto"/>
            </w:tcBorders>
            <w:shd w:val="clear" w:color="auto" w:fill="92D050"/>
            <w:vAlign w:val="center"/>
            <w:hideMark/>
          </w:tcPr>
          <w:p w14:paraId="221D3B13" w14:textId="77777777" w:rsidR="008E1D26" w:rsidRDefault="008E1D26" w:rsidP="008E1D26">
            <w:pPr>
              <w:spacing w:after="0" w:line="240" w:lineRule="auto"/>
              <w:jc w:val="center"/>
              <w:rPr>
                <w:rFonts w:ascii="Calibri" w:eastAsia="Times New Roman" w:hAnsi="Calibri" w:cs="Times New Roman"/>
                <w:b/>
                <w:bCs/>
                <w:sz w:val="20"/>
                <w:szCs w:val="20"/>
                <w:lang w:eastAsia="pl-PL"/>
              </w:rPr>
            </w:pPr>
            <w:r w:rsidRPr="008E1D26">
              <w:rPr>
                <w:rFonts w:ascii="Calibri" w:eastAsia="Times New Roman" w:hAnsi="Calibri" w:cs="Times New Roman"/>
                <w:b/>
                <w:bCs/>
                <w:sz w:val="20"/>
                <w:szCs w:val="20"/>
                <w:lang w:eastAsia="pl-PL"/>
              </w:rPr>
              <w:t xml:space="preserve">Udział % podmiotów sekcji C </w:t>
            </w:r>
          </w:p>
          <w:p w14:paraId="56701228" w14:textId="77777777" w:rsidR="008E1D26" w:rsidRPr="008E1D26" w:rsidRDefault="008E1D26" w:rsidP="008E1D26">
            <w:pPr>
              <w:spacing w:after="0" w:line="240" w:lineRule="auto"/>
              <w:jc w:val="center"/>
              <w:rPr>
                <w:rFonts w:ascii="Calibri" w:eastAsia="Times New Roman" w:hAnsi="Calibri" w:cs="Times New Roman"/>
                <w:b/>
                <w:bCs/>
                <w:sz w:val="20"/>
                <w:szCs w:val="20"/>
                <w:lang w:eastAsia="pl-PL"/>
              </w:rPr>
            </w:pPr>
            <w:r w:rsidRPr="008E1D26">
              <w:rPr>
                <w:rFonts w:ascii="Calibri" w:eastAsia="Times New Roman" w:hAnsi="Calibri" w:cs="Times New Roman"/>
                <w:b/>
                <w:bCs/>
                <w:sz w:val="20"/>
                <w:szCs w:val="20"/>
                <w:lang w:eastAsia="pl-PL"/>
              </w:rPr>
              <w:t>w liczbie przedsiębiorstw ogółem w latach 2013 i 2019</w:t>
            </w:r>
          </w:p>
        </w:tc>
      </w:tr>
      <w:tr w:rsidR="008E1D26" w:rsidRPr="008E1D26" w14:paraId="5BD013FC" w14:textId="77777777" w:rsidTr="008E1D26">
        <w:trPr>
          <w:trHeight w:val="300"/>
          <w:jc w:val="center"/>
        </w:trPr>
        <w:tc>
          <w:tcPr>
            <w:tcW w:w="2268" w:type="dxa"/>
            <w:tcBorders>
              <w:top w:val="nil"/>
              <w:left w:val="nil"/>
              <w:bottom w:val="nil"/>
              <w:right w:val="nil"/>
            </w:tcBorders>
            <w:shd w:val="clear" w:color="auto" w:fill="auto"/>
            <w:noWrap/>
            <w:vAlign w:val="bottom"/>
            <w:hideMark/>
          </w:tcPr>
          <w:p w14:paraId="465447CC" w14:textId="77777777" w:rsidR="008E1D26" w:rsidRPr="008E1D26" w:rsidRDefault="008E1D26" w:rsidP="008E1D26">
            <w:pPr>
              <w:spacing w:after="0" w:line="240" w:lineRule="auto"/>
              <w:jc w:val="center"/>
              <w:rPr>
                <w:rFonts w:ascii="Calibri" w:eastAsia="Times New Roman" w:hAnsi="Calibri" w:cs="Times New Roman"/>
                <w:b/>
                <w:bCs/>
                <w:sz w:val="20"/>
                <w:szCs w:val="20"/>
                <w:lang w:eastAsia="pl-PL"/>
              </w:rPr>
            </w:pPr>
          </w:p>
        </w:tc>
        <w:tc>
          <w:tcPr>
            <w:tcW w:w="1276" w:type="dxa"/>
            <w:tcBorders>
              <w:top w:val="nil"/>
              <w:left w:val="single" w:sz="4" w:space="0" w:color="000000"/>
              <w:bottom w:val="nil"/>
              <w:right w:val="single" w:sz="4" w:space="0" w:color="000000"/>
            </w:tcBorders>
            <w:shd w:val="clear" w:color="auto" w:fill="92D050"/>
            <w:vAlign w:val="center"/>
            <w:hideMark/>
          </w:tcPr>
          <w:p w14:paraId="2A532A23" w14:textId="77777777" w:rsidR="008E1D26" w:rsidRPr="008E1D26" w:rsidRDefault="008E1D26" w:rsidP="008E1D26">
            <w:pPr>
              <w:spacing w:after="0" w:line="240" w:lineRule="auto"/>
              <w:jc w:val="center"/>
              <w:rPr>
                <w:rFonts w:ascii="Calibri" w:eastAsia="Times New Roman" w:hAnsi="Calibri" w:cs="Times New Roman"/>
                <w:b/>
                <w:bCs/>
                <w:color w:val="000000"/>
                <w:sz w:val="20"/>
                <w:szCs w:val="20"/>
                <w:lang w:eastAsia="pl-PL"/>
              </w:rPr>
            </w:pPr>
            <w:r w:rsidRPr="008E1D26">
              <w:rPr>
                <w:rFonts w:ascii="Calibri" w:eastAsia="Times New Roman" w:hAnsi="Calibri" w:cs="Times New Roman"/>
                <w:b/>
                <w:bCs/>
                <w:color w:val="000000"/>
                <w:sz w:val="20"/>
                <w:szCs w:val="20"/>
                <w:lang w:eastAsia="pl-PL"/>
              </w:rPr>
              <w:t>2013</w:t>
            </w:r>
          </w:p>
        </w:tc>
        <w:tc>
          <w:tcPr>
            <w:tcW w:w="1276" w:type="dxa"/>
            <w:tcBorders>
              <w:top w:val="nil"/>
              <w:left w:val="nil"/>
              <w:bottom w:val="nil"/>
              <w:right w:val="single" w:sz="4" w:space="0" w:color="000000"/>
            </w:tcBorders>
            <w:shd w:val="clear" w:color="auto" w:fill="92D050"/>
            <w:vAlign w:val="center"/>
            <w:hideMark/>
          </w:tcPr>
          <w:p w14:paraId="53845010" w14:textId="77777777" w:rsidR="008E1D26" w:rsidRPr="008E1D26" w:rsidRDefault="008E1D26" w:rsidP="008E1D26">
            <w:pPr>
              <w:spacing w:after="0" w:line="240" w:lineRule="auto"/>
              <w:jc w:val="center"/>
              <w:rPr>
                <w:rFonts w:ascii="Calibri" w:eastAsia="Times New Roman" w:hAnsi="Calibri" w:cs="Times New Roman"/>
                <w:b/>
                <w:bCs/>
                <w:color w:val="000000"/>
                <w:sz w:val="20"/>
                <w:szCs w:val="20"/>
                <w:lang w:eastAsia="pl-PL"/>
              </w:rPr>
            </w:pPr>
            <w:r w:rsidRPr="008E1D26">
              <w:rPr>
                <w:rFonts w:ascii="Calibri" w:eastAsia="Times New Roman" w:hAnsi="Calibri" w:cs="Times New Roman"/>
                <w:b/>
                <w:bCs/>
                <w:color w:val="000000"/>
                <w:sz w:val="20"/>
                <w:szCs w:val="20"/>
                <w:lang w:eastAsia="pl-PL"/>
              </w:rPr>
              <w:t>2019</w:t>
            </w:r>
          </w:p>
        </w:tc>
        <w:tc>
          <w:tcPr>
            <w:tcW w:w="1417" w:type="dxa"/>
            <w:tcBorders>
              <w:top w:val="nil"/>
              <w:left w:val="nil"/>
              <w:bottom w:val="nil"/>
              <w:right w:val="single" w:sz="4" w:space="0" w:color="auto"/>
            </w:tcBorders>
            <w:shd w:val="clear" w:color="auto" w:fill="92D050"/>
            <w:noWrap/>
            <w:vAlign w:val="bottom"/>
            <w:hideMark/>
          </w:tcPr>
          <w:p w14:paraId="16005D5E" w14:textId="77777777" w:rsidR="008E1D26" w:rsidRPr="008E1D26" w:rsidRDefault="008E1D26" w:rsidP="008E1D26">
            <w:pPr>
              <w:spacing w:after="0" w:line="240" w:lineRule="auto"/>
              <w:jc w:val="center"/>
              <w:rPr>
                <w:rFonts w:ascii="Calibri" w:eastAsia="Times New Roman" w:hAnsi="Calibri" w:cs="Times New Roman"/>
                <w:b/>
                <w:bCs/>
                <w:sz w:val="20"/>
                <w:szCs w:val="20"/>
                <w:lang w:eastAsia="pl-PL"/>
              </w:rPr>
            </w:pPr>
            <w:r w:rsidRPr="008E1D26">
              <w:rPr>
                <w:rFonts w:ascii="Calibri" w:eastAsia="Times New Roman" w:hAnsi="Calibri" w:cs="Times New Roman"/>
                <w:b/>
                <w:bCs/>
                <w:sz w:val="20"/>
                <w:szCs w:val="20"/>
                <w:lang w:eastAsia="pl-PL"/>
              </w:rPr>
              <w:t>2013</w:t>
            </w:r>
          </w:p>
        </w:tc>
        <w:tc>
          <w:tcPr>
            <w:tcW w:w="1418" w:type="dxa"/>
            <w:tcBorders>
              <w:top w:val="nil"/>
              <w:left w:val="nil"/>
              <w:bottom w:val="nil"/>
              <w:right w:val="single" w:sz="4" w:space="0" w:color="auto"/>
            </w:tcBorders>
            <w:shd w:val="clear" w:color="auto" w:fill="92D050"/>
            <w:noWrap/>
            <w:vAlign w:val="bottom"/>
            <w:hideMark/>
          </w:tcPr>
          <w:p w14:paraId="270A93AD" w14:textId="77777777" w:rsidR="008E1D26" w:rsidRPr="008E1D26" w:rsidRDefault="008E1D26" w:rsidP="008E1D26">
            <w:pPr>
              <w:spacing w:after="0" w:line="240" w:lineRule="auto"/>
              <w:jc w:val="center"/>
              <w:rPr>
                <w:rFonts w:ascii="Calibri" w:eastAsia="Times New Roman" w:hAnsi="Calibri" w:cs="Times New Roman"/>
                <w:b/>
                <w:bCs/>
                <w:sz w:val="20"/>
                <w:szCs w:val="20"/>
                <w:lang w:eastAsia="pl-PL"/>
              </w:rPr>
            </w:pPr>
            <w:r w:rsidRPr="008E1D26">
              <w:rPr>
                <w:rFonts w:ascii="Calibri" w:eastAsia="Times New Roman" w:hAnsi="Calibri" w:cs="Times New Roman"/>
                <w:b/>
                <w:bCs/>
                <w:sz w:val="20"/>
                <w:szCs w:val="20"/>
                <w:lang w:eastAsia="pl-PL"/>
              </w:rPr>
              <w:t>2019</w:t>
            </w:r>
          </w:p>
        </w:tc>
      </w:tr>
      <w:tr w:rsidR="008E1D26" w:rsidRPr="008E1D26" w14:paraId="5BE90974" w14:textId="77777777" w:rsidTr="008E1D26">
        <w:trPr>
          <w:trHeight w:val="294"/>
          <w:jc w:val="center"/>
        </w:trPr>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89B96F8" w14:textId="77777777" w:rsidR="008E1D26" w:rsidRPr="008E1D26" w:rsidRDefault="008E1D26" w:rsidP="008E1D26">
            <w:pPr>
              <w:spacing w:after="0" w:line="240" w:lineRule="auto"/>
              <w:rPr>
                <w:rFonts w:ascii="Calibri" w:eastAsia="Times New Roman" w:hAnsi="Calibri" w:cs="Times New Roman"/>
                <w:sz w:val="20"/>
                <w:szCs w:val="20"/>
                <w:lang w:eastAsia="pl-PL"/>
              </w:rPr>
            </w:pPr>
            <w:r w:rsidRPr="008E1D26">
              <w:rPr>
                <w:rFonts w:ascii="Calibri" w:eastAsia="Times New Roman" w:hAnsi="Calibri" w:cs="Times New Roman"/>
                <w:sz w:val="20"/>
                <w:szCs w:val="20"/>
                <w:lang w:eastAsia="pl-PL"/>
              </w:rPr>
              <w:t>WARMIŃSKO-MAZURSKIE</w:t>
            </w:r>
          </w:p>
        </w:tc>
        <w:tc>
          <w:tcPr>
            <w:tcW w:w="1276" w:type="dxa"/>
            <w:tcBorders>
              <w:top w:val="single" w:sz="4" w:space="0" w:color="auto"/>
              <w:left w:val="nil"/>
              <w:bottom w:val="single" w:sz="4" w:space="0" w:color="auto"/>
              <w:right w:val="single" w:sz="4" w:space="0" w:color="auto"/>
            </w:tcBorders>
            <w:shd w:val="clear" w:color="000000" w:fill="FFFFFF"/>
            <w:noWrap/>
            <w:vAlign w:val="bottom"/>
            <w:hideMark/>
          </w:tcPr>
          <w:p w14:paraId="63FB7B90" w14:textId="77777777" w:rsidR="008E1D26" w:rsidRPr="008E1D26" w:rsidRDefault="008E1D26" w:rsidP="008E1D26">
            <w:pPr>
              <w:spacing w:after="0" w:line="240" w:lineRule="auto"/>
              <w:jc w:val="right"/>
              <w:rPr>
                <w:rFonts w:ascii="Calibri" w:eastAsia="Times New Roman" w:hAnsi="Calibri" w:cs="Times New Roman"/>
                <w:sz w:val="20"/>
                <w:szCs w:val="20"/>
                <w:lang w:eastAsia="pl-PL"/>
              </w:rPr>
            </w:pPr>
            <w:r w:rsidRPr="008E1D26">
              <w:rPr>
                <w:rFonts w:ascii="Calibri" w:eastAsia="Times New Roman" w:hAnsi="Calibri" w:cs="Times New Roman"/>
                <w:sz w:val="20"/>
                <w:szCs w:val="20"/>
                <w:lang w:eastAsia="pl-PL"/>
              </w:rPr>
              <w:t>9</w:t>
            </w:r>
            <w:r>
              <w:rPr>
                <w:rFonts w:ascii="Calibri" w:eastAsia="Times New Roman" w:hAnsi="Calibri" w:cs="Times New Roman"/>
                <w:sz w:val="20"/>
                <w:szCs w:val="20"/>
                <w:lang w:eastAsia="pl-PL"/>
              </w:rPr>
              <w:t> </w:t>
            </w:r>
            <w:r w:rsidRPr="008E1D26">
              <w:rPr>
                <w:rFonts w:ascii="Calibri" w:eastAsia="Times New Roman" w:hAnsi="Calibri" w:cs="Times New Roman"/>
                <w:sz w:val="20"/>
                <w:szCs w:val="20"/>
                <w:lang w:eastAsia="pl-PL"/>
              </w:rPr>
              <w:t>853</w:t>
            </w:r>
          </w:p>
        </w:tc>
        <w:tc>
          <w:tcPr>
            <w:tcW w:w="1276" w:type="dxa"/>
            <w:tcBorders>
              <w:top w:val="single" w:sz="4" w:space="0" w:color="auto"/>
              <w:left w:val="nil"/>
              <w:bottom w:val="single" w:sz="4" w:space="0" w:color="auto"/>
              <w:right w:val="single" w:sz="4" w:space="0" w:color="auto"/>
            </w:tcBorders>
            <w:shd w:val="clear" w:color="000000" w:fill="FFFFFF"/>
            <w:noWrap/>
            <w:vAlign w:val="bottom"/>
            <w:hideMark/>
          </w:tcPr>
          <w:p w14:paraId="41C02A7D" w14:textId="77777777" w:rsidR="008E1D26" w:rsidRPr="008E1D26" w:rsidRDefault="008E1D26" w:rsidP="008E1D26">
            <w:pPr>
              <w:spacing w:after="0" w:line="240" w:lineRule="auto"/>
              <w:jc w:val="right"/>
              <w:rPr>
                <w:rFonts w:ascii="Calibri" w:eastAsia="Times New Roman" w:hAnsi="Calibri" w:cs="Times New Roman"/>
                <w:sz w:val="20"/>
                <w:szCs w:val="20"/>
                <w:lang w:eastAsia="pl-PL"/>
              </w:rPr>
            </w:pPr>
            <w:r w:rsidRPr="008E1D26">
              <w:rPr>
                <w:rFonts w:ascii="Calibri" w:eastAsia="Times New Roman" w:hAnsi="Calibri" w:cs="Times New Roman"/>
                <w:sz w:val="20"/>
                <w:szCs w:val="20"/>
                <w:lang w:eastAsia="pl-PL"/>
              </w:rPr>
              <w:t>10 496</w:t>
            </w:r>
          </w:p>
        </w:tc>
        <w:tc>
          <w:tcPr>
            <w:tcW w:w="1417" w:type="dxa"/>
            <w:tcBorders>
              <w:top w:val="single" w:sz="4" w:space="0" w:color="auto"/>
              <w:left w:val="nil"/>
              <w:bottom w:val="single" w:sz="4" w:space="0" w:color="auto"/>
              <w:right w:val="single" w:sz="4" w:space="0" w:color="auto"/>
            </w:tcBorders>
            <w:shd w:val="clear" w:color="000000" w:fill="FFFFFF"/>
            <w:noWrap/>
            <w:vAlign w:val="bottom"/>
            <w:hideMark/>
          </w:tcPr>
          <w:p w14:paraId="042ADBD3" w14:textId="77777777" w:rsidR="008E1D26" w:rsidRPr="008E1D26" w:rsidRDefault="008E1D26" w:rsidP="008E1D26">
            <w:pPr>
              <w:spacing w:after="0" w:line="240" w:lineRule="auto"/>
              <w:jc w:val="right"/>
              <w:rPr>
                <w:rFonts w:ascii="Calibri" w:eastAsia="Times New Roman" w:hAnsi="Calibri" w:cs="Times New Roman"/>
                <w:sz w:val="20"/>
                <w:szCs w:val="20"/>
                <w:lang w:eastAsia="pl-PL"/>
              </w:rPr>
            </w:pPr>
            <w:r w:rsidRPr="008E1D26">
              <w:rPr>
                <w:rFonts w:ascii="Calibri" w:eastAsia="Times New Roman" w:hAnsi="Calibri" w:cs="Times New Roman"/>
                <w:sz w:val="20"/>
                <w:szCs w:val="20"/>
                <w:lang w:eastAsia="pl-PL"/>
              </w:rPr>
              <w:t>8,1%</w:t>
            </w:r>
          </w:p>
        </w:tc>
        <w:tc>
          <w:tcPr>
            <w:tcW w:w="1418" w:type="dxa"/>
            <w:tcBorders>
              <w:top w:val="single" w:sz="4" w:space="0" w:color="auto"/>
              <w:left w:val="nil"/>
              <w:bottom w:val="single" w:sz="4" w:space="0" w:color="auto"/>
              <w:right w:val="single" w:sz="4" w:space="0" w:color="auto"/>
            </w:tcBorders>
            <w:shd w:val="clear" w:color="000000" w:fill="FFFFFF"/>
            <w:noWrap/>
            <w:vAlign w:val="bottom"/>
            <w:hideMark/>
          </w:tcPr>
          <w:p w14:paraId="7B3FDC08" w14:textId="77777777" w:rsidR="008E1D26" w:rsidRPr="008E1D26" w:rsidRDefault="008E1D26" w:rsidP="008E1D26">
            <w:pPr>
              <w:spacing w:after="0" w:line="240" w:lineRule="auto"/>
              <w:jc w:val="right"/>
              <w:rPr>
                <w:rFonts w:ascii="Calibri" w:eastAsia="Times New Roman" w:hAnsi="Calibri" w:cs="Times New Roman"/>
                <w:sz w:val="20"/>
                <w:szCs w:val="20"/>
                <w:lang w:eastAsia="pl-PL"/>
              </w:rPr>
            </w:pPr>
            <w:r w:rsidRPr="008E1D26">
              <w:rPr>
                <w:rFonts w:ascii="Calibri" w:eastAsia="Times New Roman" w:hAnsi="Calibri" w:cs="Times New Roman"/>
                <w:sz w:val="20"/>
                <w:szCs w:val="20"/>
                <w:lang w:eastAsia="pl-PL"/>
              </w:rPr>
              <w:t>8,0%</w:t>
            </w:r>
          </w:p>
        </w:tc>
      </w:tr>
      <w:tr w:rsidR="008E1D26" w:rsidRPr="008E1D26" w14:paraId="26C96B28" w14:textId="77777777" w:rsidTr="008E1D26">
        <w:trPr>
          <w:trHeight w:val="300"/>
          <w:jc w:val="center"/>
        </w:trPr>
        <w:tc>
          <w:tcPr>
            <w:tcW w:w="2268" w:type="dxa"/>
            <w:tcBorders>
              <w:top w:val="nil"/>
              <w:left w:val="single" w:sz="4" w:space="0" w:color="auto"/>
              <w:bottom w:val="single" w:sz="4" w:space="0" w:color="auto"/>
              <w:right w:val="single" w:sz="4" w:space="0" w:color="auto"/>
            </w:tcBorders>
            <w:shd w:val="clear" w:color="000000" w:fill="FFFFFF"/>
            <w:noWrap/>
            <w:vAlign w:val="bottom"/>
            <w:hideMark/>
          </w:tcPr>
          <w:p w14:paraId="161C8C5F" w14:textId="77777777" w:rsidR="008E1D26" w:rsidRPr="008E1D26" w:rsidRDefault="008E1D26" w:rsidP="008E1D26">
            <w:pPr>
              <w:spacing w:after="0" w:line="240" w:lineRule="auto"/>
              <w:rPr>
                <w:rFonts w:ascii="Calibri" w:eastAsia="Times New Roman" w:hAnsi="Calibri" w:cs="Times New Roman"/>
                <w:sz w:val="20"/>
                <w:szCs w:val="20"/>
                <w:lang w:eastAsia="pl-PL"/>
              </w:rPr>
            </w:pPr>
            <w:r w:rsidRPr="008E1D26">
              <w:rPr>
                <w:rFonts w:ascii="Calibri" w:eastAsia="Times New Roman" w:hAnsi="Calibri" w:cs="Times New Roman"/>
                <w:sz w:val="20"/>
                <w:szCs w:val="20"/>
                <w:lang w:eastAsia="pl-PL"/>
              </w:rPr>
              <w:t>MOF Olsztyn</w:t>
            </w:r>
          </w:p>
        </w:tc>
        <w:tc>
          <w:tcPr>
            <w:tcW w:w="1276" w:type="dxa"/>
            <w:tcBorders>
              <w:top w:val="nil"/>
              <w:left w:val="nil"/>
              <w:bottom w:val="single" w:sz="4" w:space="0" w:color="auto"/>
              <w:right w:val="single" w:sz="4" w:space="0" w:color="auto"/>
            </w:tcBorders>
            <w:shd w:val="clear" w:color="000000" w:fill="FFFFFF"/>
            <w:noWrap/>
            <w:vAlign w:val="bottom"/>
            <w:hideMark/>
          </w:tcPr>
          <w:p w14:paraId="6041DB32" w14:textId="77777777" w:rsidR="008E1D26" w:rsidRPr="008E1D26" w:rsidRDefault="008E1D26" w:rsidP="008E1D26">
            <w:pPr>
              <w:spacing w:after="0" w:line="240" w:lineRule="auto"/>
              <w:jc w:val="right"/>
              <w:rPr>
                <w:rFonts w:ascii="Calibri" w:eastAsia="Times New Roman" w:hAnsi="Calibri" w:cs="Times New Roman"/>
                <w:sz w:val="20"/>
                <w:szCs w:val="20"/>
                <w:lang w:eastAsia="pl-PL"/>
              </w:rPr>
            </w:pPr>
            <w:r w:rsidRPr="008E1D26">
              <w:rPr>
                <w:rFonts w:ascii="Calibri" w:eastAsia="Times New Roman" w:hAnsi="Calibri" w:cs="Times New Roman"/>
                <w:sz w:val="20"/>
                <w:szCs w:val="20"/>
                <w:lang w:eastAsia="pl-PL"/>
              </w:rPr>
              <w:t>1 829</w:t>
            </w:r>
          </w:p>
        </w:tc>
        <w:tc>
          <w:tcPr>
            <w:tcW w:w="1276" w:type="dxa"/>
            <w:tcBorders>
              <w:top w:val="nil"/>
              <w:left w:val="nil"/>
              <w:bottom w:val="single" w:sz="4" w:space="0" w:color="auto"/>
              <w:right w:val="single" w:sz="4" w:space="0" w:color="auto"/>
            </w:tcBorders>
            <w:shd w:val="clear" w:color="000000" w:fill="FFFFFF"/>
            <w:noWrap/>
            <w:vAlign w:val="bottom"/>
            <w:hideMark/>
          </w:tcPr>
          <w:p w14:paraId="59830054" w14:textId="77777777" w:rsidR="008E1D26" w:rsidRPr="008E1D26" w:rsidRDefault="008E1D26" w:rsidP="008E1D26">
            <w:pPr>
              <w:spacing w:after="0" w:line="240" w:lineRule="auto"/>
              <w:jc w:val="right"/>
              <w:rPr>
                <w:rFonts w:ascii="Calibri" w:eastAsia="Times New Roman" w:hAnsi="Calibri" w:cs="Times New Roman"/>
                <w:sz w:val="20"/>
                <w:szCs w:val="20"/>
                <w:lang w:eastAsia="pl-PL"/>
              </w:rPr>
            </w:pPr>
            <w:r w:rsidRPr="008E1D26">
              <w:rPr>
                <w:rFonts w:ascii="Calibri" w:eastAsia="Times New Roman" w:hAnsi="Calibri" w:cs="Times New Roman"/>
                <w:sz w:val="20"/>
                <w:szCs w:val="20"/>
                <w:lang w:eastAsia="pl-PL"/>
              </w:rPr>
              <w:t>1 907</w:t>
            </w:r>
          </w:p>
        </w:tc>
        <w:tc>
          <w:tcPr>
            <w:tcW w:w="1417" w:type="dxa"/>
            <w:tcBorders>
              <w:top w:val="nil"/>
              <w:left w:val="nil"/>
              <w:bottom w:val="single" w:sz="4" w:space="0" w:color="auto"/>
              <w:right w:val="single" w:sz="4" w:space="0" w:color="auto"/>
            </w:tcBorders>
            <w:shd w:val="clear" w:color="000000" w:fill="FFFFFF"/>
            <w:noWrap/>
            <w:vAlign w:val="bottom"/>
            <w:hideMark/>
          </w:tcPr>
          <w:p w14:paraId="11B07753" w14:textId="77777777" w:rsidR="008E1D26" w:rsidRPr="008E1D26" w:rsidRDefault="008E1D26" w:rsidP="008E1D26">
            <w:pPr>
              <w:spacing w:after="0" w:line="240" w:lineRule="auto"/>
              <w:jc w:val="right"/>
              <w:rPr>
                <w:rFonts w:ascii="Calibri" w:eastAsia="Times New Roman" w:hAnsi="Calibri" w:cs="Times New Roman"/>
                <w:sz w:val="20"/>
                <w:szCs w:val="20"/>
                <w:lang w:eastAsia="pl-PL"/>
              </w:rPr>
            </w:pPr>
            <w:r w:rsidRPr="008E1D26">
              <w:rPr>
                <w:rFonts w:ascii="Calibri" w:eastAsia="Times New Roman" w:hAnsi="Calibri" w:cs="Times New Roman"/>
                <w:sz w:val="20"/>
                <w:szCs w:val="20"/>
                <w:lang w:eastAsia="pl-PL"/>
              </w:rPr>
              <w:t>6,6%</w:t>
            </w:r>
          </w:p>
        </w:tc>
        <w:tc>
          <w:tcPr>
            <w:tcW w:w="1418" w:type="dxa"/>
            <w:tcBorders>
              <w:top w:val="nil"/>
              <w:left w:val="nil"/>
              <w:bottom w:val="single" w:sz="4" w:space="0" w:color="auto"/>
              <w:right w:val="single" w:sz="4" w:space="0" w:color="auto"/>
            </w:tcBorders>
            <w:shd w:val="clear" w:color="000000" w:fill="FFFFFF"/>
            <w:noWrap/>
            <w:vAlign w:val="bottom"/>
            <w:hideMark/>
          </w:tcPr>
          <w:p w14:paraId="39DE78B4" w14:textId="77777777" w:rsidR="008E1D26" w:rsidRPr="008E1D26" w:rsidRDefault="008E1D26" w:rsidP="008E1D26">
            <w:pPr>
              <w:spacing w:after="0" w:line="240" w:lineRule="auto"/>
              <w:jc w:val="right"/>
              <w:rPr>
                <w:rFonts w:ascii="Calibri" w:eastAsia="Times New Roman" w:hAnsi="Calibri" w:cs="Times New Roman"/>
                <w:sz w:val="20"/>
                <w:szCs w:val="20"/>
                <w:lang w:eastAsia="pl-PL"/>
              </w:rPr>
            </w:pPr>
            <w:r w:rsidRPr="008E1D26">
              <w:rPr>
                <w:rFonts w:ascii="Calibri" w:eastAsia="Times New Roman" w:hAnsi="Calibri" w:cs="Times New Roman"/>
                <w:sz w:val="20"/>
                <w:szCs w:val="20"/>
                <w:lang w:eastAsia="pl-PL"/>
              </w:rPr>
              <w:t>6,3%</w:t>
            </w:r>
          </w:p>
        </w:tc>
      </w:tr>
      <w:tr w:rsidR="008E1D26" w:rsidRPr="008E1D26" w14:paraId="5B30B0DA" w14:textId="77777777" w:rsidTr="008E1D26">
        <w:trPr>
          <w:trHeight w:val="300"/>
          <w:jc w:val="center"/>
        </w:trPr>
        <w:tc>
          <w:tcPr>
            <w:tcW w:w="2268" w:type="dxa"/>
            <w:tcBorders>
              <w:top w:val="nil"/>
              <w:left w:val="single" w:sz="4" w:space="0" w:color="auto"/>
              <w:bottom w:val="single" w:sz="4" w:space="0" w:color="auto"/>
              <w:right w:val="single" w:sz="4" w:space="0" w:color="auto"/>
            </w:tcBorders>
            <w:shd w:val="clear" w:color="000000" w:fill="FFFFFF"/>
            <w:noWrap/>
            <w:vAlign w:val="bottom"/>
            <w:hideMark/>
          </w:tcPr>
          <w:p w14:paraId="1820A83D" w14:textId="77777777" w:rsidR="008E1D26" w:rsidRPr="008E1D26" w:rsidRDefault="008E1D26" w:rsidP="008E1D26">
            <w:pPr>
              <w:spacing w:after="0" w:line="240" w:lineRule="auto"/>
              <w:rPr>
                <w:rFonts w:ascii="Calibri" w:eastAsia="Times New Roman" w:hAnsi="Calibri" w:cs="Times New Roman"/>
                <w:sz w:val="20"/>
                <w:szCs w:val="20"/>
                <w:lang w:eastAsia="pl-PL"/>
              </w:rPr>
            </w:pPr>
            <w:r w:rsidRPr="008E1D26">
              <w:rPr>
                <w:rFonts w:ascii="Calibri" w:eastAsia="Times New Roman" w:hAnsi="Calibri" w:cs="Times New Roman"/>
                <w:sz w:val="20"/>
                <w:szCs w:val="20"/>
                <w:lang w:eastAsia="pl-PL"/>
              </w:rPr>
              <w:t>Olsztyn</w:t>
            </w:r>
          </w:p>
        </w:tc>
        <w:tc>
          <w:tcPr>
            <w:tcW w:w="1276" w:type="dxa"/>
            <w:tcBorders>
              <w:top w:val="nil"/>
              <w:left w:val="nil"/>
              <w:bottom w:val="single" w:sz="4" w:space="0" w:color="auto"/>
              <w:right w:val="single" w:sz="4" w:space="0" w:color="auto"/>
            </w:tcBorders>
            <w:shd w:val="clear" w:color="000000" w:fill="FFFFFF"/>
            <w:noWrap/>
            <w:vAlign w:val="bottom"/>
            <w:hideMark/>
          </w:tcPr>
          <w:p w14:paraId="37E2E34F" w14:textId="77777777" w:rsidR="008E1D26" w:rsidRPr="008E1D26" w:rsidRDefault="008E1D26" w:rsidP="008E1D26">
            <w:pPr>
              <w:spacing w:after="0" w:line="240" w:lineRule="auto"/>
              <w:jc w:val="right"/>
              <w:rPr>
                <w:rFonts w:ascii="Calibri" w:eastAsia="Times New Roman" w:hAnsi="Calibri" w:cs="Times New Roman"/>
                <w:sz w:val="20"/>
                <w:szCs w:val="20"/>
                <w:lang w:eastAsia="pl-PL"/>
              </w:rPr>
            </w:pPr>
            <w:r w:rsidRPr="008E1D26">
              <w:rPr>
                <w:rFonts w:ascii="Calibri" w:eastAsia="Times New Roman" w:hAnsi="Calibri" w:cs="Times New Roman"/>
                <w:sz w:val="20"/>
                <w:szCs w:val="20"/>
                <w:lang w:eastAsia="pl-PL"/>
              </w:rPr>
              <w:t>1 349</w:t>
            </w:r>
          </w:p>
        </w:tc>
        <w:tc>
          <w:tcPr>
            <w:tcW w:w="1276" w:type="dxa"/>
            <w:tcBorders>
              <w:top w:val="nil"/>
              <w:left w:val="nil"/>
              <w:bottom w:val="single" w:sz="4" w:space="0" w:color="auto"/>
              <w:right w:val="single" w:sz="4" w:space="0" w:color="auto"/>
            </w:tcBorders>
            <w:shd w:val="clear" w:color="000000" w:fill="FFFFFF"/>
            <w:noWrap/>
            <w:vAlign w:val="bottom"/>
            <w:hideMark/>
          </w:tcPr>
          <w:p w14:paraId="16371B8D" w14:textId="77777777" w:rsidR="008E1D26" w:rsidRPr="008E1D26" w:rsidRDefault="008E1D26" w:rsidP="008E1D26">
            <w:pPr>
              <w:spacing w:after="0" w:line="240" w:lineRule="auto"/>
              <w:jc w:val="right"/>
              <w:rPr>
                <w:rFonts w:ascii="Calibri" w:eastAsia="Times New Roman" w:hAnsi="Calibri" w:cs="Times New Roman"/>
                <w:sz w:val="20"/>
                <w:szCs w:val="20"/>
                <w:lang w:eastAsia="pl-PL"/>
              </w:rPr>
            </w:pPr>
            <w:r w:rsidRPr="008E1D26">
              <w:rPr>
                <w:rFonts w:ascii="Calibri" w:eastAsia="Times New Roman" w:hAnsi="Calibri" w:cs="Times New Roman"/>
                <w:sz w:val="20"/>
                <w:szCs w:val="20"/>
                <w:lang w:eastAsia="pl-PL"/>
              </w:rPr>
              <w:t>1 334</w:t>
            </w:r>
          </w:p>
        </w:tc>
        <w:tc>
          <w:tcPr>
            <w:tcW w:w="1417" w:type="dxa"/>
            <w:tcBorders>
              <w:top w:val="nil"/>
              <w:left w:val="nil"/>
              <w:bottom w:val="single" w:sz="4" w:space="0" w:color="auto"/>
              <w:right w:val="single" w:sz="4" w:space="0" w:color="auto"/>
            </w:tcBorders>
            <w:shd w:val="clear" w:color="000000" w:fill="FFFFFF"/>
            <w:noWrap/>
            <w:vAlign w:val="bottom"/>
            <w:hideMark/>
          </w:tcPr>
          <w:p w14:paraId="5B28BF7F" w14:textId="77777777" w:rsidR="008E1D26" w:rsidRPr="008E1D26" w:rsidRDefault="008E1D26" w:rsidP="008E1D26">
            <w:pPr>
              <w:spacing w:after="0" w:line="240" w:lineRule="auto"/>
              <w:jc w:val="right"/>
              <w:rPr>
                <w:rFonts w:ascii="Calibri" w:eastAsia="Times New Roman" w:hAnsi="Calibri" w:cs="Times New Roman"/>
                <w:sz w:val="20"/>
                <w:szCs w:val="20"/>
                <w:lang w:eastAsia="pl-PL"/>
              </w:rPr>
            </w:pPr>
            <w:r w:rsidRPr="008E1D26">
              <w:rPr>
                <w:rFonts w:ascii="Calibri" w:eastAsia="Times New Roman" w:hAnsi="Calibri" w:cs="Times New Roman"/>
                <w:sz w:val="20"/>
                <w:szCs w:val="20"/>
                <w:lang w:eastAsia="pl-PL"/>
              </w:rPr>
              <w:t>5,9%</w:t>
            </w:r>
          </w:p>
        </w:tc>
        <w:tc>
          <w:tcPr>
            <w:tcW w:w="1418" w:type="dxa"/>
            <w:tcBorders>
              <w:top w:val="nil"/>
              <w:left w:val="nil"/>
              <w:bottom w:val="single" w:sz="4" w:space="0" w:color="auto"/>
              <w:right w:val="single" w:sz="4" w:space="0" w:color="auto"/>
            </w:tcBorders>
            <w:shd w:val="clear" w:color="000000" w:fill="FFFFFF"/>
            <w:noWrap/>
            <w:vAlign w:val="bottom"/>
            <w:hideMark/>
          </w:tcPr>
          <w:p w14:paraId="45474BB8" w14:textId="77777777" w:rsidR="008E1D26" w:rsidRPr="008E1D26" w:rsidRDefault="008E1D26" w:rsidP="008E1D26">
            <w:pPr>
              <w:spacing w:after="0" w:line="240" w:lineRule="auto"/>
              <w:jc w:val="right"/>
              <w:rPr>
                <w:rFonts w:ascii="Calibri" w:eastAsia="Times New Roman" w:hAnsi="Calibri" w:cs="Times New Roman"/>
                <w:sz w:val="20"/>
                <w:szCs w:val="20"/>
                <w:lang w:eastAsia="pl-PL"/>
              </w:rPr>
            </w:pPr>
            <w:r w:rsidRPr="008E1D26">
              <w:rPr>
                <w:rFonts w:ascii="Calibri" w:eastAsia="Times New Roman" w:hAnsi="Calibri" w:cs="Times New Roman"/>
                <w:sz w:val="20"/>
                <w:szCs w:val="20"/>
                <w:lang w:eastAsia="pl-PL"/>
              </w:rPr>
              <w:t>5,6%</w:t>
            </w:r>
          </w:p>
        </w:tc>
      </w:tr>
    </w:tbl>
    <w:p w14:paraId="75FD8152" w14:textId="77777777" w:rsidR="008E1D26" w:rsidRDefault="008E1D26" w:rsidP="008E1D26">
      <w:pPr>
        <w:spacing w:after="0"/>
        <w:jc w:val="center"/>
      </w:pPr>
      <w:r w:rsidRPr="0091031D">
        <w:rPr>
          <w:i/>
          <w:sz w:val="20"/>
          <w:szCs w:val="20"/>
        </w:rPr>
        <w:t>źródło: opracowanie własne na podstawie danych GUS</w:t>
      </w:r>
    </w:p>
    <w:p w14:paraId="195716BC" w14:textId="77777777" w:rsidR="008E1D26" w:rsidRPr="00E72F21" w:rsidRDefault="008E1D26" w:rsidP="00CF5005">
      <w:pPr>
        <w:jc w:val="both"/>
      </w:pPr>
    </w:p>
    <w:p w14:paraId="3D0FEC29" w14:textId="77777777" w:rsidR="00431D0E" w:rsidRDefault="00431D0E" w:rsidP="008D0C2D">
      <w:pPr>
        <w:pStyle w:val="Nagwek3"/>
        <w:numPr>
          <w:ilvl w:val="2"/>
          <w:numId w:val="38"/>
        </w:numPr>
        <w:ind w:left="709"/>
      </w:pPr>
      <w:bookmarkStart w:id="193" w:name="_Toc73534919"/>
      <w:r>
        <w:t>Sektor kreatywny</w:t>
      </w:r>
      <w:bookmarkEnd w:id="193"/>
    </w:p>
    <w:p w14:paraId="26E3ADC6" w14:textId="17BD2594" w:rsidR="00265ABD" w:rsidRDefault="00265ABD" w:rsidP="008D0C2D">
      <w:pPr>
        <w:jc w:val="both"/>
      </w:pPr>
      <w:r>
        <w:t xml:space="preserve">Zgodnie z klasyfikacją GUS </w:t>
      </w:r>
      <w:r w:rsidR="00AF7F35">
        <w:t xml:space="preserve">sektor kreatywny jest skupiony w sekcji J – informacja i komunikacja, sekcji M – Działalność profesjonalna, naukowa i techniczna oraz sekcji R – Działalność związana </w:t>
      </w:r>
      <w:r w:rsidR="00AF7F35">
        <w:br/>
        <w:t xml:space="preserve">z kulturą, rozrywką i rekreacją. Działy poszczególnych sekcji związane są z m.in. produkcją </w:t>
      </w:r>
      <w:r w:rsidR="00AF7F35">
        <w:br/>
        <w:t xml:space="preserve">i nadawaniem programów telewizyjnych i nagrań dźwiękowych, działalności w zakresie architektury </w:t>
      </w:r>
      <w:r w:rsidR="008D0C2D">
        <w:br/>
      </w:r>
      <w:r w:rsidR="00AF7F35">
        <w:t>i inżynierii, reklamą, badaniami rynku i opinii publicznej czy działalnością instytucji kulturalnych.</w:t>
      </w:r>
    </w:p>
    <w:p w14:paraId="078E4659" w14:textId="5682FF2C" w:rsidR="00AF7F35" w:rsidRDefault="00AF7F35" w:rsidP="008D0C2D">
      <w:pPr>
        <w:jc w:val="both"/>
      </w:pPr>
      <w:r>
        <w:t xml:space="preserve">Udział sektora kreatywnego wśród wybranych miast Polski Wschodniej </w:t>
      </w:r>
      <w:r w:rsidR="00BA4D80">
        <w:t xml:space="preserve">charakteryzuje stała tendencja wzrostowa. W Olsztynie liczba </w:t>
      </w:r>
      <w:r w:rsidR="005F0E86">
        <w:t>podmiotów zaliczanych do sektora kreatywnego</w:t>
      </w:r>
      <w:r w:rsidR="00BA4D80">
        <w:t xml:space="preserve"> wzrosła o 13% w roku 2019 porównując do danych za rok 2013 (3928 firm - w roku 2013 oraz 4512 podmiotów w 2019 roku). </w:t>
      </w:r>
    </w:p>
    <w:p w14:paraId="7A842E68" w14:textId="3532947F" w:rsidR="004361AB" w:rsidRDefault="004361AB" w:rsidP="008D0C2D">
      <w:pPr>
        <w:jc w:val="both"/>
      </w:pPr>
    </w:p>
    <w:p w14:paraId="3CE069DB" w14:textId="6CD8183A" w:rsidR="004361AB" w:rsidRPr="004361AB" w:rsidRDefault="004361AB" w:rsidP="004361AB">
      <w:pPr>
        <w:pStyle w:val="Legenda"/>
        <w:rPr>
          <w:sz w:val="22"/>
          <w:szCs w:val="22"/>
          <w:lang w:val="pl-PL"/>
        </w:rPr>
      </w:pPr>
      <w:bookmarkStart w:id="194" w:name="_Toc73516130"/>
      <w:r w:rsidRPr="004361AB">
        <w:rPr>
          <w:sz w:val="22"/>
          <w:szCs w:val="22"/>
        </w:rPr>
        <w:t xml:space="preserve">Wykres </w:t>
      </w:r>
      <w:r w:rsidRPr="004361AB">
        <w:rPr>
          <w:sz w:val="22"/>
          <w:szCs w:val="22"/>
        </w:rPr>
        <w:fldChar w:fldCharType="begin"/>
      </w:r>
      <w:r w:rsidRPr="004361AB">
        <w:rPr>
          <w:sz w:val="22"/>
          <w:szCs w:val="22"/>
        </w:rPr>
        <w:instrText xml:space="preserve"> SEQ Wykres \* ARABIC </w:instrText>
      </w:r>
      <w:r w:rsidRPr="004361AB">
        <w:rPr>
          <w:sz w:val="22"/>
          <w:szCs w:val="22"/>
        </w:rPr>
        <w:fldChar w:fldCharType="separate"/>
      </w:r>
      <w:r w:rsidR="00AD58C3">
        <w:rPr>
          <w:noProof/>
          <w:sz w:val="22"/>
          <w:szCs w:val="22"/>
        </w:rPr>
        <w:t>68</w:t>
      </w:r>
      <w:r w:rsidRPr="004361AB">
        <w:rPr>
          <w:sz w:val="22"/>
          <w:szCs w:val="22"/>
        </w:rPr>
        <w:fldChar w:fldCharType="end"/>
      </w:r>
      <w:r w:rsidRPr="004361AB">
        <w:rPr>
          <w:sz w:val="22"/>
          <w:szCs w:val="22"/>
        </w:rPr>
        <w:t xml:space="preserve">. </w:t>
      </w:r>
      <w:r w:rsidRPr="004361AB">
        <w:rPr>
          <w:bCs/>
          <w:sz w:val="22"/>
          <w:szCs w:val="22"/>
          <w:lang w:val="en-US"/>
        </w:rPr>
        <w:t>Podmioty sektora kreatywnego w latach 2013-2019</w:t>
      </w:r>
      <w:bookmarkEnd w:id="194"/>
    </w:p>
    <w:p w14:paraId="782D6765" w14:textId="77777777" w:rsidR="00BA4D80" w:rsidRDefault="00BA4D80" w:rsidP="00BA4D80">
      <w:pPr>
        <w:spacing w:after="0" w:line="240" w:lineRule="auto"/>
        <w:ind w:left="360"/>
        <w:jc w:val="center"/>
      </w:pPr>
      <w:r>
        <w:rPr>
          <w:noProof/>
          <w:lang w:eastAsia="pl-PL"/>
        </w:rPr>
        <w:drawing>
          <wp:inline distT="0" distB="0" distL="0" distR="0" wp14:anchorId="32E44346" wp14:editId="3713CA23">
            <wp:extent cx="5619750" cy="2782570"/>
            <wp:effectExtent l="0" t="0" r="0" b="17780"/>
            <wp:docPr id="76" name="Wykres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00E48E33" w14:textId="77777777" w:rsidR="00762B29" w:rsidRDefault="00762B29" w:rsidP="00BA4D80">
      <w:pPr>
        <w:spacing w:after="0" w:line="240" w:lineRule="auto"/>
        <w:jc w:val="center"/>
      </w:pPr>
      <w:r w:rsidRPr="0091031D">
        <w:rPr>
          <w:i/>
          <w:sz w:val="20"/>
          <w:szCs w:val="20"/>
        </w:rPr>
        <w:t>źródło: opracowanie własne na podstawie danych GUS</w:t>
      </w:r>
    </w:p>
    <w:p w14:paraId="5B2FDB6B" w14:textId="77777777" w:rsidR="00762B29" w:rsidRDefault="00762B29" w:rsidP="00AF7F35">
      <w:pPr>
        <w:ind w:left="360"/>
        <w:jc w:val="both"/>
      </w:pPr>
    </w:p>
    <w:p w14:paraId="56018E1C" w14:textId="31CC6CDB" w:rsidR="00C379BC" w:rsidRDefault="00C379BC" w:rsidP="008D0C2D">
      <w:pPr>
        <w:jc w:val="both"/>
      </w:pPr>
      <w:r>
        <w:t xml:space="preserve">Również w województwie warmińsko-mazurskim w latach 2013-2019 zaobserwowano stały wzrost udziału podmiotów sektora kreatywnego w ogólnej liczbie zarejestrowanych podmiotów gospodarczych. Przyrost ten jest jednak niższy </w:t>
      </w:r>
      <w:r w:rsidR="00390A9A">
        <w:t xml:space="preserve">o około 7% </w:t>
      </w:r>
      <w:r>
        <w:t xml:space="preserve">niż </w:t>
      </w:r>
      <w:r w:rsidR="00CC1906">
        <w:t xml:space="preserve">odnotowany w roku 2019 </w:t>
      </w:r>
      <w:r w:rsidR="00390A9A">
        <w:t xml:space="preserve">w przypadku podmiotów działających na terenie Olsztyna i MOF Olsztyna. W roku 2019 spośród gmin MOF Olsztyna </w:t>
      </w:r>
      <w:r w:rsidR="00390A9A">
        <w:lastRenderedPageBreak/>
        <w:t>wysokim poziomem udziału podmiotów sektora kreatywnego wyróżnia się gmina Stawiguda (21,9%) oraz gmina Gietrzwałd (18,7%).</w:t>
      </w:r>
    </w:p>
    <w:p w14:paraId="14B59F3E" w14:textId="4B004008" w:rsidR="00BA4D80" w:rsidRPr="00DF1561" w:rsidRDefault="00DF1561" w:rsidP="00DF1561">
      <w:pPr>
        <w:pStyle w:val="Legenda"/>
        <w:rPr>
          <w:sz w:val="22"/>
          <w:szCs w:val="22"/>
        </w:rPr>
      </w:pPr>
      <w:bookmarkStart w:id="195" w:name="_Toc73534985"/>
      <w:r w:rsidRPr="00DF1561">
        <w:rPr>
          <w:sz w:val="22"/>
          <w:szCs w:val="22"/>
        </w:rPr>
        <w:t xml:space="preserve">Tabela </w:t>
      </w:r>
      <w:r w:rsidRPr="00DF1561">
        <w:rPr>
          <w:sz w:val="22"/>
          <w:szCs w:val="22"/>
        </w:rPr>
        <w:fldChar w:fldCharType="begin"/>
      </w:r>
      <w:r w:rsidRPr="00DF1561">
        <w:rPr>
          <w:sz w:val="22"/>
          <w:szCs w:val="22"/>
        </w:rPr>
        <w:instrText xml:space="preserve"> SEQ Tabela \* ARABIC </w:instrText>
      </w:r>
      <w:r w:rsidRPr="00DF1561">
        <w:rPr>
          <w:sz w:val="22"/>
          <w:szCs w:val="22"/>
        </w:rPr>
        <w:fldChar w:fldCharType="separate"/>
      </w:r>
      <w:r w:rsidR="00AD58C3">
        <w:rPr>
          <w:noProof/>
          <w:sz w:val="22"/>
          <w:szCs w:val="22"/>
        </w:rPr>
        <w:t>22</w:t>
      </w:r>
      <w:r w:rsidRPr="00DF1561">
        <w:rPr>
          <w:sz w:val="22"/>
          <w:szCs w:val="22"/>
        </w:rPr>
        <w:fldChar w:fldCharType="end"/>
      </w:r>
      <w:r w:rsidRPr="00DF1561">
        <w:rPr>
          <w:sz w:val="22"/>
          <w:szCs w:val="22"/>
        </w:rPr>
        <w:t xml:space="preserve">. </w:t>
      </w:r>
      <w:r w:rsidRPr="00DF1561">
        <w:rPr>
          <w:rFonts w:eastAsia="Times New Roman" w:cs="Times New Roman"/>
          <w:bCs/>
          <w:color w:val="000000"/>
          <w:sz w:val="22"/>
          <w:szCs w:val="22"/>
          <w:lang w:eastAsia="pl-PL"/>
        </w:rPr>
        <w:t>Udział % podmiotów sektora kreatywnego w liczbie zarejestrowanych podmiotów ogółem w latach 2013 i 2019</w:t>
      </w:r>
      <w:bookmarkEnd w:id="195"/>
    </w:p>
    <w:tbl>
      <w:tblPr>
        <w:tblW w:w="58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14"/>
        <w:gridCol w:w="1655"/>
        <w:gridCol w:w="1843"/>
      </w:tblGrid>
      <w:tr w:rsidR="00BA4D80" w:rsidRPr="00BA4D80" w14:paraId="5F95F9CA" w14:textId="77777777" w:rsidTr="009636B8">
        <w:trPr>
          <w:trHeight w:val="300"/>
          <w:jc w:val="center"/>
        </w:trPr>
        <w:tc>
          <w:tcPr>
            <w:tcW w:w="2314" w:type="dxa"/>
            <w:tcBorders>
              <w:top w:val="nil"/>
              <w:left w:val="nil"/>
              <w:bottom w:val="single" w:sz="4" w:space="0" w:color="auto"/>
              <w:right w:val="single" w:sz="4" w:space="0" w:color="auto"/>
            </w:tcBorders>
            <w:shd w:val="clear" w:color="auto" w:fill="auto"/>
            <w:noWrap/>
            <w:vAlign w:val="bottom"/>
            <w:hideMark/>
          </w:tcPr>
          <w:p w14:paraId="56BF7A3E" w14:textId="77777777" w:rsidR="00BA4D80" w:rsidRPr="00BA4D80" w:rsidRDefault="00BA4D80" w:rsidP="00BA4D80">
            <w:pPr>
              <w:spacing w:after="0" w:line="240" w:lineRule="auto"/>
              <w:jc w:val="center"/>
              <w:rPr>
                <w:rFonts w:ascii="Calibri" w:eastAsia="Times New Roman" w:hAnsi="Calibri" w:cs="Times New Roman"/>
                <w:b/>
                <w:bCs/>
                <w:color w:val="000000"/>
                <w:sz w:val="20"/>
                <w:szCs w:val="20"/>
                <w:lang w:eastAsia="pl-PL"/>
              </w:rPr>
            </w:pPr>
          </w:p>
        </w:tc>
        <w:tc>
          <w:tcPr>
            <w:tcW w:w="1655" w:type="dxa"/>
            <w:tcBorders>
              <w:left w:val="single" w:sz="4" w:space="0" w:color="auto"/>
            </w:tcBorders>
            <w:shd w:val="clear" w:color="auto" w:fill="92D050"/>
            <w:noWrap/>
            <w:vAlign w:val="center"/>
            <w:hideMark/>
          </w:tcPr>
          <w:p w14:paraId="0AC184D4" w14:textId="77777777" w:rsidR="00BA4D80" w:rsidRPr="00BA4D80" w:rsidRDefault="00BA4D80" w:rsidP="000579DA">
            <w:pPr>
              <w:spacing w:after="0" w:line="240" w:lineRule="auto"/>
              <w:jc w:val="center"/>
              <w:rPr>
                <w:rFonts w:ascii="Calibri" w:eastAsia="Times New Roman" w:hAnsi="Calibri" w:cs="Times New Roman"/>
                <w:b/>
                <w:bCs/>
                <w:sz w:val="20"/>
                <w:szCs w:val="20"/>
                <w:lang w:eastAsia="pl-PL"/>
              </w:rPr>
            </w:pPr>
            <w:r w:rsidRPr="00BA4D80">
              <w:rPr>
                <w:rFonts w:ascii="Calibri" w:eastAsia="Times New Roman" w:hAnsi="Calibri" w:cs="Times New Roman"/>
                <w:b/>
                <w:bCs/>
                <w:sz w:val="20"/>
                <w:szCs w:val="20"/>
                <w:lang w:eastAsia="pl-PL"/>
              </w:rPr>
              <w:t>2013</w:t>
            </w:r>
          </w:p>
        </w:tc>
        <w:tc>
          <w:tcPr>
            <w:tcW w:w="1843" w:type="dxa"/>
            <w:shd w:val="clear" w:color="auto" w:fill="92D050"/>
            <w:noWrap/>
            <w:vAlign w:val="center"/>
            <w:hideMark/>
          </w:tcPr>
          <w:p w14:paraId="3D11667F" w14:textId="77777777" w:rsidR="00BA4D80" w:rsidRPr="00BA4D80" w:rsidRDefault="00BA4D80" w:rsidP="000579DA">
            <w:pPr>
              <w:spacing w:after="0" w:line="240" w:lineRule="auto"/>
              <w:jc w:val="center"/>
              <w:rPr>
                <w:rFonts w:ascii="Calibri" w:eastAsia="Times New Roman" w:hAnsi="Calibri" w:cs="Times New Roman"/>
                <w:b/>
                <w:bCs/>
                <w:sz w:val="20"/>
                <w:szCs w:val="20"/>
                <w:lang w:eastAsia="pl-PL"/>
              </w:rPr>
            </w:pPr>
            <w:r w:rsidRPr="00BA4D80">
              <w:rPr>
                <w:rFonts w:ascii="Calibri" w:eastAsia="Times New Roman" w:hAnsi="Calibri" w:cs="Times New Roman"/>
                <w:b/>
                <w:bCs/>
                <w:sz w:val="20"/>
                <w:szCs w:val="20"/>
                <w:lang w:eastAsia="pl-PL"/>
              </w:rPr>
              <w:t>2019</w:t>
            </w:r>
          </w:p>
        </w:tc>
      </w:tr>
      <w:tr w:rsidR="00BA4D80" w:rsidRPr="00BA4D80" w14:paraId="4DD90536" w14:textId="77777777" w:rsidTr="00F3455B">
        <w:trPr>
          <w:trHeight w:val="300"/>
          <w:jc w:val="center"/>
        </w:trPr>
        <w:tc>
          <w:tcPr>
            <w:tcW w:w="2314" w:type="dxa"/>
            <w:tcBorders>
              <w:top w:val="single" w:sz="4" w:space="0" w:color="auto"/>
            </w:tcBorders>
            <w:shd w:val="clear" w:color="auto" w:fill="auto"/>
            <w:noWrap/>
            <w:vAlign w:val="bottom"/>
            <w:hideMark/>
          </w:tcPr>
          <w:p w14:paraId="179CAA8E" w14:textId="77777777" w:rsidR="00BA4D80" w:rsidRPr="00BA4D80" w:rsidRDefault="00BA4D80" w:rsidP="00BA4D80">
            <w:pPr>
              <w:spacing w:after="0" w:line="240" w:lineRule="auto"/>
              <w:rPr>
                <w:rFonts w:ascii="Calibri" w:eastAsia="Times New Roman" w:hAnsi="Calibri" w:cs="Times New Roman"/>
                <w:sz w:val="20"/>
                <w:szCs w:val="20"/>
                <w:lang w:eastAsia="pl-PL"/>
              </w:rPr>
            </w:pPr>
            <w:r w:rsidRPr="00BA4D80">
              <w:rPr>
                <w:rFonts w:ascii="Calibri" w:eastAsia="Times New Roman" w:hAnsi="Calibri" w:cs="Times New Roman"/>
                <w:sz w:val="20"/>
                <w:szCs w:val="20"/>
                <w:lang w:eastAsia="pl-PL"/>
              </w:rPr>
              <w:t>WARMIŃSKO-MAZURSKIE</w:t>
            </w:r>
          </w:p>
        </w:tc>
        <w:tc>
          <w:tcPr>
            <w:tcW w:w="1655" w:type="dxa"/>
            <w:shd w:val="clear" w:color="auto" w:fill="auto"/>
            <w:noWrap/>
            <w:vAlign w:val="bottom"/>
            <w:hideMark/>
          </w:tcPr>
          <w:p w14:paraId="7047B9D6" w14:textId="77777777" w:rsidR="00BA4D80" w:rsidRPr="00BA4D80" w:rsidRDefault="00BA4D80" w:rsidP="00BA4D80">
            <w:pPr>
              <w:spacing w:after="0" w:line="240" w:lineRule="auto"/>
              <w:jc w:val="right"/>
              <w:rPr>
                <w:rFonts w:ascii="Calibri" w:eastAsia="Times New Roman" w:hAnsi="Calibri" w:cs="Times New Roman"/>
                <w:sz w:val="20"/>
                <w:szCs w:val="20"/>
                <w:lang w:eastAsia="pl-PL"/>
              </w:rPr>
            </w:pPr>
            <w:r w:rsidRPr="00BA4D80">
              <w:rPr>
                <w:rFonts w:ascii="Calibri" w:eastAsia="Times New Roman" w:hAnsi="Calibri" w:cs="Times New Roman"/>
                <w:sz w:val="20"/>
                <w:szCs w:val="20"/>
                <w:lang w:eastAsia="pl-PL"/>
              </w:rPr>
              <w:t>10,7</w:t>
            </w:r>
          </w:p>
        </w:tc>
        <w:tc>
          <w:tcPr>
            <w:tcW w:w="1843" w:type="dxa"/>
            <w:shd w:val="clear" w:color="auto" w:fill="auto"/>
            <w:noWrap/>
            <w:vAlign w:val="bottom"/>
            <w:hideMark/>
          </w:tcPr>
          <w:p w14:paraId="0AB1460D" w14:textId="77777777" w:rsidR="00BA4D80" w:rsidRPr="00BA4D80" w:rsidRDefault="00BA4D80" w:rsidP="00BA4D80">
            <w:pPr>
              <w:spacing w:after="0" w:line="240" w:lineRule="auto"/>
              <w:jc w:val="right"/>
              <w:rPr>
                <w:rFonts w:ascii="Calibri" w:eastAsia="Times New Roman" w:hAnsi="Calibri" w:cs="Times New Roman"/>
                <w:sz w:val="20"/>
                <w:szCs w:val="20"/>
                <w:lang w:eastAsia="pl-PL"/>
              </w:rPr>
            </w:pPr>
            <w:r w:rsidRPr="00BA4D80">
              <w:rPr>
                <w:rFonts w:ascii="Calibri" w:eastAsia="Times New Roman" w:hAnsi="Calibri" w:cs="Times New Roman"/>
                <w:sz w:val="20"/>
                <w:szCs w:val="20"/>
                <w:lang w:eastAsia="pl-PL"/>
              </w:rPr>
              <w:t>11,9</w:t>
            </w:r>
          </w:p>
        </w:tc>
      </w:tr>
      <w:tr w:rsidR="00BA4D80" w:rsidRPr="00BA4D80" w14:paraId="3FE60F89" w14:textId="77777777" w:rsidTr="00F3455B">
        <w:trPr>
          <w:trHeight w:val="300"/>
          <w:jc w:val="center"/>
        </w:trPr>
        <w:tc>
          <w:tcPr>
            <w:tcW w:w="2314" w:type="dxa"/>
            <w:shd w:val="clear" w:color="auto" w:fill="auto"/>
            <w:noWrap/>
            <w:vAlign w:val="bottom"/>
            <w:hideMark/>
          </w:tcPr>
          <w:p w14:paraId="19A9D411" w14:textId="77777777" w:rsidR="00BA4D80" w:rsidRPr="00BA4D80" w:rsidRDefault="00BA4D80" w:rsidP="00BA4D80">
            <w:pPr>
              <w:spacing w:after="0" w:line="240" w:lineRule="auto"/>
              <w:rPr>
                <w:rFonts w:ascii="Calibri" w:eastAsia="Times New Roman" w:hAnsi="Calibri" w:cs="Times New Roman"/>
                <w:sz w:val="20"/>
                <w:szCs w:val="20"/>
                <w:lang w:eastAsia="pl-PL"/>
              </w:rPr>
            </w:pPr>
            <w:r w:rsidRPr="00BA4D80">
              <w:rPr>
                <w:rFonts w:ascii="Calibri" w:eastAsia="Times New Roman" w:hAnsi="Calibri" w:cs="Times New Roman"/>
                <w:sz w:val="20"/>
                <w:szCs w:val="20"/>
                <w:lang w:eastAsia="pl-PL"/>
              </w:rPr>
              <w:t>MOF Olsztyna</w:t>
            </w:r>
          </w:p>
        </w:tc>
        <w:tc>
          <w:tcPr>
            <w:tcW w:w="1655" w:type="dxa"/>
            <w:shd w:val="clear" w:color="auto" w:fill="auto"/>
            <w:noWrap/>
            <w:vAlign w:val="bottom"/>
            <w:hideMark/>
          </w:tcPr>
          <w:p w14:paraId="233955C9" w14:textId="77777777" w:rsidR="00BA4D80" w:rsidRPr="00BA4D80" w:rsidRDefault="00BA4D80" w:rsidP="00BA4D80">
            <w:pPr>
              <w:spacing w:after="0" w:line="240" w:lineRule="auto"/>
              <w:jc w:val="right"/>
              <w:rPr>
                <w:rFonts w:ascii="Calibri" w:eastAsia="Times New Roman" w:hAnsi="Calibri" w:cs="Times New Roman"/>
                <w:sz w:val="20"/>
                <w:szCs w:val="20"/>
                <w:lang w:eastAsia="pl-PL"/>
              </w:rPr>
            </w:pPr>
            <w:r w:rsidRPr="00BA4D80">
              <w:rPr>
                <w:rFonts w:ascii="Calibri" w:eastAsia="Times New Roman" w:hAnsi="Calibri" w:cs="Times New Roman"/>
                <w:sz w:val="20"/>
                <w:szCs w:val="20"/>
                <w:lang w:eastAsia="pl-PL"/>
              </w:rPr>
              <w:t>16,9</w:t>
            </w:r>
          </w:p>
        </w:tc>
        <w:tc>
          <w:tcPr>
            <w:tcW w:w="1843" w:type="dxa"/>
            <w:shd w:val="clear" w:color="auto" w:fill="auto"/>
            <w:noWrap/>
            <w:vAlign w:val="bottom"/>
            <w:hideMark/>
          </w:tcPr>
          <w:p w14:paraId="699CD00A" w14:textId="77777777" w:rsidR="00BA4D80" w:rsidRPr="00BA4D80" w:rsidRDefault="00BA4D80" w:rsidP="00BA4D80">
            <w:pPr>
              <w:spacing w:after="0" w:line="240" w:lineRule="auto"/>
              <w:jc w:val="right"/>
              <w:rPr>
                <w:rFonts w:ascii="Calibri" w:eastAsia="Times New Roman" w:hAnsi="Calibri" w:cs="Times New Roman"/>
                <w:sz w:val="20"/>
                <w:szCs w:val="20"/>
                <w:lang w:eastAsia="pl-PL"/>
              </w:rPr>
            </w:pPr>
            <w:r w:rsidRPr="00BA4D80">
              <w:rPr>
                <w:rFonts w:ascii="Calibri" w:eastAsia="Times New Roman" w:hAnsi="Calibri" w:cs="Times New Roman"/>
                <w:sz w:val="20"/>
                <w:szCs w:val="20"/>
                <w:lang w:eastAsia="pl-PL"/>
              </w:rPr>
              <w:t>18,6</w:t>
            </w:r>
          </w:p>
        </w:tc>
      </w:tr>
      <w:tr w:rsidR="00BA4D80" w:rsidRPr="00BA4D80" w14:paraId="36C5D8CE" w14:textId="77777777" w:rsidTr="00F3455B">
        <w:trPr>
          <w:trHeight w:val="300"/>
          <w:jc w:val="center"/>
        </w:trPr>
        <w:tc>
          <w:tcPr>
            <w:tcW w:w="2314" w:type="dxa"/>
            <w:shd w:val="clear" w:color="auto" w:fill="auto"/>
            <w:noWrap/>
            <w:vAlign w:val="bottom"/>
            <w:hideMark/>
          </w:tcPr>
          <w:p w14:paraId="77EED6EE" w14:textId="77777777" w:rsidR="00BA4D80" w:rsidRPr="00BA4D80" w:rsidRDefault="00BA4D80" w:rsidP="00BA4D80">
            <w:pPr>
              <w:spacing w:after="0" w:line="240" w:lineRule="auto"/>
              <w:rPr>
                <w:rFonts w:ascii="Calibri" w:eastAsia="Times New Roman" w:hAnsi="Calibri" w:cs="Times New Roman"/>
                <w:sz w:val="20"/>
                <w:szCs w:val="20"/>
                <w:lang w:eastAsia="pl-PL"/>
              </w:rPr>
            </w:pPr>
            <w:r w:rsidRPr="00BA4D80">
              <w:rPr>
                <w:rFonts w:ascii="Calibri" w:eastAsia="Times New Roman" w:hAnsi="Calibri" w:cs="Times New Roman"/>
                <w:sz w:val="20"/>
                <w:szCs w:val="20"/>
                <w:lang w:eastAsia="pl-PL"/>
              </w:rPr>
              <w:t>Olsztyn</w:t>
            </w:r>
          </w:p>
        </w:tc>
        <w:tc>
          <w:tcPr>
            <w:tcW w:w="1655" w:type="dxa"/>
            <w:shd w:val="clear" w:color="auto" w:fill="auto"/>
            <w:noWrap/>
            <w:vAlign w:val="bottom"/>
            <w:hideMark/>
          </w:tcPr>
          <w:p w14:paraId="20B85256" w14:textId="77777777" w:rsidR="00BA4D80" w:rsidRPr="00BA4D80" w:rsidRDefault="00BA4D80" w:rsidP="00BA4D80">
            <w:pPr>
              <w:spacing w:after="0" w:line="240" w:lineRule="auto"/>
              <w:jc w:val="right"/>
              <w:rPr>
                <w:rFonts w:ascii="Calibri" w:eastAsia="Times New Roman" w:hAnsi="Calibri" w:cs="Times New Roman"/>
                <w:sz w:val="20"/>
                <w:szCs w:val="20"/>
                <w:lang w:eastAsia="pl-PL"/>
              </w:rPr>
            </w:pPr>
            <w:r w:rsidRPr="00BA4D80">
              <w:rPr>
                <w:rFonts w:ascii="Calibri" w:eastAsia="Times New Roman" w:hAnsi="Calibri" w:cs="Times New Roman"/>
                <w:sz w:val="20"/>
                <w:szCs w:val="20"/>
                <w:lang w:eastAsia="pl-PL"/>
              </w:rPr>
              <w:t>17,3</w:t>
            </w:r>
          </w:p>
        </w:tc>
        <w:tc>
          <w:tcPr>
            <w:tcW w:w="1843" w:type="dxa"/>
            <w:shd w:val="clear" w:color="auto" w:fill="auto"/>
            <w:noWrap/>
            <w:vAlign w:val="bottom"/>
            <w:hideMark/>
          </w:tcPr>
          <w:p w14:paraId="5A3B7A0B" w14:textId="77777777" w:rsidR="00BA4D80" w:rsidRPr="00BA4D80" w:rsidRDefault="00BA4D80" w:rsidP="00BA4D80">
            <w:pPr>
              <w:spacing w:after="0" w:line="240" w:lineRule="auto"/>
              <w:jc w:val="right"/>
              <w:rPr>
                <w:rFonts w:ascii="Calibri" w:eastAsia="Times New Roman" w:hAnsi="Calibri" w:cs="Times New Roman"/>
                <w:sz w:val="20"/>
                <w:szCs w:val="20"/>
                <w:lang w:eastAsia="pl-PL"/>
              </w:rPr>
            </w:pPr>
            <w:r w:rsidRPr="00BA4D80">
              <w:rPr>
                <w:rFonts w:ascii="Calibri" w:eastAsia="Times New Roman" w:hAnsi="Calibri" w:cs="Times New Roman"/>
                <w:sz w:val="20"/>
                <w:szCs w:val="20"/>
                <w:lang w:eastAsia="pl-PL"/>
              </w:rPr>
              <w:t>19,1</w:t>
            </w:r>
          </w:p>
        </w:tc>
      </w:tr>
    </w:tbl>
    <w:p w14:paraId="5F1B2463" w14:textId="77777777" w:rsidR="000579DA" w:rsidRDefault="000579DA" w:rsidP="000579DA">
      <w:pPr>
        <w:spacing w:after="0" w:line="240" w:lineRule="auto"/>
        <w:jc w:val="center"/>
      </w:pPr>
      <w:r w:rsidRPr="0091031D">
        <w:rPr>
          <w:i/>
          <w:sz w:val="20"/>
          <w:szCs w:val="20"/>
        </w:rPr>
        <w:t>źródło: opracowanie własne na podstawie danych GUS</w:t>
      </w:r>
    </w:p>
    <w:p w14:paraId="2F4FC3BB" w14:textId="77777777" w:rsidR="00BA4D80" w:rsidRDefault="00BA4D80" w:rsidP="00AF7F35">
      <w:pPr>
        <w:ind w:left="360"/>
        <w:jc w:val="both"/>
      </w:pPr>
    </w:p>
    <w:p w14:paraId="1B32AE6C" w14:textId="7C566728" w:rsidR="00762B29" w:rsidRDefault="00D052B1" w:rsidP="008D0C2D">
      <w:pPr>
        <w:jc w:val="both"/>
      </w:pPr>
      <w:r>
        <w:t>W</w:t>
      </w:r>
      <w:r w:rsidR="00730792">
        <w:t xml:space="preserve"> Olsztynie u</w:t>
      </w:r>
      <w:r w:rsidR="00762B29">
        <w:t xml:space="preserve">dział nowo zarejestrowanych podmiotów sektora kreatywnego </w:t>
      </w:r>
      <w:r w:rsidR="009161F2">
        <w:t>w ogólnej liczbie nowo zarejestrowanych firm osiągnął w roku 2019 poziom 21,6% i by</w:t>
      </w:r>
      <w:r w:rsidR="00730792">
        <w:t>ł wyższy o 2% od poziomu zanotowanego w roku 2013 (19,5%). Wśród analizowanych miast Polski Wschodniej w roku 2019 wysoki wskaźnik udziału sektora kreatywnego zaobserwowano w Rzeszowie (27,2%) oraz Lublinie (25,8%).</w:t>
      </w:r>
    </w:p>
    <w:p w14:paraId="19C062D8" w14:textId="683CC02A" w:rsidR="00DF1561" w:rsidRPr="00DF1561" w:rsidRDefault="00DF1561" w:rsidP="00DF1561">
      <w:pPr>
        <w:pStyle w:val="Legenda"/>
        <w:rPr>
          <w:sz w:val="22"/>
          <w:szCs w:val="22"/>
          <w:lang w:val="pl-PL"/>
        </w:rPr>
      </w:pPr>
      <w:bookmarkStart w:id="196" w:name="_Toc73516131"/>
      <w:r w:rsidRPr="00DF1561">
        <w:rPr>
          <w:sz w:val="22"/>
          <w:szCs w:val="22"/>
        </w:rPr>
        <w:t xml:space="preserve">Wykres </w:t>
      </w:r>
      <w:r w:rsidRPr="00DF1561">
        <w:rPr>
          <w:sz w:val="22"/>
          <w:szCs w:val="22"/>
        </w:rPr>
        <w:fldChar w:fldCharType="begin"/>
      </w:r>
      <w:r w:rsidRPr="00DF1561">
        <w:rPr>
          <w:sz w:val="22"/>
          <w:szCs w:val="22"/>
        </w:rPr>
        <w:instrText xml:space="preserve"> SEQ Wykres \* ARABIC </w:instrText>
      </w:r>
      <w:r w:rsidRPr="00DF1561">
        <w:rPr>
          <w:sz w:val="22"/>
          <w:szCs w:val="22"/>
        </w:rPr>
        <w:fldChar w:fldCharType="separate"/>
      </w:r>
      <w:r w:rsidR="00AD58C3">
        <w:rPr>
          <w:noProof/>
          <w:sz w:val="22"/>
          <w:szCs w:val="22"/>
        </w:rPr>
        <w:t>69</w:t>
      </w:r>
      <w:r w:rsidRPr="00DF1561">
        <w:rPr>
          <w:sz w:val="22"/>
          <w:szCs w:val="22"/>
        </w:rPr>
        <w:fldChar w:fldCharType="end"/>
      </w:r>
      <w:r w:rsidRPr="00DF1561">
        <w:rPr>
          <w:sz w:val="22"/>
          <w:szCs w:val="22"/>
        </w:rPr>
        <w:t xml:space="preserve">. </w:t>
      </w:r>
      <w:r w:rsidRPr="00DF1561">
        <w:rPr>
          <w:bCs/>
          <w:sz w:val="22"/>
          <w:szCs w:val="22"/>
          <w:lang w:val="pl-PL"/>
        </w:rPr>
        <w:t>Udział nowo zarejestrowanych podmiotów sektora kreatywnego w liczbie nowo zarejestrowanych podmiotów ogółem w latach 2013 i 2019</w:t>
      </w:r>
      <w:bookmarkEnd w:id="196"/>
    </w:p>
    <w:p w14:paraId="025A3483" w14:textId="77777777" w:rsidR="00A3652D" w:rsidRDefault="00116079" w:rsidP="00A3652D">
      <w:pPr>
        <w:spacing w:after="0"/>
        <w:jc w:val="center"/>
        <w:rPr>
          <w:i/>
          <w:sz w:val="20"/>
          <w:szCs w:val="20"/>
        </w:rPr>
      </w:pPr>
      <w:r>
        <w:rPr>
          <w:noProof/>
          <w:lang w:eastAsia="pl-PL"/>
        </w:rPr>
        <w:drawing>
          <wp:inline distT="0" distB="0" distL="0" distR="0" wp14:anchorId="5F25F604" wp14:editId="6067DE29">
            <wp:extent cx="4552950" cy="2414016"/>
            <wp:effectExtent l="0" t="0" r="0" b="5715"/>
            <wp:docPr id="84" name="Wykres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r w:rsidR="00A3652D" w:rsidRPr="00A3652D">
        <w:rPr>
          <w:i/>
          <w:sz w:val="20"/>
          <w:szCs w:val="20"/>
        </w:rPr>
        <w:t xml:space="preserve"> </w:t>
      </w:r>
    </w:p>
    <w:p w14:paraId="599D3FCF" w14:textId="77777777" w:rsidR="00116079" w:rsidRDefault="00A3652D" w:rsidP="00A3652D">
      <w:pPr>
        <w:spacing w:after="0"/>
        <w:jc w:val="center"/>
        <w:rPr>
          <w:rFonts w:eastAsiaTheme="majorEastAsia" w:cstheme="majorBidi"/>
          <w:color w:val="2E74B5" w:themeColor="accent1" w:themeShade="BF"/>
          <w:sz w:val="32"/>
          <w:szCs w:val="32"/>
        </w:rPr>
      </w:pPr>
      <w:r w:rsidRPr="0091031D">
        <w:rPr>
          <w:i/>
          <w:sz w:val="20"/>
          <w:szCs w:val="20"/>
        </w:rPr>
        <w:t>źródło: opracowanie własne na podstawie danych GUS</w:t>
      </w:r>
    </w:p>
    <w:p w14:paraId="00A5C737" w14:textId="77777777" w:rsidR="00116079" w:rsidRDefault="00116079" w:rsidP="00D66517">
      <w:pPr>
        <w:rPr>
          <w:rFonts w:eastAsiaTheme="majorEastAsia" w:cstheme="majorBidi"/>
          <w:color w:val="2E74B5" w:themeColor="accent1" w:themeShade="BF"/>
          <w:sz w:val="32"/>
          <w:szCs w:val="32"/>
        </w:rPr>
      </w:pPr>
    </w:p>
    <w:p w14:paraId="72D83962" w14:textId="3995ACD0" w:rsidR="00116079" w:rsidRDefault="006547C1" w:rsidP="006547C1">
      <w:pPr>
        <w:pStyle w:val="Nagwek3"/>
      </w:pPr>
      <w:bookmarkStart w:id="197" w:name="_Toc73534920"/>
      <w:r>
        <w:t>3.1.</w:t>
      </w:r>
      <w:r w:rsidR="008D0C2D">
        <w:t>6</w:t>
      </w:r>
      <w:r>
        <w:t xml:space="preserve"> Pozycja firm Olsztyna i MOF Olsztyna w rankingach</w:t>
      </w:r>
      <w:bookmarkEnd w:id="197"/>
    </w:p>
    <w:p w14:paraId="6C1E4B7A" w14:textId="77777777" w:rsidR="006547C1" w:rsidRPr="00ED4EDD" w:rsidRDefault="006547C1" w:rsidP="006547C1">
      <w:pPr>
        <w:jc w:val="both"/>
      </w:pPr>
      <w:r w:rsidRPr="00ED4EDD">
        <w:t xml:space="preserve">Pozycja gospodarcza MOF Olsztyna jest widoczna w rankingach przygotowywanych przez największe </w:t>
      </w:r>
      <w:r>
        <w:br/>
      </w:r>
      <w:r w:rsidRPr="00ED4EDD">
        <w:t xml:space="preserve">i najważniejsze pisma o tematyce biznesowej i finansowej na poziomie krajowym i światowym. </w:t>
      </w:r>
      <w:r>
        <w:br/>
      </w:r>
      <w:r w:rsidRPr="00ED4EDD">
        <w:t>W rankingu miesięcznika Forbes – Diamenty Forbesa 2020 – w województwie warmińsko-mazurskim znalazło się 115 przedsiębiorstw. Wśród firm z terenu MOF, których przychody kształtują się na poziomie powyżej 250 mln zł na pierwszej pozycji w regionie znajduje s</w:t>
      </w:r>
      <w:r>
        <w:t xml:space="preserve">ię Inter Land sp. z o.o. sp.k. </w:t>
      </w:r>
      <w:r w:rsidRPr="00ED4EDD">
        <w:t xml:space="preserve">Na </w:t>
      </w:r>
      <w:r>
        <w:t>trzecim</w:t>
      </w:r>
      <w:r w:rsidRPr="00ED4EDD">
        <w:t xml:space="preserve"> miejscu znajduje się Auto Land Polska SA, a na </w:t>
      </w:r>
      <w:r>
        <w:t>czwartym</w:t>
      </w:r>
      <w:r w:rsidRPr="00ED4EDD">
        <w:t xml:space="preserve"> DBK sp. z o.o. Obie te firmy powiązane są z branżą samochodową. Miejsce na liście ogólnopolskiej powyższych firm to odpowiednio 43,97 </w:t>
      </w:r>
      <w:r>
        <w:br/>
      </w:r>
      <w:r w:rsidRPr="00ED4EDD">
        <w:t>i 173.</w:t>
      </w:r>
    </w:p>
    <w:p w14:paraId="61427BD5" w14:textId="77777777" w:rsidR="006547C1" w:rsidRPr="00ED4EDD" w:rsidRDefault="006547C1" w:rsidP="006547C1">
      <w:pPr>
        <w:jc w:val="both"/>
      </w:pPr>
      <w:r>
        <w:t>W</w:t>
      </w:r>
      <w:r w:rsidRPr="00ED4EDD">
        <w:t xml:space="preserve">śród firm z przychodami od 50 do 250 mln zł na 160 pozycji na liście ogólnopolskiej znajduje się Hama Polska sp. z o.o., a na 190 miejscu Benepol sp. z o.o. – obie firmy związane są również z branżą </w:t>
      </w:r>
      <w:r w:rsidRPr="00ED4EDD">
        <w:lastRenderedPageBreak/>
        <w:t>motoryzacyjną. Wśród najlepszych 300 firm na miejscu 272 znajduje się firma Bujalski sp. z o.o., mająca swoją siedzibę w Dywitach.</w:t>
      </w:r>
    </w:p>
    <w:p w14:paraId="4E95859A" w14:textId="77777777" w:rsidR="006547C1" w:rsidRPr="00ED4EDD" w:rsidRDefault="006547C1" w:rsidP="006547C1">
      <w:pPr>
        <w:jc w:val="both"/>
      </w:pPr>
      <w:r w:rsidRPr="00ED4EDD">
        <w:t>Wśród firm o przychodzie od 5 do 50 mln zł na najwyższej 106 pozycji na liście ogólnopolskiej plasuje się Przedsiębiorstwo Budowlane Witka sp. z o.o. (Olsztyn). Na 164 miejscu znajduje się Labo Clinic sp. z o.o. sp.k. – hurtownia wyrobów farmaceutycznych, a na 199 miejscu - Pedbud Invest sp. z o.o. – firma budowlana z Gutkowa. Pozostałe firmy MOF Olsztyna w rankingu znajdują się na pozycjach od 237 do 2517.</w:t>
      </w:r>
      <w:r w:rsidRPr="00ED4EDD">
        <w:rPr>
          <w:rStyle w:val="Odwoanieprzypisudolnego"/>
        </w:rPr>
        <w:footnoteReference w:id="54"/>
      </w:r>
    </w:p>
    <w:p w14:paraId="1D921B7B" w14:textId="7238C33D" w:rsidR="006547C1" w:rsidRDefault="006547C1">
      <w:pPr>
        <w:rPr>
          <w:rFonts w:asciiTheme="majorHAnsi" w:eastAsiaTheme="majorEastAsia" w:hAnsiTheme="majorHAnsi" w:cstheme="majorBidi"/>
          <w:color w:val="2E74B5" w:themeColor="accent1" w:themeShade="BF"/>
        </w:rPr>
      </w:pPr>
      <w:bookmarkStart w:id="198" w:name="_Toc49504781"/>
    </w:p>
    <w:p w14:paraId="0934EFBD" w14:textId="00525BC7" w:rsidR="006547C1" w:rsidRPr="00ED4EDD" w:rsidRDefault="006547C1" w:rsidP="006547C1">
      <w:pPr>
        <w:pStyle w:val="Nagwek2"/>
        <w:spacing w:after="120" w:line="276" w:lineRule="auto"/>
        <w:rPr>
          <w:sz w:val="22"/>
          <w:szCs w:val="22"/>
        </w:rPr>
      </w:pPr>
      <w:bookmarkStart w:id="199" w:name="_Toc73534921"/>
      <w:r>
        <w:rPr>
          <w:sz w:val="22"/>
          <w:szCs w:val="22"/>
        </w:rPr>
        <w:t xml:space="preserve">3.2 </w:t>
      </w:r>
      <w:r w:rsidRPr="00ED4EDD">
        <w:rPr>
          <w:sz w:val="22"/>
          <w:szCs w:val="22"/>
        </w:rPr>
        <w:t xml:space="preserve">Gospodarka </w:t>
      </w:r>
      <w:r w:rsidR="00FE51B7">
        <w:rPr>
          <w:sz w:val="22"/>
          <w:szCs w:val="22"/>
        </w:rPr>
        <w:t xml:space="preserve">Olsztyna i </w:t>
      </w:r>
      <w:r w:rsidRPr="00ED4EDD">
        <w:rPr>
          <w:sz w:val="22"/>
          <w:szCs w:val="22"/>
        </w:rPr>
        <w:t>MOF</w:t>
      </w:r>
      <w:r w:rsidR="00FE51B7">
        <w:rPr>
          <w:sz w:val="22"/>
          <w:szCs w:val="22"/>
        </w:rPr>
        <w:t xml:space="preserve"> Olsztyna</w:t>
      </w:r>
      <w:r w:rsidRPr="00ED4EDD">
        <w:rPr>
          <w:sz w:val="22"/>
          <w:szCs w:val="22"/>
        </w:rPr>
        <w:t xml:space="preserve"> a inteligentne specjalizacje</w:t>
      </w:r>
      <w:bookmarkEnd w:id="198"/>
      <w:bookmarkEnd w:id="199"/>
    </w:p>
    <w:p w14:paraId="05C802BC" w14:textId="17415752" w:rsidR="00A67D55" w:rsidRDefault="00A67D55" w:rsidP="006547C1">
      <w:pPr>
        <w:jc w:val="both"/>
      </w:pPr>
      <w:r>
        <w:t xml:space="preserve">W roku 2019 na terenie województwa warmińsko-mazurskiego zarejestrowanych było 12900 firm deklarujących prowadzenie działalności w branżach wpisujących się w inteligentne specjalizacje (ekonomia wody, żywność wysokiej jakości, </w:t>
      </w:r>
      <w:r w:rsidR="00C0271B">
        <w:t xml:space="preserve">drewno i meblarstwo). Liczba podmiotów działających </w:t>
      </w:r>
      <w:r w:rsidR="00C179CF">
        <w:br/>
      </w:r>
      <w:r w:rsidR="00C0271B">
        <w:t xml:space="preserve">w branżach z zakresu inteligentnych specjalizacji stale wzrasta (więcej o 1,56% w roku 2019 </w:t>
      </w:r>
      <w:r w:rsidR="00845158">
        <w:br/>
      </w:r>
      <w:r w:rsidR="00C0271B">
        <w:t xml:space="preserve">w porównaniu z liczbą odnotowaną w 2015 roku – 12 702 firmy). W roku 2019 dominują przedsiębiorstwa należące do specjalizacji drewno i meblarstwo (40,59%). Podmioty związane </w:t>
      </w:r>
      <w:r w:rsidR="00845158">
        <w:br/>
      </w:r>
      <w:r w:rsidR="00C0271B">
        <w:t>z żywnością wysokiej jakości stanowiły łącznie 29,91%, zaś firmy zaliczane do specjalizacji „ekonomia wody” stanowiły 28,12% wszystkich podmiotów wpisujących się w inteligentne specjalizacje województwa warmińsko-mazurskiego.</w:t>
      </w:r>
      <w:r w:rsidR="00173C7A">
        <w:t xml:space="preserve"> </w:t>
      </w:r>
      <w:r w:rsidR="00173C7A">
        <w:rPr>
          <w:rStyle w:val="Odwoanieprzypisudolnego"/>
        </w:rPr>
        <w:footnoteReference w:id="55"/>
      </w:r>
    </w:p>
    <w:p w14:paraId="4EDDE606" w14:textId="2A6D7C39" w:rsidR="006547C1" w:rsidRDefault="00845158" w:rsidP="006547C1">
      <w:pPr>
        <w:jc w:val="both"/>
      </w:pPr>
      <w:r>
        <w:t xml:space="preserve">W 2019 roku w rejestrze REGON wpisano 1340 nowych podmiotów, których PKD wpisuje się </w:t>
      </w:r>
      <w:r>
        <w:br/>
        <w:t>w inteligentne specjalizacje województwa warmińsko-mazurskiego, z czego 135 nowych przeds</w:t>
      </w:r>
      <w:r w:rsidR="00E501E4">
        <w:t>iębiorstw powstało w Olsztynie.</w:t>
      </w:r>
    </w:p>
    <w:p w14:paraId="5159BB9B" w14:textId="5BE055E5" w:rsidR="00761266" w:rsidRPr="00E501E4" w:rsidRDefault="00E501E4" w:rsidP="00E501E4">
      <w:pPr>
        <w:pStyle w:val="Legenda"/>
        <w:rPr>
          <w:sz w:val="22"/>
          <w:szCs w:val="22"/>
        </w:rPr>
      </w:pPr>
      <w:bookmarkStart w:id="200" w:name="_Toc73534986"/>
      <w:r w:rsidRPr="00E501E4">
        <w:rPr>
          <w:sz w:val="22"/>
          <w:szCs w:val="22"/>
        </w:rPr>
        <w:t xml:space="preserve">Tabela </w:t>
      </w:r>
      <w:r w:rsidRPr="00E501E4">
        <w:rPr>
          <w:sz w:val="22"/>
          <w:szCs w:val="22"/>
        </w:rPr>
        <w:fldChar w:fldCharType="begin"/>
      </w:r>
      <w:r w:rsidRPr="00E501E4">
        <w:rPr>
          <w:sz w:val="22"/>
          <w:szCs w:val="22"/>
        </w:rPr>
        <w:instrText xml:space="preserve"> SEQ Tabela \* ARABIC </w:instrText>
      </w:r>
      <w:r w:rsidRPr="00E501E4">
        <w:rPr>
          <w:sz w:val="22"/>
          <w:szCs w:val="22"/>
        </w:rPr>
        <w:fldChar w:fldCharType="separate"/>
      </w:r>
      <w:r w:rsidR="00AD58C3">
        <w:rPr>
          <w:noProof/>
          <w:sz w:val="22"/>
          <w:szCs w:val="22"/>
        </w:rPr>
        <w:t>23</w:t>
      </w:r>
      <w:r w:rsidRPr="00E501E4">
        <w:rPr>
          <w:sz w:val="22"/>
          <w:szCs w:val="22"/>
        </w:rPr>
        <w:fldChar w:fldCharType="end"/>
      </w:r>
      <w:r w:rsidRPr="00E501E4">
        <w:rPr>
          <w:sz w:val="22"/>
          <w:szCs w:val="22"/>
        </w:rPr>
        <w:t xml:space="preserve">. </w:t>
      </w:r>
      <w:r w:rsidR="00761266" w:rsidRPr="00E501E4">
        <w:rPr>
          <w:sz w:val="22"/>
          <w:szCs w:val="22"/>
        </w:rPr>
        <w:t xml:space="preserve">Przykłady firm z Olsztyna i MOF Olsztyna prowadzące działalność </w:t>
      </w:r>
      <w:r w:rsidRPr="00E501E4">
        <w:rPr>
          <w:sz w:val="22"/>
          <w:szCs w:val="22"/>
        </w:rPr>
        <w:t>w branżach powiązanych z regionalnymi inteligentnymi specjalizacjami – ekonomia wody</w:t>
      </w:r>
      <w:bookmarkEnd w:id="200"/>
    </w:p>
    <w:tbl>
      <w:tblPr>
        <w:tblW w:w="52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55"/>
        <w:gridCol w:w="5386"/>
        <w:gridCol w:w="1276"/>
        <w:gridCol w:w="1276"/>
      </w:tblGrid>
      <w:tr w:rsidR="006547C1" w:rsidRPr="00ED4EDD" w14:paraId="632CF90D" w14:textId="77777777" w:rsidTr="00E501E4">
        <w:trPr>
          <w:trHeight w:val="304"/>
        </w:trPr>
        <w:tc>
          <w:tcPr>
            <w:tcW w:w="819" w:type="pct"/>
            <w:tcBorders>
              <w:top w:val="single" w:sz="4" w:space="0" w:color="auto"/>
              <w:left w:val="single" w:sz="4" w:space="0" w:color="auto"/>
              <w:bottom w:val="single" w:sz="4" w:space="0" w:color="auto"/>
              <w:right w:val="single" w:sz="4" w:space="0" w:color="auto"/>
            </w:tcBorders>
            <w:shd w:val="clear" w:color="auto" w:fill="B4C6E7"/>
            <w:vAlign w:val="center"/>
          </w:tcPr>
          <w:p w14:paraId="0544B42A" w14:textId="77777777" w:rsidR="006547C1" w:rsidRPr="00FE51B7" w:rsidRDefault="006547C1" w:rsidP="00A16A1D">
            <w:pPr>
              <w:spacing w:after="0" w:line="240" w:lineRule="auto"/>
              <w:ind w:left="57" w:right="57"/>
              <w:jc w:val="center"/>
              <w:rPr>
                <w:b/>
                <w:sz w:val="20"/>
                <w:szCs w:val="20"/>
                <w:lang w:eastAsia="pl-PL"/>
              </w:rPr>
            </w:pPr>
            <w:r w:rsidRPr="00FE51B7">
              <w:rPr>
                <w:b/>
                <w:sz w:val="20"/>
                <w:szCs w:val="20"/>
                <w:lang w:eastAsia="pl-PL"/>
              </w:rPr>
              <w:t>Branża</w:t>
            </w:r>
          </w:p>
        </w:tc>
        <w:tc>
          <w:tcPr>
            <w:tcW w:w="2837" w:type="pct"/>
            <w:tcBorders>
              <w:top w:val="single" w:sz="4" w:space="0" w:color="auto"/>
              <w:left w:val="single" w:sz="4" w:space="0" w:color="auto"/>
              <w:bottom w:val="single" w:sz="4" w:space="0" w:color="auto"/>
              <w:right w:val="single" w:sz="4" w:space="0" w:color="auto"/>
            </w:tcBorders>
            <w:shd w:val="clear" w:color="auto" w:fill="B4C6E7"/>
            <w:vAlign w:val="center"/>
          </w:tcPr>
          <w:p w14:paraId="37C05CBD" w14:textId="77777777" w:rsidR="006547C1" w:rsidRPr="00FE51B7" w:rsidRDefault="006547C1" w:rsidP="00A16A1D">
            <w:pPr>
              <w:spacing w:after="0" w:line="240" w:lineRule="auto"/>
              <w:ind w:left="57" w:right="57"/>
              <w:jc w:val="center"/>
              <w:rPr>
                <w:b/>
                <w:sz w:val="20"/>
                <w:szCs w:val="20"/>
                <w:lang w:eastAsia="pl-PL"/>
              </w:rPr>
            </w:pPr>
            <w:r w:rsidRPr="00FE51B7">
              <w:rPr>
                <w:b/>
                <w:sz w:val="20"/>
                <w:szCs w:val="20"/>
                <w:lang w:eastAsia="pl-PL"/>
              </w:rPr>
              <w:t>Przykłady firm</w:t>
            </w:r>
          </w:p>
        </w:tc>
        <w:tc>
          <w:tcPr>
            <w:tcW w:w="672" w:type="pct"/>
            <w:tcBorders>
              <w:top w:val="single" w:sz="4" w:space="0" w:color="auto"/>
              <w:left w:val="single" w:sz="4" w:space="0" w:color="auto"/>
              <w:bottom w:val="single" w:sz="4" w:space="0" w:color="auto"/>
              <w:right w:val="single" w:sz="4" w:space="0" w:color="auto"/>
            </w:tcBorders>
            <w:shd w:val="clear" w:color="auto" w:fill="B4C6E7"/>
            <w:vAlign w:val="center"/>
          </w:tcPr>
          <w:p w14:paraId="69B2A250" w14:textId="77777777" w:rsidR="006547C1" w:rsidRPr="00FE51B7" w:rsidRDefault="00FE51B7" w:rsidP="00A16A1D">
            <w:pPr>
              <w:spacing w:after="0" w:line="240" w:lineRule="auto"/>
              <w:ind w:left="57" w:right="57"/>
              <w:jc w:val="center"/>
              <w:rPr>
                <w:b/>
                <w:sz w:val="18"/>
                <w:szCs w:val="18"/>
                <w:lang w:eastAsia="pl-PL"/>
              </w:rPr>
            </w:pPr>
            <w:r w:rsidRPr="00FE51B7">
              <w:rPr>
                <w:b/>
                <w:sz w:val="20"/>
                <w:szCs w:val="20"/>
                <w:lang w:eastAsia="pl-PL"/>
              </w:rPr>
              <w:t>Lokalizacja</w:t>
            </w:r>
          </w:p>
        </w:tc>
        <w:tc>
          <w:tcPr>
            <w:tcW w:w="672" w:type="pct"/>
            <w:tcBorders>
              <w:top w:val="single" w:sz="4" w:space="0" w:color="auto"/>
              <w:left w:val="single" w:sz="4" w:space="0" w:color="auto"/>
              <w:bottom w:val="single" w:sz="4" w:space="0" w:color="auto"/>
              <w:right w:val="single" w:sz="4" w:space="0" w:color="auto"/>
            </w:tcBorders>
            <w:shd w:val="clear" w:color="auto" w:fill="B4C6E7"/>
            <w:vAlign w:val="center"/>
          </w:tcPr>
          <w:p w14:paraId="0509C73C" w14:textId="77777777" w:rsidR="006547C1" w:rsidRPr="00FE51B7" w:rsidRDefault="006547C1" w:rsidP="00A16A1D">
            <w:pPr>
              <w:spacing w:after="0" w:line="240" w:lineRule="auto"/>
              <w:ind w:left="57" w:right="57"/>
              <w:jc w:val="center"/>
              <w:rPr>
                <w:b/>
                <w:sz w:val="20"/>
                <w:szCs w:val="20"/>
                <w:lang w:eastAsia="pl-PL"/>
              </w:rPr>
            </w:pPr>
            <w:r w:rsidRPr="00FE51B7">
              <w:rPr>
                <w:b/>
                <w:sz w:val="20"/>
                <w:szCs w:val="20"/>
                <w:lang w:eastAsia="pl-PL"/>
              </w:rPr>
              <w:t>Gmina</w:t>
            </w:r>
          </w:p>
        </w:tc>
      </w:tr>
      <w:tr w:rsidR="006547C1" w:rsidRPr="00ED4EDD" w14:paraId="0258AE56" w14:textId="77777777" w:rsidTr="00E501E4">
        <w:tc>
          <w:tcPr>
            <w:tcW w:w="819" w:type="pct"/>
            <w:vMerge w:val="restart"/>
            <w:tcBorders>
              <w:top w:val="single" w:sz="4" w:space="0" w:color="auto"/>
              <w:left w:val="single" w:sz="4" w:space="0" w:color="auto"/>
              <w:right w:val="single" w:sz="4" w:space="0" w:color="auto"/>
            </w:tcBorders>
            <w:vAlign w:val="center"/>
          </w:tcPr>
          <w:p w14:paraId="4F5B40A9" w14:textId="77777777" w:rsidR="006547C1" w:rsidRPr="00FE51B7" w:rsidRDefault="006547C1" w:rsidP="00A16A1D">
            <w:pPr>
              <w:spacing w:after="0"/>
              <w:ind w:left="57" w:right="57"/>
              <w:jc w:val="center"/>
              <w:rPr>
                <w:b/>
                <w:sz w:val="20"/>
                <w:szCs w:val="20"/>
                <w:lang w:eastAsia="pl-PL"/>
              </w:rPr>
            </w:pPr>
            <w:r w:rsidRPr="00FE51B7">
              <w:rPr>
                <w:b/>
                <w:sz w:val="20"/>
                <w:szCs w:val="20"/>
                <w:lang w:eastAsia="pl-PL"/>
              </w:rPr>
              <w:t>SPA&amp;wellness</w:t>
            </w:r>
          </w:p>
        </w:tc>
        <w:tc>
          <w:tcPr>
            <w:tcW w:w="2837" w:type="pct"/>
            <w:tcBorders>
              <w:top w:val="single" w:sz="4" w:space="0" w:color="auto"/>
              <w:left w:val="single" w:sz="4" w:space="0" w:color="auto"/>
              <w:bottom w:val="single" w:sz="4" w:space="0" w:color="auto"/>
              <w:right w:val="single" w:sz="4" w:space="0" w:color="auto"/>
            </w:tcBorders>
            <w:vAlign w:val="center"/>
          </w:tcPr>
          <w:p w14:paraId="7ACC8488" w14:textId="77777777" w:rsidR="006547C1" w:rsidRPr="00FE51B7" w:rsidRDefault="006547C1" w:rsidP="00A16A1D">
            <w:pPr>
              <w:spacing w:after="0"/>
              <w:ind w:left="57" w:right="57"/>
              <w:rPr>
                <w:b/>
                <w:sz w:val="20"/>
                <w:szCs w:val="20"/>
                <w:lang w:eastAsia="pl-PL"/>
              </w:rPr>
            </w:pPr>
            <w:r w:rsidRPr="00FE51B7">
              <w:rPr>
                <w:b/>
                <w:sz w:val="20"/>
                <w:szCs w:val="20"/>
                <w:lang w:eastAsia="pl-PL"/>
              </w:rPr>
              <w:t>Termy Medical WARMIA PARK</w:t>
            </w:r>
          </w:p>
          <w:p w14:paraId="13056040" w14:textId="77777777" w:rsidR="006547C1" w:rsidRPr="00FE51B7" w:rsidRDefault="006547C1" w:rsidP="00A16A1D">
            <w:pPr>
              <w:spacing w:after="0" w:line="240" w:lineRule="auto"/>
              <w:ind w:left="57" w:right="57"/>
              <w:rPr>
                <w:sz w:val="20"/>
                <w:szCs w:val="20"/>
                <w:lang w:eastAsia="pl-PL"/>
              </w:rPr>
            </w:pPr>
            <w:r w:rsidRPr="00FE51B7">
              <w:rPr>
                <w:sz w:val="20"/>
                <w:szCs w:val="20"/>
                <w:lang w:eastAsia="pl-PL"/>
              </w:rPr>
              <w:t>Hotel&amp;Spa z bogatym zapleczem rekreacyjnym – możliwość korzystania z 3-poziomowego Aquaparku czy stajni. Zajmuje się również organizacją konferencji.</w:t>
            </w:r>
          </w:p>
        </w:tc>
        <w:tc>
          <w:tcPr>
            <w:tcW w:w="672" w:type="pct"/>
            <w:tcBorders>
              <w:top w:val="single" w:sz="4" w:space="0" w:color="auto"/>
              <w:left w:val="single" w:sz="4" w:space="0" w:color="auto"/>
              <w:bottom w:val="single" w:sz="4" w:space="0" w:color="auto"/>
              <w:right w:val="single" w:sz="4" w:space="0" w:color="auto"/>
            </w:tcBorders>
            <w:vAlign w:val="center"/>
          </w:tcPr>
          <w:p w14:paraId="504A410E"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Pluski</w:t>
            </w:r>
          </w:p>
        </w:tc>
        <w:tc>
          <w:tcPr>
            <w:tcW w:w="672" w:type="pct"/>
            <w:tcBorders>
              <w:top w:val="single" w:sz="4" w:space="0" w:color="auto"/>
              <w:left w:val="single" w:sz="4" w:space="0" w:color="auto"/>
              <w:bottom w:val="single" w:sz="4" w:space="0" w:color="auto"/>
              <w:right w:val="single" w:sz="4" w:space="0" w:color="auto"/>
            </w:tcBorders>
            <w:vAlign w:val="center"/>
          </w:tcPr>
          <w:p w14:paraId="4BAE8CB4"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Stawiguda</w:t>
            </w:r>
          </w:p>
        </w:tc>
      </w:tr>
      <w:tr w:rsidR="006547C1" w:rsidRPr="00ED4EDD" w14:paraId="320E417B" w14:textId="77777777" w:rsidTr="00E501E4">
        <w:tc>
          <w:tcPr>
            <w:tcW w:w="819" w:type="pct"/>
            <w:vMerge/>
            <w:tcBorders>
              <w:left w:val="single" w:sz="4" w:space="0" w:color="auto"/>
              <w:right w:val="single" w:sz="4" w:space="0" w:color="auto"/>
            </w:tcBorders>
            <w:vAlign w:val="center"/>
          </w:tcPr>
          <w:p w14:paraId="1F24BDA9" w14:textId="77777777" w:rsidR="006547C1" w:rsidRPr="00FE51B7" w:rsidRDefault="006547C1" w:rsidP="00A16A1D">
            <w:pPr>
              <w:spacing w:after="0" w:line="240" w:lineRule="auto"/>
              <w:ind w:left="57" w:right="57"/>
              <w:rPr>
                <w:b/>
                <w:sz w:val="20"/>
                <w:szCs w:val="20"/>
                <w:lang w:eastAsia="pl-PL"/>
              </w:rPr>
            </w:pPr>
          </w:p>
        </w:tc>
        <w:tc>
          <w:tcPr>
            <w:tcW w:w="2837" w:type="pct"/>
            <w:tcBorders>
              <w:top w:val="single" w:sz="4" w:space="0" w:color="auto"/>
              <w:left w:val="single" w:sz="4" w:space="0" w:color="auto"/>
              <w:bottom w:val="single" w:sz="4" w:space="0" w:color="auto"/>
              <w:right w:val="single" w:sz="4" w:space="0" w:color="auto"/>
            </w:tcBorders>
            <w:vAlign w:val="center"/>
          </w:tcPr>
          <w:p w14:paraId="5F8CBA83" w14:textId="77777777" w:rsidR="006547C1" w:rsidRPr="00FE51B7" w:rsidRDefault="006547C1" w:rsidP="00A16A1D">
            <w:pPr>
              <w:spacing w:after="0" w:line="240" w:lineRule="auto"/>
              <w:ind w:left="57" w:right="57"/>
              <w:rPr>
                <w:rStyle w:val="Pogrubienie"/>
                <w:bCs/>
                <w:sz w:val="20"/>
                <w:szCs w:val="20"/>
                <w:lang w:eastAsia="pl-PL"/>
              </w:rPr>
            </w:pPr>
            <w:r w:rsidRPr="00FE51B7">
              <w:rPr>
                <w:rStyle w:val="Pogrubienie"/>
                <w:bCs/>
                <w:sz w:val="20"/>
                <w:szCs w:val="20"/>
                <w:lang w:eastAsia="pl-PL"/>
              </w:rPr>
              <w:t>Hotel Galery69 ***</w:t>
            </w:r>
          </w:p>
          <w:p w14:paraId="34DC1453" w14:textId="77777777" w:rsidR="006547C1" w:rsidRPr="00FE51B7" w:rsidRDefault="006547C1" w:rsidP="00A16A1D">
            <w:pPr>
              <w:spacing w:after="0" w:line="240" w:lineRule="auto"/>
              <w:ind w:left="57" w:right="57"/>
              <w:rPr>
                <w:rStyle w:val="Pogrubienie"/>
                <w:b w:val="0"/>
                <w:bCs/>
                <w:sz w:val="20"/>
                <w:szCs w:val="20"/>
                <w:lang w:eastAsia="pl-PL"/>
              </w:rPr>
            </w:pPr>
            <w:r w:rsidRPr="00FE51B7">
              <w:rPr>
                <w:rStyle w:val="Pogrubienie"/>
                <w:b w:val="0"/>
                <w:bCs/>
                <w:sz w:val="20"/>
                <w:szCs w:val="20"/>
                <w:lang w:eastAsia="pl-PL"/>
              </w:rPr>
              <w:t>Hotel o nowoczesnym wyglądzie, stworzony z niezwykła dbałością o estetykę i rodzinną atmosferę. Goście mają możliwość korzystania z basenu oraz saun – fińskiej i parowej oraz jacuzzi</w:t>
            </w:r>
          </w:p>
        </w:tc>
        <w:tc>
          <w:tcPr>
            <w:tcW w:w="672" w:type="pct"/>
            <w:tcBorders>
              <w:top w:val="single" w:sz="4" w:space="0" w:color="auto"/>
              <w:left w:val="single" w:sz="4" w:space="0" w:color="auto"/>
              <w:bottom w:val="single" w:sz="4" w:space="0" w:color="auto"/>
              <w:right w:val="single" w:sz="4" w:space="0" w:color="auto"/>
            </w:tcBorders>
            <w:vAlign w:val="center"/>
          </w:tcPr>
          <w:p w14:paraId="7A047ABB"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Dorotowo</w:t>
            </w:r>
          </w:p>
        </w:tc>
        <w:tc>
          <w:tcPr>
            <w:tcW w:w="672" w:type="pct"/>
            <w:tcBorders>
              <w:top w:val="single" w:sz="4" w:space="0" w:color="auto"/>
              <w:left w:val="single" w:sz="4" w:space="0" w:color="auto"/>
              <w:bottom w:val="single" w:sz="4" w:space="0" w:color="auto"/>
              <w:right w:val="single" w:sz="4" w:space="0" w:color="auto"/>
            </w:tcBorders>
            <w:vAlign w:val="center"/>
          </w:tcPr>
          <w:p w14:paraId="18E55C2F"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Stawiguda</w:t>
            </w:r>
          </w:p>
        </w:tc>
      </w:tr>
      <w:tr w:rsidR="006547C1" w:rsidRPr="00ED4EDD" w14:paraId="27D67AD2" w14:textId="77777777" w:rsidTr="00E501E4">
        <w:tc>
          <w:tcPr>
            <w:tcW w:w="819" w:type="pct"/>
            <w:vMerge/>
            <w:tcBorders>
              <w:left w:val="single" w:sz="4" w:space="0" w:color="auto"/>
              <w:right w:val="single" w:sz="4" w:space="0" w:color="auto"/>
            </w:tcBorders>
            <w:vAlign w:val="center"/>
          </w:tcPr>
          <w:p w14:paraId="67F2CD52" w14:textId="77777777" w:rsidR="006547C1" w:rsidRPr="00FE51B7" w:rsidRDefault="006547C1" w:rsidP="00A16A1D">
            <w:pPr>
              <w:spacing w:after="0" w:line="240" w:lineRule="auto"/>
              <w:ind w:left="57" w:right="57"/>
              <w:rPr>
                <w:b/>
                <w:sz w:val="20"/>
                <w:szCs w:val="20"/>
                <w:lang w:eastAsia="pl-PL"/>
              </w:rPr>
            </w:pPr>
          </w:p>
        </w:tc>
        <w:tc>
          <w:tcPr>
            <w:tcW w:w="2837" w:type="pct"/>
            <w:tcBorders>
              <w:top w:val="single" w:sz="4" w:space="0" w:color="auto"/>
              <w:left w:val="single" w:sz="4" w:space="0" w:color="auto"/>
              <w:bottom w:val="single" w:sz="4" w:space="0" w:color="auto"/>
              <w:right w:val="single" w:sz="4" w:space="0" w:color="auto"/>
            </w:tcBorders>
            <w:vAlign w:val="center"/>
          </w:tcPr>
          <w:p w14:paraId="68BBA11F" w14:textId="77777777" w:rsidR="006547C1" w:rsidRPr="00FE51B7" w:rsidRDefault="006547C1" w:rsidP="00A16A1D">
            <w:pPr>
              <w:spacing w:after="0" w:line="240" w:lineRule="auto"/>
              <w:ind w:left="57" w:right="57"/>
              <w:rPr>
                <w:rStyle w:val="Pogrubienie"/>
                <w:bCs/>
                <w:sz w:val="20"/>
                <w:szCs w:val="20"/>
                <w:lang w:eastAsia="pl-PL"/>
              </w:rPr>
            </w:pPr>
            <w:r w:rsidRPr="00FE51B7">
              <w:rPr>
                <w:rStyle w:val="Pogrubienie"/>
                <w:bCs/>
                <w:sz w:val="20"/>
                <w:szCs w:val="20"/>
                <w:lang w:eastAsia="pl-PL"/>
              </w:rPr>
              <w:t>Hotel Star-Dadaj ***</w:t>
            </w:r>
          </w:p>
          <w:p w14:paraId="746E0464" w14:textId="77777777" w:rsidR="006547C1" w:rsidRDefault="006547C1" w:rsidP="00A16A1D">
            <w:pPr>
              <w:spacing w:after="0" w:line="240" w:lineRule="auto"/>
              <w:ind w:left="57" w:right="57"/>
              <w:rPr>
                <w:rStyle w:val="Pogrubienie"/>
                <w:b w:val="0"/>
                <w:bCs/>
                <w:sz w:val="20"/>
                <w:szCs w:val="20"/>
                <w:lang w:eastAsia="pl-PL"/>
              </w:rPr>
            </w:pPr>
            <w:r w:rsidRPr="00FE51B7">
              <w:rPr>
                <w:rStyle w:val="Pogrubienie"/>
                <w:b w:val="0"/>
                <w:bCs/>
                <w:sz w:val="20"/>
                <w:szCs w:val="20"/>
                <w:lang w:eastAsia="pl-PL"/>
              </w:rPr>
              <w:t>W cenie noclegu goście hotelowi mają możliwość korzystania z basenu oraz sauny, a także usług masażysty (do wyboru 5 rodzajów masażu). Poza tym istnieje o wiele bogatsza oferta usług Spa&amp;wellness i zabiegów rehabilitacyjnych. Hotel zarządza również kompleksem domków letniskowych.</w:t>
            </w:r>
          </w:p>
          <w:p w14:paraId="01211668" w14:textId="4A748DBA" w:rsidR="00E501E4" w:rsidRPr="00FE51B7" w:rsidRDefault="00E501E4" w:rsidP="00A16A1D">
            <w:pPr>
              <w:spacing w:after="0" w:line="240" w:lineRule="auto"/>
              <w:ind w:left="57" w:right="57"/>
              <w:rPr>
                <w:rStyle w:val="Pogrubienie"/>
                <w:b w:val="0"/>
                <w:bCs/>
                <w:sz w:val="20"/>
                <w:szCs w:val="20"/>
                <w:lang w:eastAsia="pl-PL"/>
              </w:rPr>
            </w:pPr>
          </w:p>
        </w:tc>
        <w:tc>
          <w:tcPr>
            <w:tcW w:w="672" w:type="pct"/>
            <w:tcBorders>
              <w:top w:val="single" w:sz="4" w:space="0" w:color="auto"/>
              <w:left w:val="single" w:sz="4" w:space="0" w:color="auto"/>
              <w:bottom w:val="single" w:sz="4" w:space="0" w:color="auto"/>
              <w:right w:val="single" w:sz="4" w:space="0" w:color="auto"/>
            </w:tcBorders>
            <w:vAlign w:val="center"/>
          </w:tcPr>
          <w:p w14:paraId="6D6535B9"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Ramsowo</w:t>
            </w:r>
          </w:p>
        </w:tc>
        <w:tc>
          <w:tcPr>
            <w:tcW w:w="672" w:type="pct"/>
            <w:tcBorders>
              <w:top w:val="single" w:sz="4" w:space="0" w:color="auto"/>
              <w:left w:val="single" w:sz="4" w:space="0" w:color="auto"/>
              <w:bottom w:val="single" w:sz="4" w:space="0" w:color="auto"/>
              <w:right w:val="single" w:sz="4" w:space="0" w:color="auto"/>
            </w:tcBorders>
            <w:vAlign w:val="center"/>
          </w:tcPr>
          <w:p w14:paraId="5ECADEE9"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Barczewo</w:t>
            </w:r>
          </w:p>
        </w:tc>
      </w:tr>
      <w:tr w:rsidR="006547C1" w:rsidRPr="00ED4EDD" w14:paraId="385FD007" w14:textId="77777777" w:rsidTr="00E501E4">
        <w:tc>
          <w:tcPr>
            <w:tcW w:w="819" w:type="pct"/>
            <w:vMerge/>
            <w:tcBorders>
              <w:left w:val="single" w:sz="4" w:space="0" w:color="auto"/>
              <w:right w:val="single" w:sz="4" w:space="0" w:color="auto"/>
            </w:tcBorders>
            <w:vAlign w:val="center"/>
          </w:tcPr>
          <w:p w14:paraId="6A328C86" w14:textId="77777777" w:rsidR="006547C1" w:rsidRPr="00FE51B7" w:rsidRDefault="006547C1" w:rsidP="00A16A1D">
            <w:pPr>
              <w:spacing w:after="0" w:line="240" w:lineRule="auto"/>
              <w:ind w:left="57" w:right="57"/>
              <w:rPr>
                <w:b/>
                <w:sz w:val="20"/>
                <w:szCs w:val="20"/>
                <w:lang w:eastAsia="pl-PL"/>
              </w:rPr>
            </w:pPr>
          </w:p>
        </w:tc>
        <w:tc>
          <w:tcPr>
            <w:tcW w:w="2837" w:type="pct"/>
            <w:tcBorders>
              <w:top w:val="single" w:sz="4" w:space="0" w:color="auto"/>
              <w:left w:val="single" w:sz="4" w:space="0" w:color="auto"/>
              <w:bottom w:val="single" w:sz="4" w:space="0" w:color="auto"/>
              <w:right w:val="single" w:sz="4" w:space="0" w:color="auto"/>
            </w:tcBorders>
            <w:vAlign w:val="center"/>
          </w:tcPr>
          <w:p w14:paraId="3045E066" w14:textId="77777777" w:rsidR="006547C1" w:rsidRPr="00FE51B7" w:rsidRDefault="006547C1" w:rsidP="00A16A1D">
            <w:pPr>
              <w:spacing w:after="0" w:line="240" w:lineRule="auto"/>
              <w:ind w:left="57" w:right="57"/>
              <w:rPr>
                <w:rStyle w:val="Pogrubienie"/>
                <w:bCs/>
                <w:sz w:val="20"/>
                <w:szCs w:val="20"/>
                <w:lang w:eastAsia="pl-PL"/>
              </w:rPr>
            </w:pPr>
            <w:r w:rsidRPr="00FE51B7">
              <w:rPr>
                <w:rStyle w:val="Pogrubienie"/>
                <w:bCs/>
                <w:sz w:val="20"/>
                <w:szCs w:val="20"/>
                <w:lang w:eastAsia="pl-PL"/>
              </w:rPr>
              <w:t>Zalesie Mazury Active SPA</w:t>
            </w:r>
          </w:p>
          <w:p w14:paraId="03BE7C3B" w14:textId="77777777" w:rsidR="006547C1" w:rsidRPr="00FE51B7" w:rsidRDefault="006547C1" w:rsidP="00A16A1D">
            <w:pPr>
              <w:spacing w:after="0" w:line="240" w:lineRule="auto"/>
              <w:ind w:left="57" w:right="57"/>
              <w:rPr>
                <w:rStyle w:val="Pogrubienie"/>
                <w:b w:val="0"/>
                <w:bCs/>
                <w:sz w:val="20"/>
                <w:szCs w:val="20"/>
                <w:lang w:eastAsia="pl-PL"/>
              </w:rPr>
            </w:pPr>
            <w:r w:rsidRPr="00FE51B7">
              <w:rPr>
                <w:rStyle w:val="Pogrubienie"/>
                <w:b w:val="0"/>
                <w:bCs/>
                <w:sz w:val="20"/>
                <w:szCs w:val="20"/>
                <w:lang w:eastAsia="pl-PL"/>
              </w:rPr>
              <w:t xml:space="preserve">Hotel przeznaczony do odpoczynku rodzinnego, oferuje również możliwość pobytów grupowych i organizacje </w:t>
            </w:r>
            <w:r w:rsidRPr="00FE51B7">
              <w:rPr>
                <w:rStyle w:val="Pogrubienie"/>
                <w:b w:val="0"/>
                <w:bCs/>
                <w:sz w:val="20"/>
                <w:szCs w:val="20"/>
                <w:lang w:eastAsia="pl-PL"/>
              </w:rPr>
              <w:lastRenderedPageBreak/>
              <w:t>konferencji. Oferuje bogatą ofertę usług Spa&amp;wellness, np. sauna fińska, łaźnia ziołowo-parowa, caldarium, sauna infrared, a nawet piaszczysta plaża relaksacyjna.</w:t>
            </w:r>
          </w:p>
        </w:tc>
        <w:tc>
          <w:tcPr>
            <w:tcW w:w="672" w:type="pct"/>
            <w:tcBorders>
              <w:top w:val="single" w:sz="4" w:space="0" w:color="auto"/>
              <w:left w:val="single" w:sz="4" w:space="0" w:color="auto"/>
              <w:bottom w:val="single" w:sz="4" w:space="0" w:color="auto"/>
              <w:right w:val="single" w:sz="4" w:space="0" w:color="auto"/>
            </w:tcBorders>
            <w:vAlign w:val="center"/>
          </w:tcPr>
          <w:p w14:paraId="3DB08860"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lastRenderedPageBreak/>
              <w:t>Zalesie</w:t>
            </w:r>
          </w:p>
        </w:tc>
        <w:tc>
          <w:tcPr>
            <w:tcW w:w="672" w:type="pct"/>
            <w:tcBorders>
              <w:top w:val="single" w:sz="4" w:space="0" w:color="auto"/>
              <w:left w:val="single" w:sz="4" w:space="0" w:color="auto"/>
              <w:bottom w:val="single" w:sz="4" w:space="0" w:color="auto"/>
              <w:right w:val="single" w:sz="4" w:space="0" w:color="auto"/>
            </w:tcBorders>
            <w:vAlign w:val="center"/>
          </w:tcPr>
          <w:p w14:paraId="386C9368" w14:textId="77777777" w:rsidR="006547C1" w:rsidRPr="00FE51B7" w:rsidRDefault="006547C1" w:rsidP="00A16A1D">
            <w:pPr>
              <w:spacing w:after="0" w:line="240" w:lineRule="auto"/>
              <w:ind w:right="57"/>
              <w:jc w:val="center"/>
              <w:rPr>
                <w:sz w:val="20"/>
                <w:szCs w:val="20"/>
                <w:lang w:eastAsia="pl-PL"/>
              </w:rPr>
            </w:pPr>
            <w:r w:rsidRPr="00FE51B7">
              <w:rPr>
                <w:sz w:val="20"/>
                <w:szCs w:val="20"/>
                <w:lang w:eastAsia="pl-PL"/>
              </w:rPr>
              <w:t>Barczewo</w:t>
            </w:r>
          </w:p>
        </w:tc>
      </w:tr>
      <w:tr w:rsidR="006547C1" w:rsidRPr="00ED4EDD" w14:paraId="71092054" w14:textId="77777777" w:rsidTr="00E501E4">
        <w:tc>
          <w:tcPr>
            <w:tcW w:w="819" w:type="pct"/>
            <w:vMerge/>
            <w:tcBorders>
              <w:left w:val="single" w:sz="4" w:space="0" w:color="auto"/>
              <w:bottom w:val="single" w:sz="4" w:space="0" w:color="auto"/>
              <w:right w:val="single" w:sz="4" w:space="0" w:color="auto"/>
            </w:tcBorders>
            <w:vAlign w:val="center"/>
          </w:tcPr>
          <w:p w14:paraId="4EBC6ED0" w14:textId="77777777" w:rsidR="006547C1" w:rsidRPr="00FE51B7" w:rsidRDefault="006547C1" w:rsidP="00A16A1D">
            <w:pPr>
              <w:spacing w:after="0" w:line="240" w:lineRule="auto"/>
              <w:ind w:left="57" w:right="57"/>
              <w:rPr>
                <w:b/>
                <w:sz w:val="20"/>
                <w:szCs w:val="20"/>
                <w:lang w:eastAsia="pl-PL"/>
              </w:rPr>
            </w:pPr>
          </w:p>
        </w:tc>
        <w:tc>
          <w:tcPr>
            <w:tcW w:w="2837" w:type="pct"/>
            <w:tcBorders>
              <w:top w:val="single" w:sz="4" w:space="0" w:color="auto"/>
              <w:left w:val="single" w:sz="4" w:space="0" w:color="auto"/>
              <w:bottom w:val="single" w:sz="4" w:space="0" w:color="auto"/>
              <w:right w:val="single" w:sz="4" w:space="0" w:color="auto"/>
            </w:tcBorders>
            <w:vAlign w:val="center"/>
          </w:tcPr>
          <w:p w14:paraId="2DF40C56" w14:textId="77777777" w:rsidR="006547C1" w:rsidRPr="00FE51B7" w:rsidRDefault="006547C1" w:rsidP="00A16A1D">
            <w:pPr>
              <w:spacing w:after="0" w:line="240" w:lineRule="auto"/>
              <w:ind w:left="57" w:right="57"/>
              <w:rPr>
                <w:rStyle w:val="Pogrubienie"/>
                <w:bCs/>
                <w:sz w:val="20"/>
                <w:szCs w:val="20"/>
                <w:lang w:eastAsia="pl-PL"/>
              </w:rPr>
            </w:pPr>
            <w:r w:rsidRPr="00FE51B7">
              <w:rPr>
                <w:rStyle w:val="Pogrubienie"/>
                <w:bCs/>
                <w:sz w:val="20"/>
                <w:szCs w:val="20"/>
                <w:lang w:eastAsia="pl-PL"/>
              </w:rPr>
              <w:t>Hotel Marina Club</w:t>
            </w:r>
          </w:p>
          <w:p w14:paraId="068A12DE" w14:textId="77777777" w:rsidR="006547C1" w:rsidRPr="00FE51B7" w:rsidRDefault="006547C1" w:rsidP="00A16A1D">
            <w:pPr>
              <w:spacing w:after="0" w:line="240" w:lineRule="auto"/>
              <w:ind w:left="57" w:right="57"/>
              <w:rPr>
                <w:rStyle w:val="Pogrubienie"/>
                <w:bCs/>
                <w:sz w:val="20"/>
                <w:szCs w:val="20"/>
                <w:lang w:eastAsia="pl-PL"/>
              </w:rPr>
            </w:pPr>
            <w:r w:rsidRPr="00FE51B7">
              <w:rPr>
                <w:sz w:val="20"/>
                <w:szCs w:val="20"/>
              </w:rPr>
              <w:t>Hotel z harmonijnie zaprojektowanymi wnętrzami wraz z centrum odnowy biologicznej, salami konferencyjnymi i lądowiskiem dla helikopterów.</w:t>
            </w:r>
          </w:p>
        </w:tc>
        <w:tc>
          <w:tcPr>
            <w:tcW w:w="672" w:type="pct"/>
            <w:tcBorders>
              <w:top w:val="single" w:sz="4" w:space="0" w:color="auto"/>
              <w:left w:val="single" w:sz="4" w:space="0" w:color="auto"/>
              <w:bottom w:val="single" w:sz="4" w:space="0" w:color="auto"/>
              <w:right w:val="single" w:sz="4" w:space="0" w:color="auto"/>
            </w:tcBorders>
            <w:vAlign w:val="center"/>
          </w:tcPr>
          <w:p w14:paraId="7A027708"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Siła</w:t>
            </w:r>
          </w:p>
        </w:tc>
        <w:tc>
          <w:tcPr>
            <w:tcW w:w="672" w:type="pct"/>
            <w:tcBorders>
              <w:top w:val="single" w:sz="4" w:space="0" w:color="auto"/>
              <w:left w:val="single" w:sz="4" w:space="0" w:color="auto"/>
              <w:bottom w:val="single" w:sz="4" w:space="0" w:color="auto"/>
              <w:right w:val="single" w:sz="4" w:space="0" w:color="auto"/>
            </w:tcBorders>
            <w:vAlign w:val="center"/>
          </w:tcPr>
          <w:p w14:paraId="4B9D6A70" w14:textId="77777777" w:rsidR="006547C1" w:rsidRPr="00FE51B7" w:rsidRDefault="006547C1" w:rsidP="00A16A1D">
            <w:pPr>
              <w:spacing w:after="0" w:line="240" w:lineRule="auto"/>
              <w:ind w:right="57"/>
              <w:jc w:val="center"/>
              <w:rPr>
                <w:sz w:val="20"/>
                <w:szCs w:val="20"/>
                <w:lang w:eastAsia="pl-PL"/>
              </w:rPr>
            </w:pPr>
            <w:r w:rsidRPr="00FE51B7">
              <w:rPr>
                <w:sz w:val="20"/>
                <w:szCs w:val="20"/>
                <w:lang w:eastAsia="pl-PL"/>
              </w:rPr>
              <w:t>Gietrzwałd</w:t>
            </w:r>
          </w:p>
        </w:tc>
      </w:tr>
      <w:tr w:rsidR="006547C1" w:rsidRPr="00ED4EDD" w14:paraId="523FEF84" w14:textId="77777777" w:rsidTr="00E501E4">
        <w:tc>
          <w:tcPr>
            <w:tcW w:w="819" w:type="pct"/>
            <w:tcBorders>
              <w:top w:val="single" w:sz="4" w:space="0" w:color="auto"/>
              <w:left w:val="single" w:sz="4" w:space="0" w:color="auto"/>
              <w:bottom w:val="single" w:sz="4" w:space="0" w:color="auto"/>
              <w:right w:val="single" w:sz="4" w:space="0" w:color="auto"/>
            </w:tcBorders>
            <w:vAlign w:val="center"/>
          </w:tcPr>
          <w:p w14:paraId="062A27F6" w14:textId="77777777" w:rsidR="006547C1" w:rsidRPr="00FE51B7" w:rsidRDefault="006547C1" w:rsidP="00A16A1D">
            <w:pPr>
              <w:ind w:left="57" w:right="57"/>
              <w:jc w:val="center"/>
              <w:rPr>
                <w:b/>
                <w:sz w:val="20"/>
                <w:szCs w:val="20"/>
                <w:lang w:eastAsia="pl-PL"/>
              </w:rPr>
            </w:pPr>
            <w:r w:rsidRPr="00FE51B7">
              <w:rPr>
                <w:b/>
                <w:sz w:val="20"/>
                <w:szCs w:val="20"/>
                <w:lang w:eastAsia="pl-PL"/>
              </w:rPr>
              <w:t>Przetwórstwo ryb i owoców morza</w:t>
            </w:r>
          </w:p>
        </w:tc>
        <w:tc>
          <w:tcPr>
            <w:tcW w:w="2837" w:type="pct"/>
            <w:tcBorders>
              <w:top w:val="single" w:sz="4" w:space="0" w:color="auto"/>
              <w:left w:val="single" w:sz="4" w:space="0" w:color="auto"/>
              <w:bottom w:val="single" w:sz="4" w:space="0" w:color="auto"/>
              <w:right w:val="single" w:sz="4" w:space="0" w:color="auto"/>
            </w:tcBorders>
            <w:vAlign w:val="center"/>
          </w:tcPr>
          <w:p w14:paraId="1A4BBC25" w14:textId="77777777" w:rsidR="006547C1" w:rsidRPr="00FE51B7" w:rsidRDefault="006547C1" w:rsidP="00A16A1D">
            <w:pPr>
              <w:spacing w:after="0"/>
              <w:ind w:left="57" w:right="57"/>
              <w:rPr>
                <w:b/>
                <w:sz w:val="20"/>
                <w:szCs w:val="20"/>
                <w:lang w:eastAsia="pl-PL"/>
              </w:rPr>
            </w:pPr>
            <w:r w:rsidRPr="00FE51B7">
              <w:rPr>
                <w:b/>
                <w:bCs/>
                <w:sz w:val="20"/>
                <w:szCs w:val="20"/>
                <w:lang w:eastAsia="pl-PL"/>
              </w:rPr>
              <w:t>"Black-Fish" Sp.j. M. Prusinowski i Wspólnicy</w:t>
            </w:r>
          </w:p>
          <w:p w14:paraId="667D9E9F" w14:textId="77777777" w:rsidR="006547C1" w:rsidRPr="00FE51B7" w:rsidRDefault="006547C1" w:rsidP="00A16A1D">
            <w:pPr>
              <w:spacing w:after="0" w:line="240" w:lineRule="auto"/>
              <w:ind w:left="57" w:right="57"/>
              <w:rPr>
                <w:rStyle w:val="Pogrubienie"/>
                <w:b w:val="0"/>
                <w:bCs/>
                <w:sz w:val="20"/>
                <w:szCs w:val="20"/>
              </w:rPr>
            </w:pPr>
            <w:r w:rsidRPr="00FE51B7">
              <w:rPr>
                <w:rStyle w:val="Pogrubienie"/>
                <w:b w:val="0"/>
                <w:bCs/>
                <w:sz w:val="20"/>
                <w:szCs w:val="20"/>
                <w:lang w:eastAsia="pl-PL"/>
              </w:rPr>
              <w:t>Przedsiębiorstwo zajmuje się handlem hurtowym mrożonych ryb, głównie łososia i jego produktów. Działalność prowadzona jest przede wszystkim na rynkach zagranicznych – np. w Danii, Niemczech, Francji, Holandii, Rosji, Litwie, Estonii oraz Japonii.</w:t>
            </w:r>
          </w:p>
        </w:tc>
        <w:tc>
          <w:tcPr>
            <w:tcW w:w="672" w:type="pct"/>
            <w:tcBorders>
              <w:top w:val="single" w:sz="4" w:space="0" w:color="auto"/>
              <w:left w:val="single" w:sz="4" w:space="0" w:color="auto"/>
              <w:bottom w:val="single" w:sz="4" w:space="0" w:color="auto"/>
              <w:right w:val="single" w:sz="4" w:space="0" w:color="auto"/>
            </w:tcBorders>
            <w:vAlign w:val="center"/>
          </w:tcPr>
          <w:p w14:paraId="7C3B2907"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Olsztyn</w:t>
            </w:r>
          </w:p>
        </w:tc>
        <w:tc>
          <w:tcPr>
            <w:tcW w:w="672" w:type="pct"/>
            <w:tcBorders>
              <w:top w:val="single" w:sz="4" w:space="0" w:color="auto"/>
              <w:left w:val="single" w:sz="4" w:space="0" w:color="auto"/>
              <w:bottom w:val="single" w:sz="4" w:space="0" w:color="auto"/>
              <w:right w:val="single" w:sz="4" w:space="0" w:color="auto"/>
            </w:tcBorders>
            <w:vAlign w:val="center"/>
          </w:tcPr>
          <w:p w14:paraId="04A1E7A2" w14:textId="77777777" w:rsidR="006547C1" w:rsidRPr="00FE51B7" w:rsidRDefault="006547C1" w:rsidP="00A16A1D">
            <w:pPr>
              <w:spacing w:after="0" w:line="240" w:lineRule="auto"/>
              <w:ind w:right="57"/>
              <w:jc w:val="center"/>
              <w:rPr>
                <w:sz w:val="20"/>
                <w:szCs w:val="20"/>
                <w:lang w:eastAsia="pl-PL"/>
              </w:rPr>
            </w:pPr>
            <w:r w:rsidRPr="00FE51B7">
              <w:rPr>
                <w:sz w:val="20"/>
                <w:szCs w:val="20"/>
                <w:lang w:eastAsia="pl-PL"/>
              </w:rPr>
              <w:t>Olsztyn</w:t>
            </w:r>
          </w:p>
        </w:tc>
      </w:tr>
      <w:tr w:rsidR="006547C1" w:rsidRPr="00ED4EDD" w14:paraId="069EE8F1" w14:textId="77777777" w:rsidTr="00E501E4">
        <w:trPr>
          <w:trHeight w:val="850"/>
        </w:trPr>
        <w:tc>
          <w:tcPr>
            <w:tcW w:w="819" w:type="pct"/>
            <w:vMerge w:val="restart"/>
            <w:tcBorders>
              <w:top w:val="single" w:sz="4" w:space="0" w:color="auto"/>
              <w:left w:val="single" w:sz="4" w:space="0" w:color="auto"/>
              <w:right w:val="single" w:sz="4" w:space="0" w:color="auto"/>
            </w:tcBorders>
            <w:vAlign w:val="center"/>
          </w:tcPr>
          <w:p w14:paraId="79D48799" w14:textId="77777777" w:rsidR="006547C1" w:rsidRPr="00FE51B7" w:rsidRDefault="006547C1" w:rsidP="00A16A1D">
            <w:pPr>
              <w:spacing w:after="0" w:line="240" w:lineRule="auto"/>
              <w:ind w:left="57" w:right="57"/>
              <w:jc w:val="center"/>
              <w:rPr>
                <w:b/>
                <w:sz w:val="20"/>
                <w:szCs w:val="20"/>
                <w:lang w:eastAsia="pl-PL"/>
              </w:rPr>
            </w:pPr>
            <w:r w:rsidRPr="00FE51B7">
              <w:rPr>
                <w:b/>
                <w:sz w:val="20"/>
                <w:szCs w:val="20"/>
                <w:lang w:eastAsia="pl-PL"/>
              </w:rPr>
              <w:t>Produkcja piwa</w:t>
            </w:r>
          </w:p>
        </w:tc>
        <w:tc>
          <w:tcPr>
            <w:tcW w:w="2837" w:type="pct"/>
            <w:tcBorders>
              <w:top w:val="single" w:sz="4" w:space="0" w:color="auto"/>
              <w:left w:val="single" w:sz="4" w:space="0" w:color="auto"/>
              <w:bottom w:val="single" w:sz="4" w:space="0" w:color="auto"/>
              <w:right w:val="single" w:sz="4" w:space="0" w:color="auto"/>
            </w:tcBorders>
            <w:vAlign w:val="center"/>
          </w:tcPr>
          <w:p w14:paraId="6962E0F4" w14:textId="77777777" w:rsidR="006547C1" w:rsidRPr="00FE51B7" w:rsidRDefault="006547C1" w:rsidP="00A16A1D">
            <w:pPr>
              <w:spacing w:after="0" w:line="240" w:lineRule="auto"/>
              <w:ind w:left="57" w:right="57"/>
              <w:rPr>
                <w:rStyle w:val="Pogrubienie"/>
                <w:b w:val="0"/>
                <w:bCs/>
                <w:sz w:val="20"/>
                <w:szCs w:val="20"/>
              </w:rPr>
            </w:pPr>
            <w:r w:rsidRPr="00FE51B7">
              <w:rPr>
                <w:b/>
                <w:sz w:val="20"/>
                <w:szCs w:val="20"/>
                <w:lang w:eastAsia="pl-PL"/>
              </w:rPr>
              <w:t>Browar Kormoran</w:t>
            </w:r>
            <w:r w:rsidRPr="00FE51B7">
              <w:rPr>
                <w:sz w:val="20"/>
                <w:szCs w:val="20"/>
                <w:lang w:eastAsia="pl-PL"/>
              </w:rPr>
              <w:t xml:space="preserve"> – producent piw niszowych, m.in. linii „Regionalne z Warmii i Mazur”; członek Stowarzyszenia Regionalnych Browarów Polskich z siedzibą w Olsztynie.</w:t>
            </w:r>
          </w:p>
        </w:tc>
        <w:tc>
          <w:tcPr>
            <w:tcW w:w="672" w:type="pct"/>
            <w:tcBorders>
              <w:top w:val="single" w:sz="4" w:space="0" w:color="auto"/>
              <w:left w:val="single" w:sz="4" w:space="0" w:color="auto"/>
              <w:bottom w:val="single" w:sz="4" w:space="0" w:color="auto"/>
              <w:right w:val="single" w:sz="4" w:space="0" w:color="auto"/>
            </w:tcBorders>
            <w:vAlign w:val="center"/>
          </w:tcPr>
          <w:p w14:paraId="115CF1E5"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Olsztyn</w:t>
            </w:r>
          </w:p>
        </w:tc>
        <w:tc>
          <w:tcPr>
            <w:tcW w:w="672" w:type="pct"/>
            <w:tcBorders>
              <w:top w:val="single" w:sz="4" w:space="0" w:color="auto"/>
              <w:left w:val="single" w:sz="4" w:space="0" w:color="auto"/>
              <w:bottom w:val="single" w:sz="4" w:space="0" w:color="auto"/>
              <w:right w:val="single" w:sz="4" w:space="0" w:color="auto"/>
            </w:tcBorders>
            <w:vAlign w:val="center"/>
          </w:tcPr>
          <w:p w14:paraId="35B89E55"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Olsztyn</w:t>
            </w:r>
          </w:p>
        </w:tc>
      </w:tr>
      <w:tr w:rsidR="006547C1" w:rsidRPr="00ED4EDD" w14:paraId="13BE0C0D" w14:textId="77777777" w:rsidTr="00E501E4">
        <w:tc>
          <w:tcPr>
            <w:tcW w:w="819" w:type="pct"/>
            <w:vMerge/>
            <w:tcBorders>
              <w:left w:val="single" w:sz="4" w:space="0" w:color="auto"/>
              <w:bottom w:val="single" w:sz="4" w:space="0" w:color="auto"/>
              <w:right w:val="single" w:sz="4" w:space="0" w:color="auto"/>
            </w:tcBorders>
            <w:vAlign w:val="center"/>
          </w:tcPr>
          <w:p w14:paraId="195B12A9" w14:textId="77777777" w:rsidR="006547C1" w:rsidRPr="00FE51B7" w:rsidRDefault="006547C1" w:rsidP="00A16A1D">
            <w:pPr>
              <w:spacing w:after="0" w:line="240" w:lineRule="auto"/>
              <w:ind w:left="57" w:right="57"/>
              <w:jc w:val="center"/>
              <w:rPr>
                <w:b/>
                <w:sz w:val="20"/>
                <w:szCs w:val="20"/>
                <w:lang w:eastAsia="pl-PL"/>
              </w:rPr>
            </w:pPr>
          </w:p>
        </w:tc>
        <w:tc>
          <w:tcPr>
            <w:tcW w:w="2837" w:type="pct"/>
            <w:tcBorders>
              <w:top w:val="single" w:sz="4" w:space="0" w:color="auto"/>
              <w:left w:val="single" w:sz="4" w:space="0" w:color="auto"/>
              <w:bottom w:val="single" w:sz="4" w:space="0" w:color="auto"/>
              <w:right w:val="single" w:sz="4" w:space="0" w:color="auto"/>
            </w:tcBorders>
            <w:vAlign w:val="center"/>
          </w:tcPr>
          <w:p w14:paraId="55E79E35" w14:textId="77777777" w:rsidR="006547C1" w:rsidRPr="00FE51B7" w:rsidRDefault="006547C1" w:rsidP="00A16A1D">
            <w:pPr>
              <w:spacing w:after="0" w:line="240" w:lineRule="auto"/>
              <w:ind w:left="57" w:right="57"/>
              <w:rPr>
                <w:sz w:val="20"/>
                <w:szCs w:val="20"/>
                <w:lang w:eastAsia="pl-PL"/>
              </w:rPr>
            </w:pPr>
            <w:r w:rsidRPr="00FE51B7">
              <w:rPr>
                <w:b/>
                <w:sz w:val="20"/>
                <w:szCs w:val="20"/>
                <w:lang w:eastAsia="pl-PL"/>
              </w:rPr>
              <w:t xml:space="preserve">Browar Warmia – </w:t>
            </w:r>
            <w:r w:rsidRPr="00FE51B7">
              <w:rPr>
                <w:sz w:val="20"/>
                <w:szCs w:val="20"/>
                <w:lang w:eastAsia="pl-PL"/>
              </w:rPr>
              <w:t>browar z lokalnie warzonym piwem mieszczący się w nowo wzniesionym budynku na fundamentach starego młyna.</w:t>
            </w:r>
          </w:p>
        </w:tc>
        <w:tc>
          <w:tcPr>
            <w:tcW w:w="672" w:type="pct"/>
            <w:tcBorders>
              <w:top w:val="single" w:sz="4" w:space="0" w:color="auto"/>
              <w:left w:val="single" w:sz="4" w:space="0" w:color="auto"/>
              <w:bottom w:val="single" w:sz="4" w:space="0" w:color="auto"/>
              <w:right w:val="single" w:sz="4" w:space="0" w:color="auto"/>
            </w:tcBorders>
            <w:vAlign w:val="center"/>
          </w:tcPr>
          <w:p w14:paraId="31AD35AA"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Olsztyn</w:t>
            </w:r>
          </w:p>
        </w:tc>
        <w:tc>
          <w:tcPr>
            <w:tcW w:w="672" w:type="pct"/>
            <w:tcBorders>
              <w:top w:val="single" w:sz="4" w:space="0" w:color="auto"/>
              <w:left w:val="single" w:sz="4" w:space="0" w:color="auto"/>
              <w:bottom w:val="single" w:sz="4" w:space="0" w:color="auto"/>
              <w:right w:val="single" w:sz="4" w:space="0" w:color="auto"/>
            </w:tcBorders>
            <w:vAlign w:val="center"/>
          </w:tcPr>
          <w:p w14:paraId="5CF08F80"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Olsztyn</w:t>
            </w:r>
          </w:p>
        </w:tc>
      </w:tr>
    </w:tbl>
    <w:p w14:paraId="7CE10D6F" w14:textId="77777777" w:rsidR="006547C1" w:rsidRPr="00FE51B7" w:rsidRDefault="00FE51B7" w:rsidP="00FE51B7">
      <w:pPr>
        <w:keepNext/>
        <w:spacing w:after="120"/>
        <w:jc w:val="center"/>
        <w:rPr>
          <w:i/>
          <w:sz w:val="20"/>
          <w:szCs w:val="20"/>
        </w:rPr>
      </w:pPr>
      <w:r>
        <w:rPr>
          <w:i/>
          <w:sz w:val="20"/>
          <w:szCs w:val="20"/>
        </w:rPr>
        <w:t>ź</w:t>
      </w:r>
      <w:r w:rsidR="006547C1" w:rsidRPr="00FE51B7">
        <w:rPr>
          <w:i/>
          <w:sz w:val="20"/>
          <w:szCs w:val="20"/>
        </w:rPr>
        <w:t xml:space="preserve">ródło: </w:t>
      </w:r>
      <w:r>
        <w:rPr>
          <w:i/>
          <w:sz w:val="20"/>
          <w:szCs w:val="20"/>
        </w:rPr>
        <w:t>o</w:t>
      </w:r>
      <w:r w:rsidR="006547C1" w:rsidRPr="00FE51B7">
        <w:rPr>
          <w:i/>
          <w:sz w:val="20"/>
          <w:szCs w:val="20"/>
        </w:rPr>
        <w:t>pracowanie własne na podstawie stron internetowych wymienianych firm</w:t>
      </w:r>
    </w:p>
    <w:p w14:paraId="330A1D03" w14:textId="3F9FF5DA" w:rsidR="006547C1" w:rsidRDefault="006547C1" w:rsidP="006547C1"/>
    <w:p w14:paraId="76A78DAD" w14:textId="30E21F62" w:rsidR="00E501E4" w:rsidRPr="00E501E4" w:rsidRDefault="00E501E4" w:rsidP="00E501E4">
      <w:pPr>
        <w:pStyle w:val="Legenda"/>
        <w:rPr>
          <w:sz w:val="22"/>
          <w:szCs w:val="22"/>
        </w:rPr>
      </w:pPr>
      <w:bookmarkStart w:id="201" w:name="_Toc73534987"/>
      <w:r w:rsidRPr="00E501E4">
        <w:rPr>
          <w:sz w:val="22"/>
          <w:szCs w:val="22"/>
        </w:rPr>
        <w:t xml:space="preserve">Tabela </w:t>
      </w:r>
      <w:r w:rsidRPr="00E501E4">
        <w:rPr>
          <w:sz w:val="22"/>
          <w:szCs w:val="22"/>
        </w:rPr>
        <w:fldChar w:fldCharType="begin"/>
      </w:r>
      <w:r w:rsidRPr="00E501E4">
        <w:rPr>
          <w:sz w:val="22"/>
          <w:szCs w:val="22"/>
        </w:rPr>
        <w:instrText xml:space="preserve"> SEQ Tabela \* ARABIC </w:instrText>
      </w:r>
      <w:r w:rsidRPr="00E501E4">
        <w:rPr>
          <w:sz w:val="22"/>
          <w:szCs w:val="22"/>
        </w:rPr>
        <w:fldChar w:fldCharType="separate"/>
      </w:r>
      <w:r w:rsidR="00AD58C3">
        <w:rPr>
          <w:noProof/>
          <w:sz w:val="22"/>
          <w:szCs w:val="22"/>
        </w:rPr>
        <w:t>24</w:t>
      </w:r>
      <w:r w:rsidRPr="00E501E4">
        <w:rPr>
          <w:sz w:val="22"/>
          <w:szCs w:val="22"/>
        </w:rPr>
        <w:fldChar w:fldCharType="end"/>
      </w:r>
      <w:r w:rsidRPr="00E501E4">
        <w:rPr>
          <w:sz w:val="22"/>
          <w:szCs w:val="22"/>
        </w:rPr>
        <w:t>. Przykłady firm z Olsztyna i MOF Olsztyna prowadzące działalność w branżach powiązanych z regionalnymi inteligentnymi specjalizacjami – żywność wysokiej jakości</w:t>
      </w:r>
      <w:bookmarkEnd w:id="201"/>
    </w:p>
    <w:tbl>
      <w:tblPr>
        <w:tblW w:w="52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96"/>
        <w:gridCol w:w="5646"/>
        <w:gridCol w:w="1398"/>
        <w:gridCol w:w="1255"/>
      </w:tblGrid>
      <w:tr w:rsidR="006547C1" w:rsidRPr="00ED4EDD" w14:paraId="6561C1AC" w14:textId="77777777" w:rsidTr="007339EC">
        <w:trPr>
          <w:trHeight w:val="304"/>
        </w:trPr>
        <w:tc>
          <w:tcPr>
            <w:tcW w:w="630" w:type="pct"/>
            <w:tcBorders>
              <w:top w:val="single" w:sz="4" w:space="0" w:color="auto"/>
              <w:left w:val="single" w:sz="4" w:space="0" w:color="auto"/>
              <w:bottom w:val="single" w:sz="4" w:space="0" w:color="auto"/>
              <w:right w:val="single" w:sz="4" w:space="0" w:color="auto"/>
            </w:tcBorders>
            <w:shd w:val="clear" w:color="auto" w:fill="A8D08D"/>
            <w:vAlign w:val="center"/>
          </w:tcPr>
          <w:p w14:paraId="163D4666" w14:textId="77777777" w:rsidR="006547C1" w:rsidRPr="00FE51B7" w:rsidRDefault="006547C1" w:rsidP="00A16A1D">
            <w:pPr>
              <w:spacing w:after="0" w:line="240" w:lineRule="auto"/>
              <w:ind w:left="57" w:right="57"/>
              <w:jc w:val="center"/>
              <w:rPr>
                <w:b/>
                <w:sz w:val="20"/>
                <w:szCs w:val="20"/>
                <w:lang w:eastAsia="pl-PL"/>
              </w:rPr>
            </w:pPr>
            <w:r w:rsidRPr="00FE51B7">
              <w:rPr>
                <w:b/>
                <w:sz w:val="20"/>
                <w:szCs w:val="20"/>
                <w:lang w:eastAsia="pl-PL"/>
              </w:rPr>
              <w:t>Branża</w:t>
            </w:r>
          </w:p>
        </w:tc>
        <w:tc>
          <w:tcPr>
            <w:tcW w:w="2973" w:type="pct"/>
            <w:tcBorders>
              <w:top w:val="single" w:sz="4" w:space="0" w:color="auto"/>
              <w:left w:val="single" w:sz="4" w:space="0" w:color="auto"/>
              <w:bottom w:val="single" w:sz="4" w:space="0" w:color="auto"/>
              <w:right w:val="single" w:sz="4" w:space="0" w:color="auto"/>
            </w:tcBorders>
            <w:shd w:val="clear" w:color="auto" w:fill="A8D08D"/>
            <w:vAlign w:val="center"/>
          </w:tcPr>
          <w:p w14:paraId="47C26B0E" w14:textId="77777777" w:rsidR="006547C1" w:rsidRPr="00FE51B7" w:rsidRDefault="006547C1" w:rsidP="00A16A1D">
            <w:pPr>
              <w:spacing w:after="0" w:line="240" w:lineRule="auto"/>
              <w:ind w:left="57" w:right="57"/>
              <w:jc w:val="center"/>
              <w:rPr>
                <w:b/>
                <w:sz w:val="20"/>
                <w:szCs w:val="20"/>
                <w:lang w:eastAsia="pl-PL"/>
              </w:rPr>
            </w:pPr>
            <w:r w:rsidRPr="00FE51B7">
              <w:rPr>
                <w:b/>
                <w:sz w:val="20"/>
                <w:szCs w:val="20"/>
                <w:lang w:eastAsia="pl-PL"/>
              </w:rPr>
              <w:t>Przykłady firm</w:t>
            </w:r>
          </w:p>
        </w:tc>
        <w:tc>
          <w:tcPr>
            <w:tcW w:w="736" w:type="pct"/>
            <w:tcBorders>
              <w:top w:val="single" w:sz="4" w:space="0" w:color="auto"/>
              <w:left w:val="single" w:sz="4" w:space="0" w:color="auto"/>
              <w:bottom w:val="single" w:sz="4" w:space="0" w:color="auto"/>
              <w:right w:val="single" w:sz="4" w:space="0" w:color="auto"/>
            </w:tcBorders>
            <w:shd w:val="clear" w:color="auto" w:fill="A8D08D"/>
            <w:vAlign w:val="center"/>
          </w:tcPr>
          <w:p w14:paraId="0891D42D" w14:textId="77777777" w:rsidR="006547C1" w:rsidRPr="00FE51B7" w:rsidRDefault="006547C1" w:rsidP="00A16A1D">
            <w:pPr>
              <w:spacing w:after="0" w:line="240" w:lineRule="auto"/>
              <w:ind w:left="57" w:right="57"/>
              <w:jc w:val="center"/>
              <w:rPr>
                <w:b/>
                <w:sz w:val="20"/>
                <w:szCs w:val="20"/>
                <w:lang w:eastAsia="pl-PL"/>
              </w:rPr>
            </w:pPr>
            <w:r w:rsidRPr="00FE51B7">
              <w:rPr>
                <w:b/>
                <w:sz w:val="20"/>
                <w:szCs w:val="20"/>
                <w:lang w:eastAsia="pl-PL"/>
              </w:rPr>
              <w:t>Lokalizacja</w:t>
            </w:r>
          </w:p>
        </w:tc>
        <w:tc>
          <w:tcPr>
            <w:tcW w:w="661" w:type="pct"/>
            <w:tcBorders>
              <w:top w:val="single" w:sz="4" w:space="0" w:color="auto"/>
              <w:left w:val="single" w:sz="4" w:space="0" w:color="auto"/>
              <w:bottom w:val="single" w:sz="4" w:space="0" w:color="auto"/>
              <w:right w:val="single" w:sz="4" w:space="0" w:color="auto"/>
            </w:tcBorders>
            <w:shd w:val="clear" w:color="auto" w:fill="A8D08D"/>
            <w:vAlign w:val="center"/>
          </w:tcPr>
          <w:p w14:paraId="5D857EE3" w14:textId="77777777" w:rsidR="006547C1" w:rsidRPr="00FE51B7" w:rsidRDefault="006547C1" w:rsidP="00A16A1D">
            <w:pPr>
              <w:spacing w:after="0" w:line="240" w:lineRule="auto"/>
              <w:ind w:left="57" w:right="57"/>
              <w:jc w:val="center"/>
              <w:rPr>
                <w:b/>
                <w:sz w:val="20"/>
                <w:szCs w:val="20"/>
                <w:lang w:eastAsia="pl-PL"/>
              </w:rPr>
            </w:pPr>
            <w:r w:rsidRPr="00FE51B7">
              <w:rPr>
                <w:b/>
                <w:sz w:val="20"/>
                <w:szCs w:val="20"/>
                <w:lang w:eastAsia="pl-PL"/>
              </w:rPr>
              <w:t>Gmina</w:t>
            </w:r>
          </w:p>
        </w:tc>
      </w:tr>
      <w:tr w:rsidR="006547C1" w:rsidRPr="00ED4EDD" w14:paraId="55BA6A81" w14:textId="77777777" w:rsidTr="007339EC">
        <w:trPr>
          <w:trHeight w:val="1700"/>
        </w:trPr>
        <w:tc>
          <w:tcPr>
            <w:tcW w:w="630" w:type="pct"/>
            <w:vMerge w:val="restart"/>
            <w:tcBorders>
              <w:top w:val="single" w:sz="4" w:space="0" w:color="auto"/>
              <w:left w:val="single" w:sz="4" w:space="0" w:color="auto"/>
              <w:right w:val="single" w:sz="4" w:space="0" w:color="auto"/>
            </w:tcBorders>
            <w:vAlign w:val="center"/>
          </w:tcPr>
          <w:p w14:paraId="724FE34F" w14:textId="77777777" w:rsidR="006547C1" w:rsidRPr="00FE51B7" w:rsidRDefault="006547C1" w:rsidP="00A16A1D">
            <w:pPr>
              <w:spacing w:after="0" w:line="240" w:lineRule="auto"/>
              <w:ind w:left="57" w:right="57"/>
              <w:jc w:val="center"/>
              <w:rPr>
                <w:b/>
                <w:sz w:val="20"/>
                <w:szCs w:val="20"/>
                <w:lang w:eastAsia="pl-PL"/>
              </w:rPr>
            </w:pPr>
            <w:r w:rsidRPr="00FE51B7">
              <w:rPr>
                <w:b/>
                <w:sz w:val="20"/>
                <w:szCs w:val="20"/>
                <w:lang w:eastAsia="pl-PL"/>
              </w:rPr>
              <w:t>Produkcja maszyn i urządzeń dla przemysłu spożywczego</w:t>
            </w:r>
          </w:p>
        </w:tc>
        <w:tc>
          <w:tcPr>
            <w:tcW w:w="2973" w:type="pct"/>
            <w:tcBorders>
              <w:top w:val="single" w:sz="4" w:space="0" w:color="auto"/>
              <w:left w:val="single" w:sz="4" w:space="0" w:color="auto"/>
              <w:bottom w:val="single" w:sz="4" w:space="0" w:color="auto"/>
              <w:right w:val="single" w:sz="4" w:space="0" w:color="auto"/>
            </w:tcBorders>
            <w:vAlign w:val="center"/>
          </w:tcPr>
          <w:p w14:paraId="7DD04941" w14:textId="77777777" w:rsidR="006547C1" w:rsidRPr="00FE51B7" w:rsidRDefault="006547C1" w:rsidP="00A16A1D">
            <w:pPr>
              <w:spacing w:after="0" w:line="240" w:lineRule="auto"/>
              <w:ind w:left="57" w:right="57"/>
              <w:rPr>
                <w:b/>
                <w:sz w:val="20"/>
                <w:szCs w:val="20"/>
                <w:lang w:eastAsia="pl-PL"/>
              </w:rPr>
            </w:pPr>
            <w:r w:rsidRPr="00FE51B7">
              <w:rPr>
                <w:b/>
                <w:sz w:val="20"/>
                <w:szCs w:val="20"/>
                <w:lang w:eastAsia="pl-PL"/>
              </w:rPr>
              <w:t>TEWES – BIS Sp. z o.o.</w:t>
            </w:r>
          </w:p>
          <w:p w14:paraId="3A9730AF" w14:textId="77777777" w:rsidR="006547C1" w:rsidRPr="00FE51B7" w:rsidRDefault="006547C1" w:rsidP="00A16A1D">
            <w:pPr>
              <w:spacing w:after="0" w:line="240" w:lineRule="auto"/>
              <w:ind w:left="57" w:right="57"/>
              <w:rPr>
                <w:sz w:val="20"/>
                <w:szCs w:val="20"/>
                <w:lang w:eastAsia="pl-PL"/>
              </w:rPr>
            </w:pPr>
            <w:r w:rsidRPr="00FE51B7">
              <w:rPr>
                <w:sz w:val="20"/>
                <w:szCs w:val="20"/>
                <w:lang w:eastAsia="pl-PL"/>
              </w:rPr>
              <w:t>Przedsiębiorstwo istniejące od 1991 roku, specjalizujące się w produkcji maszyn, linii i całych linii technologicznych dla przemysłu spożywczego, w tym szczególnie mleczarskiego. W tym czasie realizowano projekty budowy i rozwoju linii technologicznych w firmach m.in. z Litwy, Łotwy, Ukrainy, Białorusi, Rosji, Niemiec, Węgier, Rumunii.</w:t>
            </w:r>
          </w:p>
        </w:tc>
        <w:tc>
          <w:tcPr>
            <w:tcW w:w="736" w:type="pct"/>
            <w:tcBorders>
              <w:top w:val="single" w:sz="4" w:space="0" w:color="auto"/>
              <w:left w:val="single" w:sz="4" w:space="0" w:color="auto"/>
              <w:bottom w:val="single" w:sz="4" w:space="0" w:color="auto"/>
              <w:right w:val="single" w:sz="4" w:space="0" w:color="auto"/>
            </w:tcBorders>
            <w:vAlign w:val="center"/>
          </w:tcPr>
          <w:p w14:paraId="55337CF8"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Barczewo</w:t>
            </w:r>
          </w:p>
        </w:tc>
        <w:tc>
          <w:tcPr>
            <w:tcW w:w="661" w:type="pct"/>
            <w:tcBorders>
              <w:top w:val="single" w:sz="4" w:space="0" w:color="auto"/>
              <w:left w:val="single" w:sz="4" w:space="0" w:color="auto"/>
              <w:bottom w:val="single" w:sz="4" w:space="0" w:color="auto"/>
              <w:right w:val="single" w:sz="4" w:space="0" w:color="auto"/>
            </w:tcBorders>
            <w:vAlign w:val="center"/>
          </w:tcPr>
          <w:p w14:paraId="334E164E"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Barczewo</w:t>
            </w:r>
          </w:p>
        </w:tc>
      </w:tr>
      <w:tr w:rsidR="006547C1" w:rsidRPr="00ED4EDD" w14:paraId="5442F7AD" w14:textId="77777777" w:rsidTr="007339EC">
        <w:trPr>
          <w:trHeight w:val="1489"/>
        </w:trPr>
        <w:tc>
          <w:tcPr>
            <w:tcW w:w="630" w:type="pct"/>
            <w:vMerge/>
            <w:tcBorders>
              <w:left w:val="single" w:sz="4" w:space="0" w:color="auto"/>
              <w:right w:val="single" w:sz="4" w:space="0" w:color="auto"/>
            </w:tcBorders>
            <w:vAlign w:val="center"/>
          </w:tcPr>
          <w:p w14:paraId="6B94AB3B" w14:textId="77777777" w:rsidR="006547C1" w:rsidRPr="00FE51B7" w:rsidRDefault="006547C1" w:rsidP="00A16A1D">
            <w:pPr>
              <w:spacing w:after="0" w:line="240" w:lineRule="auto"/>
              <w:ind w:left="57" w:right="57"/>
              <w:rPr>
                <w:b/>
                <w:sz w:val="20"/>
                <w:szCs w:val="20"/>
                <w:lang w:eastAsia="pl-PL"/>
              </w:rPr>
            </w:pPr>
          </w:p>
        </w:tc>
        <w:tc>
          <w:tcPr>
            <w:tcW w:w="2973" w:type="pct"/>
            <w:tcBorders>
              <w:top w:val="single" w:sz="4" w:space="0" w:color="auto"/>
              <w:left w:val="single" w:sz="4" w:space="0" w:color="auto"/>
              <w:bottom w:val="single" w:sz="4" w:space="0" w:color="auto"/>
              <w:right w:val="single" w:sz="4" w:space="0" w:color="auto"/>
            </w:tcBorders>
            <w:vAlign w:val="center"/>
          </w:tcPr>
          <w:p w14:paraId="4179E481" w14:textId="77777777" w:rsidR="006547C1" w:rsidRPr="00FE51B7" w:rsidRDefault="006547C1" w:rsidP="00A16A1D">
            <w:pPr>
              <w:spacing w:after="0" w:line="240" w:lineRule="auto"/>
              <w:ind w:left="57" w:right="57"/>
              <w:rPr>
                <w:b/>
                <w:sz w:val="20"/>
                <w:szCs w:val="20"/>
                <w:lang w:eastAsia="pl-PL"/>
              </w:rPr>
            </w:pPr>
            <w:r w:rsidRPr="00FE51B7">
              <w:rPr>
                <w:b/>
                <w:sz w:val="20"/>
                <w:szCs w:val="20"/>
                <w:lang w:eastAsia="pl-PL"/>
              </w:rPr>
              <w:t>P.P.H.U. SPOMET</w:t>
            </w:r>
          </w:p>
          <w:p w14:paraId="7C3FFC41" w14:textId="2956BA6E" w:rsidR="006547C1" w:rsidRPr="00FE51B7" w:rsidRDefault="006547C1" w:rsidP="005010A2">
            <w:pPr>
              <w:spacing w:after="0" w:line="240" w:lineRule="auto"/>
              <w:ind w:left="57" w:right="57"/>
              <w:rPr>
                <w:sz w:val="20"/>
                <w:szCs w:val="20"/>
                <w:lang w:eastAsia="pl-PL"/>
              </w:rPr>
            </w:pPr>
            <w:r w:rsidRPr="00FE51B7">
              <w:rPr>
                <w:sz w:val="20"/>
                <w:szCs w:val="20"/>
                <w:lang w:eastAsia="pl-PL"/>
              </w:rPr>
              <w:t xml:space="preserve">Firma z ponad 20-letnim doświadczeniem zajmująca się produkcją specjalistycznych zbiorników dla przemysłu spożywczego i chemicznego. Siedziba w 2005 r. </w:t>
            </w:r>
            <w:r w:rsidR="005010A2" w:rsidRPr="00FE51B7">
              <w:rPr>
                <w:sz w:val="20"/>
                <w:szCs w:val="20"/>
                <w:lang w:eastAsia="pl-PL"/>
              </w:rPr>
              <w:t xml:space="preserve">została przeniesiona z Olsztyna </w:t>
            </w:r>
            <w:r w:rsidRPr="00FE51B7">
              <w:rPr>
                <w:sz w:val="20"/>
                <w:szCs w:val="20"/>
                <w:lang w:eastAsia="pl-PL"/>
              </w:rPr>
              <w:t>do Marcinkow</w:t>
            </w:r>
            <w:r w:rsidR="00A62815">
              <w:rPr>
                <w:sz w:val="20"/>
                <w:szCs w:val="20"/>
                <w:lang w:eastAsia="pl-PL"/>
              </w:rPr>
              <w:t>a</w:t>
            </w:r>
            <w:r w:rsidRPr="00FE51B7">
              <w:rPr>
                <w:sz w:val="20"/>
                <w:szCs w:val="20"/>
                <w:lang w:eastAsia="pl-PL"/>
              </w:rPr>
              <w:t>. Dodatkowo oferuje usługi naprawcze oraz zajmuje się modernizacją urządzeń.</w:t>
            </w:r>
          </w:p>
        </w:tc>
        <w:tc>
          <w:tcPr>
            <w:tcW w:w="736" w:type="pct"/>
            <w:tcBorders>
              <w:top w:val="single" w:sz="4" w:space="0" w:color="auto"/>
              <w:left w:val="single" w:sz="4" w:space="0" w:color="auto"/>
              <w:bottom w:val="single" w:sz="4" w:space="0" w:color="auto"/>
              <w:right w:val="single" w:sz="4" w:space="0" w:color="auto"/>
            </w:tcBorders>
            <w:vAlign w:val="center"/>
          </w:tcPr>
          <w:p w14:paraId="3DBD502F" w14:textId="77777777" w:rsidR="006547C1" w:rsidRPr="00FE51B7" w:rsidRDefault="006547C1" w:rsidP="00FE51B7">
            <w:pPr>
              <w:spacing w:after="0" w:line="240" w:lineRule="auto"/>
              <w:ind w:left="57" w:right="57"/>
              <w:jc w:val="center"/>
              <w:rPr>
                <w:sz w:val="18"/>
                <w:szCs w:val="18"/>
                <w:lang w:eastAsia="pl-PL"/>
              </w:rPr>
            </w:pPr>
            <w:r w:rsidRPr="00FE51B7">
              <w:rPr>
                <w:sz w:val="18"/>
                <w:szCs w:val="18"/>
                <w:lang w:eastAsia="pl-PL"/>
              </w:rPr>
              <w:t>Marcinkowo</w:t>
            </w:r>
          </w:p>
        </w:tc>
        <w:tc>
          <w:tcPr>
            <w:tcW w:w="661" w:type="pct"/>
            <w:tcBorders>
              <w:top w:val="single" w:sz="4" w:space="0" w:color="auto"/>
              <w:left w:val="single" w:sz="4" w:space="0" w:color="auto"/>
              <w:bottom w:val="single" w:sz="4" w:space="0" w:color="auto"/>
              <w:right w:val="single" w:sz="4" w:space="0" w:color="auto"/>
            </w:tcBorders>
            <w:vAlign w:val="center"/>
          </w:tcPr>
          <w:p w14:paraId="22B9FD9B"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Purda</w:t>
            </w:r>
          </w:p>
        </w:tc>
      </w:tr>
      <w:tr w:rsidR="006547C1" w:rsidRPr="00ED4EDD" w14:paraId="07DFD5AF" w14:textId="77777777" w:rsidTr="007339EC">
        <w:trPr>
          <w:trHeight w:val="1715"/>
        </w:trPr>
        <w:tc>
          <w:tcPr>
            <w:tcW w:w="630" w:type="pct"/>
            <w:vMerge/>
            <w:tcBorders>
              <w:left w:val="single" w:sz="4" w:space="0" w:color="auto"/>
              <w:right w:val="single" w:sz="4" w:space="0" w:color="auto"/>
            </w:tcBorders>
            <w:vAlign w:val="center"/>
          </w:tcPr>
          <w:p w14:paraId="282495EB" w14:textId="77777777" w:rsidR="006547C1" w:rsidRPr="00FE51B7" w:rsidRDefault="006547C1" w:rsidP="00A16A1D">
            <w:pPr>
              <w:spacing w:after="0" w:line="240" w:lineRule="auto"/>
              <w:ind w:left="57" w:right="57"/>
              <w:rPr>
                <w:b/>
                <w:sz w:val="20"/>
                <w:szCs w:val="20"/>
                <w:lang w:eastAsia="pl-PL"/>
              </w:rPr>
            </w:pPr>
          </w:p>
        </w:tc>
        <w:tc>
          <w:tcPr>
            <w:tcW w:w="2973" w:type="pct"/>
            <w:tcBorders>
              <w:top w:val="single" w:sz="4" w:space="0" w:color="auto"/>
              <w:left w:val="single" w:sz="4" w:space="0" w:color="auto"/>
              <w:bottom w:val="single" w:sz="4" w:space="0" w:color="auto"/>
              <w:right w:val="single" w:sz="4" w:space="0" w:color="auto"/>
            </w:tcBorders>
            <w:vAlign w:val="center"/>
          </w:tcPr>
          <w:p w14:paraId="1E982BB2" w14:textId="77777777" w:rsidR="006547C1" w:rsidRPr="00FE51B7" w:rsidRDefault="006547C1" w:rsidP="00A16A1D">
            <w:pPr>
              <w:spacing w:after="0" w:line="240" w:lineRule="auto"/>
              <w:ind w:left="57" w:right="57"/>
              <w:rPr>
                <w:b/>
                <w:sz w:val="20"/>
                <w:szCs w:val="20"/>
                <w:lang w:eastAsia="pl-PL"/>
              </w:rPr>
            </w:pPr>
            <w:r w:rsidRPr="00FE51B7">
              <w:rPr>
                <w:b/>
                <w:sz w:val="20"/>
                <w:szCs w:val="20"/>
                <w:lang w:eastAsia="pl-PL"/>
              </w:rPr>
              <w:t>Bujalski Sp. z o.o.</w:t>
            </w:r>
          </w:p>
          <w:p w14:paraId="4ED0FE8A" w14:textId="77777777" w:rsidR="006547C1" w:rsidRPr="00FE51B7" w:rsidRDefault="006547C1" w:rsidP="00A16A1D">
            <w:pPr>
              <w:spacing w:after="0" w:line="240" w:lineRule="auto"/>
              <w:ind w:left="57" w:right="57"/>
              <w:rPr>
                <w:b/>
                <w:sz w:val="20"/>
                <w:szCs w:val="20"/>
                <w:lang w:eastAsia="pl-PL"/>
              </w:rPr>
            </w:pPr>
            <w:r w:rsidRPr="00FE51B7">
              <w:rPr>
                <w:sz w:val="20"/>
                <w:szCs w:val="20"/>
                <w:lang w:eastAsia="pl-PL"/>
              </w:rPr>
              <w:t>Producent zbiorników kwasoodpornych dla przemysłu spożywczego, kosmetycznego i farmaceutycznego oraz szeroko pojętych wyrobów ze stali kwasoodpornej. Jedna z największych i najlepiej prosperujących firm w województwie warmińsko-mazurskim. Działa od 1994 r. w tym czasie zatrudnienie zwiększyło się z 5 do 150 osób.</w:t>
            </w:r>
          </w:p>
        </w:tc>
        <w:tc>
          <w:tcPr>
            <w:tcW w:w="736" w:type="pct"/>
            <w:tcBorders>
              <w:top w:val="single" w:sz="4" w:space="0" w:color="auto"/>
              <w:left w:val="single" w:sz="4" w:space="0" w:color="auto"/>
              <w:bottom w:val="single" w:sz="4" w:space="0" w:color="auto"/>
              <w:right w:val="single" w:sz="4" w:space="0" w:color="auto"/>
            </w:tcBorders>
            <w:vAlign w:val="center"/>
          </w:tcPr>
          <w:p w14:paraId="42C1DAC9"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Dywity</w:t>
            </w:r>
          </w:p>
        </w:tc>
        <w:tc>
          <w:tcPr>
            <w:tcW w:w="661" w:type="pct"/>
            <w:tcBorders>
              <w:top w:val="single" w:sz="4" w:space="0" w:color="auto"/>
              <w:left w:val="single" w:sz="4" w:space="0" w:color="auto"/>
              <w:bottom w:val="single" w:sz="4" w:space="0" w:color="auto"/>
              <w:right w:val="single" w:sz="4" w:space="0" w:color="auto"/>
            </w:tcBorders>
            <w:vAlign w:val="center"/>
          </w:tcPr>
          <w:p w14:paraId="21F32504"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Dywity</w:t>
            </w:r>
          </w:p>
        </w:tc>
      </w:tr>
      <w:tr w:rsidR="006547C1" w:rsidRPr="00ED4EDD" w14:paraId="7855E573" w14:textId="77777777" w:rsidTr="007339EC">
        <w:trPr>
          <w:trHeight w:val="1489"/>
        </w:trPr>
        <w:tc>
          <w:tcPr>
            <w:tcW w:w="630" w:type="pct"/>
            <w:vMerge/>
            <w:tcBorders>
              <w:left w:val="single" w:sz="4" w:space="0" w:color="auto"/>
              <w:bottom w:val="single" w:sz="4" w:space="0" w:color="auto"/>
              <w:right w:val="single" w:sz="4" w:space="0" w:color="auto"/>
            </w:tcBorders>
            <w:vAlign w:val="center"/>
          </w:tcPr>
          <w:p w14:paraId="31155C23" w14:textId="77777777" w:rsidR="006547C1" w:rsidRPr="00FE51B7" w:rsidRDefault="006547C1" w:rsidP="00A16A1D">
            <w:pPr>
              <w:spacing w:after="0" w:line="240" w:lineRule="auto"/>
              <w:ind w:left="57" w:right="57"/>
              <w:rPr>
                <w:b/>
                <w:sz w:val="20"/>
                <w:szCs w:val="20"/>
                <w:lang w:eastAsia="pl-PL"/>
              </w:rPr>
            </w:pPr>
          </w:p>
        </w:tc>
        <w:tc>
          <w:tcPr>
            <w:tcW w:w="2973" w:type="pct"/>
            <w:tcBorders>
              <w:top w:val="single" w:sz="4" w:space="0" w:color="auto"/>
              <w:left w:val="single" w:sz="4" w:space="0" w:color="auto"/>
              <w:bottom w:val="single" w:sz="4" w:space="0" w:color="auto"/>
              <w:right w:val="single" w:sz="4" w:space="0" w:color="auto"/>
            </w:tcBorders>
            <w:vAlign w:val="center"/>
          </w:tcPr>
          <w:p w14:paraId="1B7C8215" w14:textId="77777777" w:rsidR="006547C1" w:rsidRPr="00FE51B7" w:rsidRDefault="006547C1" w:rsidP="00A16A1D">
            <w:pPr>
              <w:spacing w:after="0" w:line="240" w:lineRule="auto"/>
              <w:ind w:left="57" w:right="57"/>
              <w:rPr>
                <w:b/>
                <w:sz w:val="20"/>
                <w:szCs w:val="20"/>
                <w:lang w:eastAsia="pl-PL"/>
              </w:rPr>
            </w:pPr>
            <w:r w:rsidRPr="00FE51B7">
              <w:rPr>
                <w:b/>
                <w:sz w:val="20"/>
                <w:szCs w:val="20"/>
                <w:lang w:eastAsia="pl-PL"/>
              </w:rPr>
              <w:t>Zakład Urządzeń Technicznych UNIMASZ Sp. z o. o</w:t>
            </w:r>
          </w:p>
          <w:p w14:paraId="12973187" w14:textId="77777777" w:rsidR="006547C1" w:rsidRPr="00FE51B7" w:rsidRDefault="006547C1" w:rsidP="00A16A1D">
            <w:pPr>
              <w:spacing w:after="0" w:line="240" w:lineRule="auto"/>
              <w:ind w:left="57" w:right="57"/>
              <w:rPr>
                <w:sz w:val="20"/>
                <w:szCs w:val="20"/>
                <w:lang w:eastAsia="pl-PL"/>
              </w:rPr>
            </w:pPr>
            <w:r w:rsidRPr="00FE51B7">
              <w:rPr>
                <w:sz w:val="20"/>
                <w:szCs w:val="20"/>
                <w:lang w:eastAsia="pl-PL"/>
              </w:rPr>
              <w:t>Podstawową działalnością są usługi oraz produkcja maszyn i urządzeń technologicznych dla różnych branż gospodarki. Głównymi odbiorcami usług i produktów są przedsiębiorstwa z przemysłu mięsnego, owocowo-warzywnego oraz metalowego, budowlanego, produkcji opon itp.</w:t>
            </w:r>
          </w:p>
        </w:tc>
        <w:tc>
          <w:tcPr>
            <w:tcW w:w="736" w:type="pct"/>
            <w:tcBorders>
              <w:top w:val="single" w:sz="4" w:space="0" w:color="auto"/>
              <w:left w:val="single" w:sz="4" w:space="0" w:color="auto"/>
              <w:bottom w:val="single" w:sz="4" w:space="0" w:color="auto"/>
              <w:right w:val="single" w:sz="4" w:space="0" w:color="auto"/>
            </w:tcBorders>
            <w:vAlign w:val="center"/>
          </w:tcPr>
          <w:p w14:paraId="4D53CFF9"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 xml:space="preserve">Olsztyn </w:t>
            </w:r>
          </w:p>
        </w:tc>
        <w:tc>
          <w:tcPr>
            <w:tcW w:w="661" w:type="pct"/>
            <w:tcBorders>
              <w:top w:val="single" w:sz="4" w:space="0" w:color="auto"/>
              <w:left w:val="single" w:sz="4" w:space="0" w:color="auto"/>
              <w:bottom w:val="single" w:sz="4" w:space="0" w:color="auto"/>
              <w:right w:val="single" w:sz="4" w:space="0" w:color="auto"/>
            </w:tcBorders>
            <w:vAlign w:val="center"/>
          </w:tcPr>
          <w:p w14:paraId="235E6BAF"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Olsztyn</w:t>
            </w:r>
          </w:p>
        </w:tc>
      </w:tr>
      <w:tr w:rsidR="006547C1" w:rsidRPr="00ED4EDD" w14:paraId="03DAD140" w14:textId="77777777" w:rsidTr="007339EC">
        <w:trPr>
          <w:trHeight w:val="962"/>
        </w:trPr>
        <w:tc>
          <w:tcPr>
            <w:tcW w:w="630" w:type="pct"/>
            <w:vMerge w:val="restart"/>
            <w:tcBorders>
              <w:top w:val="single" w:sz="4" w:space="0" w:color="auto"/>
              <w:left w:val="single" w:sz="4" w:space="0" w:color="auto"/>
              <w:bottom w:val="single" w:sz="4" w:space="0" w:color="auto"/>
              <w:right w:val="single" w:sz="4" w:space="0" w:color="auto"/>
            </w:tcBorders>
            <w:vAlign w:val="center"/>
          </w:tcPr>
          <w:p w14:paraId="1250548E" w14:textId="77777777" w:rsidR="006547C1" w:rsidRPr="00FE51B7" w:rsidRDefault="006547C1" w:rsidP="00A16A1D">
            <w:pPr>
              <w:spacing w:after="0" w:line="240" w:lineRule="auto"/>
              <w:ind w:left="57" w:right="57"/>
              <w:jc w:val="center"/>
              <w:rPr>
                <w:b/>
                <w:sz w:val="20"/>
                <w:szCs w:val="20"/>
                <w:lang w:eastAsia="pl-PL"/>
              </w:rPr>
            </w:pPr>
            <w:r w:rsidRPr="00FE51B7">
              <w:rPr>
                <w:b/>
                <w:sz w:val="20"/>
                <w:szCs w:val="20"/>
                <w:lang w:eastAsia="pl-PL"/>
              </w:rPr>
              <w:lastRenderedPageBreak/>
              <w:t>Produkcja pasz</w:t>
            </w:r>
          </w:p>
        </w:tc>
        <w:tc>
          <w:tcPr>
            <w:tcW w:w="2973" w:type="pct"/>
            <w:tcBorders>
              <w:top w:val="single" w:sz="4" w:space="0" w:color="auto"/>
              <w:left w:val="single" w:sz="4" w:space="0" w:color="auto"/>
              <w:bottom w:val="single" w:sz="4" w:space="0" w:color="auto"/>
              <w:right w:val="single" w:sz="4" w:space="0" w:color="auto"/>
            </w:tcBorders>
            <w:vAlign w:val="center"/>
          </w:tcPr>
          <w:p w14:paraId="2EC89518" w14:textId="77777777" w:rsidR="006547C1" w:rsidRPr="00FE51B7" w:rsidRDefault="006547C1" w:rsidP="00A16A1D">
            <w:pPr>
              <w:spacing w:after="0" w:line="240" w:lineRule="auto"/>
              <w:ind w:left="57" w:right="57"/>
              <w:rPr>
                <w:b/>
                <w:sz w:val="20"/>
                <w:szCs w:val="20"/>
                <w:lang w:eastAsia="pl-PL"/>
              </w:rPr>
            </w:pPr>
            <w:r w:rsidRPr="00FE51B7">
              <w:rPr>
                <w:b/>
                <w:sz w:val="20"/>
                <w:szCs w:val="20"/>
                <w:lang w:eastAsia="pl-PL"/>
              </w:rPr>
              <w:t>ProCam Polska Sp. z o.o.</w:t>
            </w:r>
          </w:p>
          <w:p w14:paraId="600C7476" w14:textId="77777777" w:rsidR="006547C1" w:rsidRPr="00FE51B7" w:rsidRDefault="006547C1" w:rsidP="00A16A1D">
            <w:pPr>
              <w:spacing w:after="0" w:line="240" w:lineRule="auto"/>
              <w:ind w:left="57" w:right="57"/>
              <w:rPr>
                <w:sz w:val="20"/>
                <w:szCs w:val="20"/>
                <w:lang w:eastAsia="pl-PL"/>
              </w:rPr>
            </w:pPr>
            <w:r w:rsidRPr="00FE51B7">
              <w:rPr>
                <w:sz w:val="20"/>
                <w:szCs w:val="20"/>
                <w:lang w:eastAsia="pl-PL"/>
              </w:rPr>
              <w:t xml:space="preserve">W Jonkowie znajduje się oddział tej brytyjskiej firmy produkującej nawozy i materiał siewny. Główna siedziba w Polsce znajduje się w Gdańsku. </w:t>
            </w:r>
          </w:p>
        </w:tc>
        <w:tc>
          <w:tcPr>
            <w:tcW w:w="736" w:type="pct"/>
            <w:tcBorders>
              <w:top w:val="single" w:sz="4" w:space="0" w:color="auto"/>
              <w:left w:val="single" w:sz="4" w:space="0" w:color="auto"/>
              <w:bottom w:val="single" w:sz="4" w:space="0" w:color="auto"/>
              <w:right w:val="single" w:sz="4" w:space="0" w:color="auto"/>
            </w:tcBorders>
            <w:vAlign w:val="center"/>
          </w:tcPr>
          <w:p w14:paraId="58DCBC4A"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Jonkowo</w:t>
            </w:r>
          </w:p>
        </w:tc>
        <w:tc>
          <w:tcPr>
            <w:tcW w:w="661" w:type="pct"/>
            <w:tcBorders>
              <w:top w:val="single" w:sz="4" w:space="0" w:color="auto"/>
              <w:left w:val="single" w:sz="4" w:space="0" w:color="auto"/>
              <w:bottom w:val="single" w:sz="4" w:space="0" w:color="auto"/>
              <w:right w:val="single" w:sz="4" w:space="0" w:color="auto"/>
            </w:tcBorders>
            <w:vAlign w:val="center"/>
          </w:tcPr>
          <w:p w14:paraId="27305287"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Jonkowo</w:t>
            </w:r>
          </w:p>
        </w:tc>
      </w:tr>
      <w:tr w:rsidR="006547C1" w:rsidRPr="00ED4EDD" w14:paraId="47402068" w14:textId="77777777" w:rsidTr="007339EC">
        <w:trPr>
          <w:trHeight w:val="1730"/>
        </w:trPr>
        <w:tc>
          <w:tcPr>
            <w:tcW w:w="630" w:type="pct"/>
            <w:vMerge/>
            <w:tcBorders>
              <w:top w:val="single" w:sz="4" w:space="0" w:color="auto"/>
              <w:left w:val="single" w:sz="4" w:space="0" w:color="auto"/>
              <w:bottom w:val="single" w:sz="4" w:space="0" w:color="auto"/>
              <w:right w:val="single" w:sz="4" w:space="0" w:color="auto"/>
            </w:tcBorders>
            <w:vAlign w:val="center"/>
          </w:tcPr>
          <w:p w14:paraId="7C9A2D4F" w14:textId="77777777" w:rsidR="006547C1" w:rsidRPr="00FE51B7" w:rsidRDefault="006547C1" w:rsidP="00A16A1D">
            <w:pPr>
              <w:spacing w:after="0" w:line="240" w:lineRule="auto"/>
              <w:ind w:left="57" w:right="57"/>
              <w:rPr>
                <w:b/>
                <w:sz w:val="20"/>
                <w:szCs w:val="20"/>
                <w:lang w:eastAsia="pl-PL"/>
              </w:rPr>
            </w:pPr>
          </w:p>
        </w:tc>
        <w:tc>
          <w:tcPr>
            <w:tcW w:w="2973" w:type="pct"/>
            <w:tcBorders>
              <w:top w:val="single" w:sz="4" w:space="0" w:color="auto"/>
              <w:left w:val="single" w:sz="4" w:space="0" w:color="auto"/>
              <w:bottom w:val="single" w:sz="4" w:space="0" w:color="auto"/>
              <w:right w:val="single" w:sz="4" w:space="0" w:color="auto"/>
            </w:tcBorders>
            <w:vAlign w:val="center"/>
          </w:tcPr>
          <w:p w14:paraId="41C91E38" w14:textId="77777777" w:rsidR="006547C1" w:rsidRPr="00FE51B7" w:rsidRDefault="006547C1" w:rsidP="00A16A1D">
            <w:pPr>
              <w:spacing w:after="0" w:line="240" w:lineRule="auto"/>
              <w:ind w:left="57" w:right="57"/>
              <w:rPr>
                <w:b/>
                <w:sz w:val="20"/>
                <w:szCs w:val="20"/>
                <w:lang w:eastAsia="pl-PL"/>
              </w:rPr>
            </w:pPr>
            <w:r w:rsidRPr="00FE51B7">
              <w:rPr>
                <w:b/>
                <w:sz w:val="20"/>
                <w:szCs w:val="20"/>
                <w:lang w:eastAsia="pl-PL"/>
              </w:rPr>
              <w:t>Wipasz S.A.</w:t>
            </w:r>
          </w:p>
          <w:p w14:paraId="5B99212F" w14:textId="77777777" w:rsidR="006547C1" w:rsidRPr="00FE51B7" w:rsidRDefault="006547C1" w:rsidP="00A16A1D">
            <w:pPr>
              <w:spacing w:after="0" w:line="240" w:lineRule="auto"/>
              <w:ind w:left="57" w:right="57"/>
              <w:rPr>
                <w:b/>
                <w:sz w:val="20"/>
                <w:szCs w:val="20"/>
                <w:lang w:eastAsia="pl-PL"/>
              </w:rPr>
            </w:pPr>
            <w:r w:rsidRPr="00FE51B7">
              <w:rPr>
                <w:sz w:val="20"/>
                <w:szCs w:val="20"/>
                <w:lang w:eastAsia="pl-PL"/>
              </w:rPr>
              <w:t>Jedna z największych i najlepiej prosperujących firm w województwie warmińsko-mazurskim, zajmuje się produkcją pasz dla drobiu, trzody i bydła (ok. milion ton rocznie) oraz mięsa drobiowego (marka „Nasz Kurczak”). Prowadzi wytwórnie zlokalizowane również w gminach Morąg, Pasłęk i Międzyrzec Podlaski.</w:t>
            </w:r>
          </w:p>
        </w:tc>
        <w:tc>
          <w:tcPr>
            <w:tcW w:w="736" w:type="pct"/>
            <w:tcBorders>
              <w:top w:val="single" w:sz="4" w:space="0" w:color="auto"/>
              <w:left w:val="single" w:sz="4" w:space="0" w:color="auto"/>
              <w:bottom w:val="single" w:sz="4" w:space="0" w:color="auto"/>
              <w:right w:val="single" w:sz="4" w:space="0" w:color="auto"/>
            </w:tcBorders>
            <w:vAlign w:val="center"/>
          </w:tcPr>
          <w:p w14:paraId="1C9AF5EC"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Wadąg</w:t>
            </w:r>
          </w:p>
        </w:tc>
        <w:tc>
          <w:tcPr>
            <w:tcW w:w="661" w:type="pct"/>
            <w:tcBorders>
              <w:top w:val="single" w:sz="4" w:space="0" w:color="auto"/>
              <w:left w:val="single" w:sz="4" w:space="0" w:color="auto"/>
              <w:bottom w:val="single" w:sz="4" w:space="0" w:color="auto"/>
              <w:right w:val="single" w:sz="4" w:space="0" w:color="auto"/>
            </w:tcBorders>
            <w:vAlign w:val="center"/>
          </w:tcPr>
          <w:p w14:paraId="7FD91D25"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Dywity</w:t>
            </w:r>
          </w:p>
        </w:tc>
      </w:tr>
      <w:tr w:rsidR="006547C1" w:rsidRPr="00ED4EDD" w14:paraId="21BEF10B" w14:textId="77777777" w:rsidTr="007339EC">
        <w:trPr>
          <w:trHeight w:val="1459"/>
        </w:trPr>
        <w:tc>
          <w:tcPr>
            <w:tcW w:w="630" w:type="pct"/>
            <w:vMerge w:val="restart"/>
            <w:tcBorders>
              <w:top w:val="single" w:sz="4" w:space="0" w:color="auto"/>
              <w:left w:val="single" w:sz="4" w:space="0" w:color="auto"/>
              <w:right w:val="single" w:sz="4" w:space="0" w:color="auto"/>
            </w:tcBorders>
            <w:vAlign w:val="center"/>
          </w:tcPr>
          <w:p w14:paraId="02281B50" w14:textId="77777777" w:rsidR="006547C1" w:rsidRPr="00FE51B7" w:rsidRDefault="006547C1" w:rsidP="00A16A1D">
            <w:pPr>
              <w:spacing w:after="0" w:line="240" w:lineRule="auto"/>
              <w:ind w:left="57" w:right="57"/>
              <w:jc w:val="center"/>
              <w:rPr>
                <w:b/>
                <w:sz w:val="20"/>
                <w:szCs w:val="20"/>
                <w:lang w:eastAsia="pl-PL"/>
              </w:rPr>
            </w:pPr>
            <w:r w:rsidRPr="00FE51B7">
              <w:rPr>
                <w:b/>
                <w:sz w:val="20"/>
                <w:szCs w:val="20"/>
                <w:lang w:eastAsia="pl-PL"/>
              </w:rPr>
              <w:t>Produkcja miodu</w:t>
            </w:r>
          </w:p>
        </w:tc>
        <w:tc>
          <w:tcPr>
            <w:tcW w:w="2973" w:type="pct"/>
            <w:tcBorders>
              <w:top w:val="single" w:sz="4" w:space="0" w:color="auto"/>
              <w:left w:val="single" w:sz="4" w:space="0" w:color="auto"/>
              <w:bottom w:val="single" w:sz="4" w:space="0" w:color="auto"/>
              <w:right w:val="single" w:sz="4" w:space="0" w:color="auto"/>
            </w:tcBorders>
            <w:vAlign w:val="center"/>
          </w:tcPr>
          <w:p w14:paraId="57AC8442" w14:textId="77777777" w:rsidR="006547C1" w:rsidRPr="00FE51B7" w:rsidRDefault="006547C1" w:rsidP="00A16A1D">
            <w:pPr>
              <w:spacing w:after="0" w:line="240" w:lineRule="auto"/>
              <w:ind w:left="57" w:right="57"/>
              <w:rPr>
                <w:b/>
                <w:sz w:val="20"/>
                <w:szCs w:val="20"/>
                <w:lang w:eastAsia="pl-PL"/>
              </w:rPr>
            </w:pPr>
            <w:r w:rsidRPr="00FE51B7">
              <w:rPr>
                <w:b/>
                <w:sz w:val="20"/>
                <w:szCs w:val="20"/>
                <w:lang w:eastAsia="pl-PL"/>
              </w:rPr>
              <w:t>Pasieka Warmińska Tadeusz Wróblewski</w:t>
            </w:r>
          </w:p>
          <w:p w14:paraId="6A08BCE9" w14:textId="77777777" w:rsidR="006547C1" w:rsidRDefault="006547C1" w:rsidP="00A16A1D">
            <w:pPr>
              <w:spacing w:after="0" w:line="240" w:lineRule="auto"/>
              <w:ind w:left="57" w:right="57"/>
              <w:rPr>
                <w:sz w:val="20"/>
                <w:szCs w:val="20"/>
                <w:lang w:eastAsia="pl-PL"/>
              </w:rPr>
            </w:pPr>
            <w:r w:rsidRPr="00FE51B7">
              <w:rPr>
                <w:sz w:val="20"/>
                <w:szCs w:val="20"/>
                <w:lang w:eastAsia="pl-PL"/>
              </w:rPr>
              <w:t>W pasiece produkowane są różne rodzaje miodów – w tym spadziowy, akacjowy, lipowy, malinowy, wielokwiatowy, gryczany, wrzosowy. Prowadzona jest sprzedaż hurtowa i detaliczna. Sprzedaż prowadzona jest za pośrednictwem dwóch punktów dystrybucyjnych zlokalizowanych w Warszawie.</w:t>
            </w:r>
          </w:p>
          <w:p w14:paraId="105ABAAA" w14:textId="4F903331" w:rsidR="007339EC" w:rsidRPr="00FE51B7" w:rsidRDefault="007339EC" w:rsidP="00A16A1D">
            <w:pPr>
              <w:spacing w:after="0" w:line="240" w:lineRule="auto"/>
              <w:ind w:left="57" w:right="57"/>
              <w:rPr>
                <w:sz w:val="20"/>
                <w:szCs w:val="20"/>
                <w:lang w:eastAsia="pl-PL"/>
              </w:rPr>
            </w:pPr>
          </w:p>
        </w:tc>
        <w:tc>
          <w:tcPr>
            <w:tcW w:w="736" w:type="pct"/>
            <w:tcBorders>
              <w:top w:val="single" w:sz="4" w:space="0" w:color="auto"/>
              <w:left w:val="single" w:sz="4" w:space="0" w:color="auto"/>
              <w:bottom w:val="single" w:sz="4" w:space="0" w:color="auto"/>
              <w:right w:val="single" w:sz="4" w:space="0" w:color="auto"/>
            </w:tcBorders>
            <w:vAlign w:val="center"/>
          </w:tcPr>
          <w:p w14:paraId="03B7B858"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Rentyny</w:t>
            </w:r>
          </w:p>
        </w:tc>
        <w:tc>
          <w:tcPr>
            <w:tcW w:w="661" w:type="pct"/>
            <w:tcBorders>
              <w:top w:val="single" w:sz="4" w:space="0" w:color="auto"/>
              <w:left w:val="single" w:sz="4" w:space="0" w:color="auto"/>
              <w:bottom w:val="single" w:sz="4" w:space="0" w:color="auto"/>
              <w:right w:val="single" w:sz="4" w:space="0" w:color="auto"/>
            </w:tcBorders>
            <w:vAlign w:val="center"/>
          </w:tcPr>
          <w:p w14:paraId="3A27BE5E"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Gietrzwałd</w:t>
            </w:r>
          </w:p>
        </w:tc>
      </w:tr>
      <w:tr w:rsidR="006547C1" w:rsidRPr="00ED4EDD" w14:paraId="36FFC934" w14:textId="77777777" w:rsidTr="007339EC">
        <w:trPr>
          <w:trHeight w:val="255"/>
        </w:trPr>
        <w:tc>
          <w:tcPr>
            <w:tcW w:w="630" w:type="pct"/>
            <w:vMerge/>
            <w:tcBorders>
              <w:left w:val="single" w:sz="4" w:space="0" w:color="auto"/>
              <w:right w:val="single" w:sz="4" w:space="0" w:color="auto"/>
            </w:tcBorders>
            <w:vAlign w:val="center"/>
          </w:tcPr>
          <w:p w14:paraId="3532051E" w14:textId="77777777" w:rsidR="006547C1" w:rsidRPr="00FE51B7" w:rsidRDefault="006547C1" w:rsidP="00A16A1D">
            <w:pPr>
              <w:spacing w:after="0" w:line="240" w:lineRule="auto"/>
              <w:ind w:left="57" w:right="57"/>
              <w:jc w:val="center"/>
              <w:rPr>
                <w:b/>
                <w:sz w:val="20"/>
                <w:szCs w:val="20"/>
                <w:lang w:eastAsia="pl-PL"/>
              </w:rPr>
            </w:pPr>
          </w:p>
        </w:tc>
        <w:tc>
          <w:tcPr>
            <w:tcW w:w="2973" w:type="pct"/>
            <w:tcBorders>
              <w:top w:val="single" w:sz="4" w:space="0" w:color="auto"/>
              <w:left w:val="single" w:sz="4" w:space="0" w:color="auto"/>
              <w:bottom w:val="single" w:sz="4" w:space="0" w:color="auto"/>
              <w:right w:val="single" w:sz="4" w:space="0" w:color="auto"/>
            </w:tcBorders>
            <w:vAlign w:val="center"/>
          </w:tcPr>
          <w:p w14:paraId="5AFB2CBC" w14:textId="77777777" w:rsidR="006547C1" w:rsidRPr="00FE51B7" w:rsidRDefault="006547C1" w:rsidP="00A16A1D">
            <w:pPr>
              <w:spacing w:after="0" w:line="240" w:lineRule="auto"/>
              <w:ind w:left="57" w:right="57"/>
              <w:rPr>
                <w:b/>
                <w:sz w:val="20"/>
                <w:szCs w:val="20"/>
                <w:lang w:eastAsia="pl-PL"/>
              </w:rPr>
            </w:pPr>
            <w:r w:rsidRPr="00FE51B7">
              <w:rPr>
                <w:b/>
                <w:sz w:val="20"/>
                <w:szCs w:val="20"/>
                <w:lang w:eastAsia="pl-PL"/>
              </w:rPr>
              <w:t>Mazurskie Miody Bogdan Piasecki</w:t>
            </w:r>
          </w:p>
          <w:p w14:paraId="4C70F3A1" w14:textId="5A68934A" w:rsidR="00550EDE" w:rsidRPr="00FE51B7" w:rsidRDefault="006547C1" w:rsidP="007339EC">
            <w:pPr>
              <w:spacing w:after="0" w:line="240" w:lineRule="auto"/>
              <w:ind w:left="57" w:right="57"/>
              <w:rPr>
                <w:sz w:val="20"/>
                <w:szCs w:val="20"/>
                <w:lang w:eastAsia="pl-PL"/>
              </w:rPr>
            </w:pPr>
            <w:r w:rsidRPr="00FE51B7">
              <w:rPr>
                <w:sz w:val="20"/>
                <w:szCs w:val="20"/>
                <w:lang w:eastAsia="pl-PL"/>
              </w:rPr>
              <w:t xml:space="preserve">Firma oferująca miody od najpopularniejszego miodu wielokwiatowego i rzepakowego, przez niebanalne miody wrzosowe i faceliowe, aż po tak egzotyczne odmiany, jak nowozelandzka manuka. W ofercie firmy znajdują się także miody pitne i alkohole mocne. </w:t>
            </w:r>
          </w:p>
        </w:tc>
        <w:tc>
          <w:tcPr>
            <w:tcW w:w="736" w:type="pct"/>
            <w:tcBorders>
              <w:top w:val="single" w:sz="4" w:space="0" w:color="auto"/>
              <w:left w:val="single" w:sz="4" w:space="0" w:color="auto"/>
              <w:bottom w:val="single" w:sz="4" w:space="0" w:color="auto"/>
              <w:right w:val="single" w:sz="4" w:space="0" w:color="auto"/>
            </w:tcBorders>
            <w:vAlign w:val="center"/>
          </w:tcPr>
          <w:p w14:paraId="243F4321" w14:textId="77777777" w:rsidR="006547C1" w:rsidRPr="00550EDE" w:rsidRDefault="006547C1" w:rsidP="00A16A1D">
            <w:pPr>
              <w:spacing w:after="0" w:line="240" w:lineRule="auto"/>
              <w:ind w:left="57" w:right="57"/>
              <w:jc w:val="center"/>
              <w:rPr>
                <w:sz w:val="18"/>
                <w:szCs w:val="18"/>
                <w:lang w:eastAsia="pl-PL"/>
              </w:rPr>
            </w:pPr>
            <w:r w:rsidRPr="00550EDE">
              <w:rPr>
                <w:sz w:val="18"/>
                <w:szCs w:val="18"/>
                <w:lang w:eastAsia="pl-PL"/>
              </w:rPr>
              <w:t>Tomaszkowo</w:t>
            </w:r>
          </w:p>
        </w:tc>
        <w:tc>
          <w:tcPr>
            <w:tcW w:w="661" w:type="pct"/>
            <w:tcBorders>
              <w:top w:val="single" w:sz="4" w:space="0" w:color="auto"/>
              <w:left w:val="single" w:sz="4" w:space="0" w:color="auto"/>
              <w:bottom w:val="single" w:sz="4" w:space="0" w:color="auto"/>
              <w:right w:val="single" w:sz="4" w:space="0" w:color="auto"/>
            </w:tcBorders>
            <w:vAlign w:val="center"/>
          </w:tcPr>
          <w:p w14:paraId="29FF0216"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Stawiguda</w:t>
            </w:r>
          </w:p>
        </w:tc>
      </w:tr>
      <w:tr w:rsidR="006547C1" w:rsidRPr="00ED4EDD" w14:paraId="2068192F" w14:textId="77777777" w:rsidTr="007339EC">
        <w:trPr>
          <w:trHeight w:val="1083"/>
        </w:trPr>
        <w:tc>
          <w:tcPr>
            <w:tcW w:w="630" w:type="pct"/>
            <w:vMerge/>
            <w:tcBorders>
              <w:left w:val="single" w:sz="4" w:space="0" w:color="auto"/>
              <w:bottom w:val="single" w:sz="4" w:space="0" w:color="auto"/>
              <w:right w:val="single" w:sz="4" w:space="0" w:color="auto"/>
            </w:tcBorders>
            <w:vAlign w:val="center"/>
          </w:tcPr>
          <w:p w14:paraId="0DD6A71C" w14:textId="77777777" w:rsidR="006547C1" w:rsidRPr="00FE51B7" w:rsidRDefault="006547C1" w:rsidP="00A16A1D">
            <w:pPr>
              <w:spacing w:after="0" w:line="240" w:lineRule="auto"/>
              <w:ind w:left="57" w:right="57"/>
              <w:jc w:val="center"/>
              <w:rPr>
                <w:b/>
                <w:sz w:val="20"/>
                <w:szCs w:val="20"/>
                <w:lang w:eastAsia="pl-PL"/>
              </w:rPr>
            </w:pPr>
          </w:p>
        </w:tc>
        <w:tc>
          <w:tcPr>
            <w:tcW w:w="2973" w:type="pct"/>
            <w:tcBorders>
              <w:top w:val="single" w:sz="4" w:space="0" w:color="auto"/>
              <w:left w:val="single" w:sz="4" w:space="0" w:color="auto"/>
              <w:bottom w:val="single" w:sz="4" w:space="0" w:color="auto"/>
              <w:right w:val="single" w:sz="4" w:space="0" w:color="auto"/>
            </w:tcBorders>
            <w:vAlign w:val="center"/>
          </w:tcPr>
          <w:p w14:paraId="7ED5A121" w14:textId="77777777" w:rsidR="006547C1" w:rsidRPr="00FE51B7" w:rsidRDefault="006547C1" w:rsidP="00A16A1D">
            <w:pPr>
              <w:spacing w:after="0" w:line="240" w:lineRule="auto"/>
              <w:ind w:left="57" w:right="57"/>
              <w:rPr>
                <w:b/>
                <w:sz w:val="20"/>
                <w:szCs w:val="20"/>
                <w:lang w:eastAsia="pl-PL"/>
              </w:rPr>
            </w:pPr>
            <w:r w:rsidRPr="00FE51B7">
              <w:rPr>
                <w:b/>
                <w:sz w:val="20"/>
                <w:szCs w:val="20"/>
                <w:lang w:eastAsia="pl-PL"/>
              </w:rPr>
              <w:t>Warmińska Pszczoła Kasia i Andrzej Maziec</w:t>
            </w:r>
          </w:p>
          <w:p w14:paraId="64936586" w14:textId="77777777" w:rsidR="006547C1" w:rsidRPr="00FE51B7" w:rsidRDefault="006547C1" w:rsidP="00A16A1D">
            <w:pPr>
              <w:spacing w:after="0" w:line="240" w:lineRule="auto"/>
              <w:ind w:left="57" w:right="57"/>
              <w:rPr>
                <w:sz w:val="20"/>
                <w:szCs w:val="20"/>
                <w:lang w:eastAsia="pl-PL"/>
              </w:rPr>
            </w:pPr>
            <w:r w:rsidRPr="00FE51B7">
              <w:rPr>
                <w:sz w:val="20"/>
                <w:szCs w:val="20"/>
                <w:lang w:eastAsia="pl-PL"/>
              </w:rPr>
              <w:t>Firma oprócz miodów oferuje szkolenia i warsztaty w Pasiece Edukacyjnej Warmińska Pszczoła oraz wypoczynek w jednym z 2 całorocznych domków.</w:t>
            </w:r>
          </w:p>
        </w:tc>
        <w:tc>
          <w:tcPr>
            <w:tcW w:w="736" w:type="pct"/>
            <w:tcBorders>
              <w:top w:val="single" w:sz="4" w:space="0" w:color="auto"/>
              <w:left w:val="single" w:sz="4" w:space="0" w:color="auto"/>
              <w:bottom w:val="single" w:sz="4" w:space="0" w:color="auto"/>
              <w:right w:val="single" w:sz="4" w:space="0" w:color="auto"/>
            </w:tcBorders>
            <w:vAlign w:val="center"/>
          </w:tcPr>
          <w:p w14:paraId="05AAAD4F"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Purda</w:t>
            </w:r>
          </w:p>
        </w:tc>
        <w:tc>
          <w:tcPr>
            <w:tcW w:w="661" w:type="pct"/>
            <w:tcBorders>
              <w:top w:val="single" w:sz="4" w:space="0" w:color="auto"/>
              <w:left w:val="single" w:sz="4" w:space="0" w:color="auto"/>
              <w:bottom w:val="single" w:sz="4" w:space="0" w:color="auto"/>
              <w:right w:val="single" w:sz="4" w:space="0" w:color="auto"/>
            </w:tcBorders>
            <w:vAlign w:val="center"/>
          </w:tcPr>
          <w:p w14:paraId="7FC76B30"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Purda</w:t>
            </w:r>
          </w:p>
        </w:tc>
      </w:tr>
      <w:tr w:rsidR="006547C1" w:rsidRPr="00ED4EDD" w14:paraId="1DABE840" w14:textId="77777777" w:rsidTr="007339EC">
        <w:trPr>
          <w:trHeight w:val="1700"/>
        </w:trPr>
        <w:tc>
          <w:tcPr>
            <w:tcW w:w="630" w:type="pct"/>
            <w:tcBorders>
              <w:top w:val="single" w:sz="4" w:space="0" w:color="auto"/>
              <w:left w:val="single" w:sz="4" w:space="0" w:color="auto"/>
              <w:bottom w:val="single" w:sz="4" w:space="0" w:color="auto"/>
              <w:right w:val="single" w:sz="4" w:space="0" w:color="auto"/>
            </w:tcBorders>
            <w:vAlign w:val="center"/>
          </w:tcPr>
          <w:p w14:paraId="549AE695" w14:textId="77777777" w:rsidR="00FE51B7" w:rsidRDefault="006547C1" w:rsidP="00A16A1D">
            <w:pPr>
              <w:spacing w:after="0" w:line="240" w:lineRule="auto"/>
              <w:ind w:left="57" w:right="57"/>
              <w:jc w:val="center"/>
              <w:rPr>
                <w:b/>
                <w:sz w:val="20"/>
                <w:szCs w:val="20"/>
                <w:lang w:eastAsia="pl-PL"/>
              </w:rPr>
            </w:pPr>
            <w:r w:rsidRPr="00FE51B7">
              <w:rPr>
                <w:b/>
                <w:sz w:val="20"/>
                <w:szCs w:val="20"/>
                <w:lang w:eastAsia="pl-PL"/>
              </w:rPr>
              <w:t xml:space="preserve">Produkcja mięsa </w:t>
            </w:r>
          </w:p>
          <w:p w14:paraId="558CB90B" w14:textId="77777777" w:rsidR="006547C1" w:rsidRPr="00FE51B7" w:rsidRDefault="006547C1" w:rsidP="00A16A1D">
            <w:pPr>
              <w:spacing w:after="0" w:line="240" w:lineRule="auto"/>
              <w:ind w:left="57" w:right="57"/>
              <w:jc w:val="center"/>
              <w:rPr>
                <w:b/>
                <w:sz w:val="20"/>
                <w:szCs w:val="20"/>
                <w:lang w:eastAsia="pl-PL"/>
              </w:rPr>
            </w:pPr>
            <w:r w:rsidRPr="00FE51B7">
              <w:rPr>
                <w:b/>
                <w:sz w:val="20"/>
                <w:szCs w:val="20"/>
                <w:lang w:eastAsia="pl-PL"/>
              </w:rPr>
              <w:t>i jego wyrobów</w:t>
            </w:r>
          </w:p>
        </w:tc>
        <w:tc>
          <w:tcPr>
            <w:tcW w:w="2973" w:type="pct"/>
            <w:tcBorders>
              <w:top w:val="single" w:sz="4" w:space="0" w:color="auto"/>
              <w:left w:val="single" w:sz="4" w:space="0" w:color="auto"/>
              <w:bottom w:val="single" w:sz="4" w:space="0" w:color="auto"/>
              <w:right w:val="single" w:sz="4" w:space="0" w:color="auto"/>
            </w:tcBorders>
            <w:vAlign w:val="center"/>
          </w:tcPr>
          <w:p w14:paraId="12A3CFD0" w14:textId="77777777" w:rsidR="006547C1" w:rsidRPr="00FE51B7" w:rsidRDefault="006547C1" w:rsidP="00A16A1D">
            <w:pPr>
              <w:spacing w:after="0" w:line="240" w:lineRule="auto"/>
              <w:ind w:left="57" w:right="57"/>
              <w:rPr>
                <w:b/>
                <w:sz w:val="20"/>
                <w:szCs w:val="20"/>
                <w:lang w:eastAsia="pl-PL"/>
              </w:rPr>
            </w:pPr>
            <w:r w:rsidRPr="00FE51B7">
              <w:rPr>
                <w:b/>
                <w:sz w:val="20"/>
                <w:szCs w:val="20"/>
                <w:lang w:eastAsia="pl-PL"/>
              </w:rPr>
              <w:t>Indykpol S.A.</w:t>
            </w:r>
          </w:p>
          <w:p w14:paraId="316818DC" w14:textId="77777777" w:rsidR="006547C1" w:rsidRPr="00FE51B7" w:rsidRDefault="006547C1" w:rsidP="00A16A1D">
            <w:pPr>
              <w:spacing w:after="0" w:line="240" w:lineRule="auto"/>
              <w:ind w:left="57" w:right="57"/>
              <w:rPr>
                <w:b/>
                <w:sz w:val="20"/>
                <w:szCs w:val="20"/>
                <w:lang w:eastAsia="pl-PL"/>
              </w:rPr>
            </w:pPr>
            <w:r w:rsidRPr="00FE51B7">
              <w:rPr>
                <w:sz w:val="20"/>
                <w:szCs w:val="20"/>
                <w:lang w:eastAsia="pl-PL"/>
              </w:rPr>
              <w:t>Jest liderem Grupy Kapitałowej Indykpol. W Olsztynie mieści się siedziba oraz zakład produkcyjny. Firma jest największym w Polsce producentem mięsa i przetworów indyczych (20% udziału w rynku, dostępność produktów w ponad 10 tys. sklepów). Na eksport trafia 30% produkcji. Od 2011 roku jest właścicielem Wytwórni Pasz w Olsztynku.</w:t>
            </w:r>
          </w:p>
        </w:tc>
        <w:tc>
          <w:tcPr>
            <w:tcW w:w="736" w:type="pct"/>
            <w:tcBorders>
              <w:top w:val="single" w:sz="4" w:space="0" w:color="auto"/>
              <w:left w:val="single" w:sz="4" w:space="0" w:color="auto"/>
              <w:bottom w:val="single" w:sz="4" w:space="0" w:color="auto"/>
              <w:right w:val="single" w:sz="4" w:space="0" w:color="auto"/>
            </w:tcBorders>
            <w:vAlign w:val="center"/>
          </w:tcPr>
          <w:p w14:paraId="018E6F8A"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Olsztyn</w:t>
            </w:r>
          </w:p>
        </w:tc>
        <w:tc>
          <w:tcPr>
            <w:tcW w:w="661" w:type="pct"/>
            <w:tcBorders>
              <w:top w:val="single" w:sz="4" w:space="0" w:color="auto"/>
              <w:left w:val="single" w:sz="4" w:space="0" w:color="auto"/>
              <w:bottom w:val="single" w:sz="4" w:space="0" w:color="auto"/>
              <w:right w:val="single" w:sz="4" w:space="0" w:color="auto"/>
            </w:tcBorders>
            <w:vAlign w:val="center"/>
          </w:tcPr>
          <w:p w14:paraId="5059BCC6"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Olsztyn</w:t>
            </w:r>
          </w:p>
        </w:tc>
      </w:tr>
    </w:tbl>
    <w:p w14:paraId="66F9A8E7" w14:textId="2DBE729B" w:rsidR="006547C1" w:rsidRPr="00FE51B7" w:rsidRDefault="00E501E4" w:rsidP="00FE51B7">
      <w:pPr>
        <w:keepNext/>
        <w:spacing w:after="120"/>
        <w:jc w:val="center"/>
        <w:rPr>
          <w:i/>
          <w:sz w:val="20"/>
          <w:szCs w:val="20"/>
        </w:rPr>
      </w:pPr>
      <w:r>
        <w:rPr>
          <w:i/>
          <w:sz w:val="20"/>
          <w:szCs w:val="20"/>
        </w:rPr>
        <w:t>ź</w:t>
      </w:r>
      <w:r w:rsidR="006547C1" w:rsidRPr="00FE51B7">
        <w:rPr>
          <w:i/>
          <w:sz w:val="20"/>
          <w:szCs w:val="20"/>
        </w:rPr>
        <w:t xml:space="preserve">ródło: </w:t>
      </w:r>
      <w:r w:rsidR="00FE51B7">
        <w:rPr>
          <w:i/>
          <w:sz w:val="20"/>
          <w:szCs w:val="20"/>
        </w:rPr>
        <w:t>o</w:t>
      </w:r>
      <w:r w:rsidR="006547C1" w:rsidRPr="00FE51B7">
        <w:rPr>
          <w:i/>
          <w:sz w:val="20"/>
          <w:szCs w:val="20"/>
        </w:rPr>
        <w:t>pracowanie własne na podstawie stron internetowych wymienianych firm</w:t>
      </w:r>
    </w:p>
    <w:p w14:paraId="0996DAA9" w14:textId="77777777" w:rsidR="00E501E4" w:rsidRDefault="00E501E4" w:rsidP="006547C1"/>
    <w:p w14:paraId="12D194F7" w14:textId="169333C7" w:rsidR="006547C1" w:rsidRPr="00E501E4" w:rsidRDefault="00E501E4" w:rsidP="00E501E4">
      <w:pPr>
        <w:pStyle w:val="Legenda"/>
        <w:rPr>
          <w:sz w:val="22"/>
          <w:szCs w:val="22"/>
        </w:rPr>
      </w:pPr>
      <w:bookmarkStart w:id="202" w:name="_Toc73534988"/>
      <w:r w:rsidRPr="00E501E4">
        <w:rPr>
          <w:sz w:val="22"/>
          <w:szCs w:val="22"/>
        </w:rPr>
        <w:t xml:space="preserve">Tabela </w:t>
      </w:r>
      <w:r w:rsidRPr="00E501E4">
        <w:rPr>
          <w:sz w:val="22"/>
          <w:szCs w:val="22"/>
        </w:rPr>
        <w:fldChar w:fldCharType="begin"/>
      </w:r>
      <w:r w:rsidRPr="00E501E4">
        <w:rPr>
          <w:sz w:val="22"/>
          <w:szCs w:val="22"/>
        </w:rPr>
        <w:instrText xml:space="preserve"> SEQ Tabela \* ARABIC </w:instrText>
      </w:r>
      <w:r w:rsidRPr="00E501E4">
        <w:rPr>
          <w:sz w:val="22"/>
          <w:szCs w:val="22"/>
        </w:rPr>
        <w:fldChar w:fldCharType="separate"/>
      </w:r>
      <w:r w:rsidR="00AD58C3">
        <w:rPr>
          <w:noProof/>
          <w:sz w:val="22"/>
          <w:szCs w:val="22"/>
        </w:rPr>
        <w:t>25</w:t>
      </w:r>
      <w:r w:rsidRPr="00E501E4">
        <w:rPr>
          <w:sz w:val="22"/>
          <w:szCs w:val="22"/>
        </w:rPr>
        <w:fldChar w:fldCharType="end"/>
      </w:r>
      <w:r w:rsidRPr="00E501E4">
        <w:rPr>
          <w:sz w:val="22"/>
          <w:szCs w:val="22"/>
        </w:rPr>
        <w:t xml:space="preserve">. Przykłady firm z Olsztyna i MOF Olsztyna prowadzące działalność w branżach powiązanych z regionalnymi inteligentnymi specjalizacjami - </w:t>
      </w:r>
      <w:r w:rsidRPr="00E501E4">
        <w:rPr>
          <w:sz w:val="22"/>
          <w:szCs w:val="22"/>
          <w:lang w:eastAsia="pl-PL"/>
        </w:rPr>
        <w:t>drewno i meblarstwo</w:t>
      </w:r>
      <w:bookmarkEnd w:id="202"/>
    </w:p>
    <w:tbl>
      <w:tblPr>
        <w:tblW w:w="52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84"/>
        <w:gridCol w:w="5647"/>
        <w:gridCol w:w="1255"/>
        <w:gridCol w:w="1396"/>
      </w:tblGrid>
      <w:tr w:rsidR="006547C1" w:rsidRPr="00ED4EDD" w14:paraId="78E0AF8E" w14:textId="77777777" w:rsidTr="007339EC">
        <w:trPr>
          <w:trHeight w:val="396"/>
        </w:trPr>
        <w:tc>
          <w:tcPr>
            <w:tcW w:w="624" w:type="pct"/>
            <w:tcBorders>
              <w:top w:val="single" w:sz="4" w:space="0" w:color="auto"/>
              <w:left w:val="single" w:sz="4" w:space="0" w:color="auto"/>
              <w:bottom w:val="single" w:sz="4" w:space="0" w:color="auto"/>
              <w:right w:val="single" w:sz="4" w:space="0" w:color="auto"/>
            </w:tcBorders>
            <w:shd w:val="clear" w:color="auto" w:fill="C4BC96"/>
            <w:vAlign w:val="center"/>
          </w:tcPr>
          <w:p w14:paraId="6A56F3C5" w14:textId="77777777" w:rsidR="006547C1" w:rsidRPr="00FE51B7" w:rsidRDefault="006547C1" w:rsidP="00A16A1D">
            <w:pPr>
              <w:spacing w:after="0" w:line="240" w:lineRule="auto"/>
              <w:ind w:left="57" w:right="57"/>
              <w:jc w:val="center"/>
              <w:rPr>
                <w:b/>
                <w:sz w:val="20"/>
                <w:szCs w:val="20"/>
                <w:lang w:eastAsia="pl-PL"/>
              </w:rPr>
            </w:pPr>
            <w:r w:rsidRPr="00FE51B7">
              <w:rPr>
                <w:b/>
                <w:sz w:val="20"/>
                <w:szCs w:val="20"/>
                <w:lang w:eastAsia="pl-PL"/>
              </w:rPr>
              <w:t>Branża</w:t>
            </w:r>
          </w:p>
        </w:tc>
        <w:tc>
          <w:tcPr>
            <w:tcW w:w="2978" w:type="pct"/>
            <w:tcBorders>
              <w:top w:val="single" w:sz="4" w:space="0" w:color="auto"/>
              <w:left w:val="single" w:sz="4" w:space="0" w:color="auto"/>
              <w:bottom w:val="single" w:sz="4" w:space="0" w:color="auto"/>
              <w:right w:val="single" w:sz="4" w:space="0" w:color="auto"/>
            </w:tcBorders>
            <w:shd w:val="clear" w:color="auto" w:fill="C4BC96"/>
            <w:vAlign w:val="center"/>
          </w:tcPr>
          <w:p w14:paraId="24D2BF82" w14:textId="77777777" w:rsidR="006547C1" w:rsidRPr="00FE51B7" w:rsidRDefault="006547C1" w:rsidP="00A16A1D">
            <w:pPr>
              <w:spacing w:after="0" w:line="240" w:lineRule="auto"/>
              <w:ind w:left="57" w:right="57"/>
              <w:jc w:val="center"/>
              <w:rPr>
                <w:b/>
                <w:sz w:val="20"/>
                <w:szCs w:val="20"/>
                <w:lang w:eastAsia="pl-PL"/>
              </w:rPr>
            </w:pPr>
            <w:r w:rsidRPr="00FE51B7">
              <w:rPr>
                <w:b/>
                <w:sz w:val="20"/>
                <w:szCs w:val="20"/>
                <w:lang w:eastAsia="pl-PL"/>
              </w:rPr>
              <w:t>Przykłady firm</w:t>
            </w:r>
          </w:p>
        </w:tc>
        <w:tc>
          <w:tcPr>
            <w:tcW w:w="662" w:type="pct"/>
            <w:tcBorders>
              <w:top w:val="single" w:sz="4" w:space="0" w:color="auto"/>
              <w:left w:val="single" w:sz="4" w:space="0" w:color="auto"/>
              <w:bottom w:val="single" w:sz="4" w:space="0" w:color="auto"/>
              <w:right w:val="single" w:sz="4" w:space="0" w:color="auto"/>
            </w:tcBorders>
            <w:shd w:val="clear" w:color="auto" w:fill="C4BC96"/>
            <w:vAlign w:val="center"/>
          </w:tcPr>
          <w:p w14:paraId="4409AA21" w14:textId="77777777" w:rsidR="006547C1" w:rsidRPr="00FE51B7" w:rsidRDefault="006547C1" w:rsidP="00A16A1D">
            <w:pPr>
              <w:spacing w:after="0" w:line="240" w:lineRule="auto"/>
              <w:ind w:left="57" w:right="57"/>
              <w:jc w:val="center"/>
              <w:rPr>
                <w:b/>
                <w:sz w:val="20"/>
                <w:szCs w:val="20"/>
                <w:lang w:eastAsia="pl-PL"/>
              </w:rPr>
            </w:pPr>
            <w:r w:rsidRPr="00FE51B7">
              <w:rPr>
                <w:b/>
                <w:sz w:val="20"/>
                <w:szCs w:val="20"/>
                <w:lang w:eastAsia="pl-PL"/>
              </w:rPr>
              <w:t>Lokalizacja</w:t>
            </w:r>
          </w:p>
        </w:tc>
        <w:tc>
          <w:tcPr>
            <w:tcW w:w="736" w:type="pct"/>
            <w:tcBorders>
              <w:top w:val="single" w:sz="4" w:space="0" w:color="auto"/>
              <w:left w:val="single" w:sz="4" w:space="0" w:color="auto"/>
              <w:bottom w:val="single" w:sz="4" w:space="0" w:color="auto"/>
              <w:right w:val="single" w:sz="4" w:space="0" w:color="auto"/>
            </w:tcBorders>
            <w:shd w:val="clear" w:color="auto" w:fill="C4BC96"/>
            <w:vAlign w:val="center"/>
          </w:tcPr>
          <w:p w14:paraId="41D08DE7" w14:textId="77777777" w:rsidR="006547C1" w:rsidRPr="00FE51B7" w:rsidRDefault="006547C1" w:rsidP="00A16A1D">
            <w:pPr>
              <w:spacing w:after="0" w:line="240" w:lineRule="auto"/>
              <w:ind w:left="57" w:right="57"/>
              <w:jc w:val="center"/>
              <w:rPr>
                <w:b/>
                <w:sz w:val="20"/>
                <w:szCs w:val="20"/>
                <w:lang w:eastAsia="pl-PL"/>
              </w:rPr>
            </w:pPr>
            <w:r w:rsidRPr="00FE51B7">
              <w:rPr>
                <w:b/>
                <w:sz w:val="20"/>
                <w:szCs w:val="20"/>
                <w:lang w:eastAsia="pl-PL"/>
              </w:rPr>
              <w:t>Gmina</w:t>
            </w:r>
          </w:p>
        </w:tc>
      </w:tr>
      <w:tr w:rsidR="006547C1" w:rsidRPr="00ED4EDD" w14:paraId="52219775" w14:textId="77777777" w:rsidTr="007339EC">
        <w:trPr>
          <w:trHeight w:val="1004"/>
        </w:trPr>
        <w:tc>
          <w:tcPr>
            <w:tcW w:w="624" w:type="pct"/>
            <w:vMerge w:val="restart"/>
            <w:tcBorders>
              <w:top w:val="single" w:sz="4" w:space="0" w:color="auto"/>
              <w:left w:val="single" w:sz="4" w:space="0" w:color="auto"/>
              <w:right w:val="single" w:sz="4" w:space="0" w:color="auto"/>
            </w:tcBorders>
            <w:vAlign w:val="center"/>
          </w:tcPr>
          <w:p w14:paraId="5EBBD637" w14:textId="77777777" w:rsidR="006547C1" w:rsidRPr="00FE51B7" w:rsidRDefault="006547C1" w:rsidP="00A16A1D">
            <w:pPr>
              <w:spacing w:after="0" w:line="240" w:lineRule="auto"/>
              <w:ind w:left="57" w:right="57"/>
              <w:jc w:val="center"/>
              <w:rPr>
                <w:rStyle w:val="Pogrubienie"/>
                <w:bCs/>
                <w:sz w:val="20"/>
                <w:szCs w:val="20"/>
              </w:rPr>
            </w:pPr>
            <w:r w:rsidRPr="00FE51B7">
              <w:rPr>
                <w:rStyle w:val="Pogrubienie"/>
                <w:bCs/>
                <w:sz w:val="20"/>
                <w:szCs w:val="20"/>
                <w:lang w:eastAsia="pl-PL"/>
              </w:rPr>
              <w:t>Produkcja mebli</w:t>
            </w:r>
          </w:p>
        </w:tc>
        <w:tc>
          <w:tcPr>
            <w:tcW w:w="2978" w:type="pct"/>
            <w:tcBorders>
              <w:top w:val="single" w:sz="4" w:space="0" w:color="auto"/>
              <w:left w:val="single" w:sz="4" w:space="0" w:color="auto"/>
              <w:bottom w:val="single" w:sz="4" w:space="0" w:color="auto"/>
              <w:right w:val="single" w:sz="4" w:space="0" w:color="auto"/>
            </w:tcBorders>
            <w:vAlign w:val="center"/>
          </w:tcPr>
          <w:p w14:paraId="6715F117" w14:textId="77777777" w:rsidR="006547C1" w:rsidRPr="00FE51B7" w:rsidRDefault="006547C1" w:rsidP="00A16A1D">
            <w:pPr>
              <w:spacing w:after="0" w:line="240" w:lineRule="auto"/>
              <w:ind w:left="57" w:right="57"/>
              <w:rPr>
                <w:rStyle w:val="Pogrubienie"/>
                <w:bCs/>
                <w:sz w:val="20"/>
                <w:szCs w:val="20"/>
                <w:lang w:eastAsia="pl-PL"/>
              </w:rPr>
            </w:pPr>
            <w:r w:rsidRPr="00FE51B7">
              <w:rPr>
                <w:rStyle w:val="Pogrubienie"/>
                <w:bCs/>
                <w:sz w:val="20"/>
                <w:szCs w:val="20"/>
                <w:lang w:eastAsia="pl-PL"/>
              </w:rPr>
              <w:t>EkoMEBEL</w:t>
            </w:r>
          </w:p>
          <w:p w14:paraId="4FCEFBE3" w14:textId="77777777" w:rsidR="006547C1" w:rsidRPr="00FE51B7" w:rsidRDefault="006547C1" w:rsidP="00A16A1D">
            <w:pPr>
              <w:spacing w:after="0" w:line="240" w:lineRule="auto"/>
              <w:ind w:left="57" w:right="57"/>
              <w:rPr>
                <w:b/>
                <w:sz w:val="20"/>
                <w:szCs w:val="20"/>
              </w:rPr>
            </w:pPr>
            <w:r w:rsidRPr="00FE51B7">
              <w:rPr>
                <w:rStyle w:val="Pogrubienie"/>
                <w:b w:val="0"/>
                <w:bCs/>
                <w:sz w:val="20"/>
                <w:szCs w:val="20"/>
                <w:lang w:eastAsia="pl-PL"/>
              </w:rPr>
              <w:t>Producent dębowych rustykalnych mebli ogrodowych. Na rynku od ponad 20 lat. Wyroby tej rodzinnej firmy sprzedawane są m.in. we Francji, Kanadzie, Rosji, Wielkiej Brytanii.</w:t>
            </w:r>
          </w:p>
        </w:tc>
        <w:tc>
          <w:tcPr>
            <w:tcW w:w="662" w:type="pct"/>
            <w:tcBorders>
              <w:top w:val="single" w:sz="4" w:space="0" w:color="auto"/>
              <w:left w:val="single" w:sz="4" w:space="0" w:color="auto"/>
              <w:bottom w:val="single" w:sz="4" w:space="0" w:color="auto"/>
              <w:right w:val="single" w:sz="4" w:space="0" w:color="auto"/>
            </w:tcBorders>
            <w:vAlign w:val="center"/>
          </w:tcPr>
          <w:p w14:paraId="52A208F5"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Klebark Mały</w:t>
            </w:r>
          </w:p>
        </w:tc>
        <w:tc>
          <w:tcPr>
            <w:tcW w:w="736" w:type="pct"/>
            <w:tcBorders>
              <w:top w:val="single" w:sz="4" w:space="0" w:color="auto"/>
              <w:left w:val="single" w:sz="4" w:space="0" w:color="auto"/>
              <w:bottom w:val="single" w:sz="4" w:space="0" w:color="auto"/>
              <w:right w:val="single" w:sz="4" w:space="0" w:color="auto"/>
            </w:tcBorders>
            <w:vAlign w:val="center"/>
          </w:tcPr>
          <w:p w14:paraId="2D3E8283"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Purda</w:t>
            </w:r>
          </w:p>
        </w:tc>
      </w:tr>
      <w:tr w:rsidR="006547C1" w:rsidRPr="00ED4EDD" w14:paraId="318D3269" w14:textId="77777777" w:rsidTr="007339EC">
        <w:trPr>
          <w:trHeight w:val="976"/>
        </w:trPr>
        <w:tc>
          <w:tcPr>
            <w:tcW w:w="0" w:type="auto"/>
            <w:vMerge/>
            <w:tcBorders>
              <w:left w:val="single" w:sz="4" w:space="0" w:color="auto"/>
              <w:right w:val="single" w:sz="4" w:space="0" w:color="auto"/>
            </w:tcBorders>
            <w:vAlign w:val="center"/>
          </w:tcPr>
          <w:p w14:paraId="6DBC425C" w14:textId="77777777" w:rsidR="006547C1" w:rsidRPr="00FE51B7" w:rsidRDefault="006547C1" w:rsidP="00A16A1D">
            <w:pPr>
              <w:spacing w:after="0" w:line="240" w:lineRule="auto"/>
              <w:ind w:left="57" w:right="57"/>
              <w:rPr>
                <w:rStyle w:val="Pogrubienie"/>
                <w:bCs/>
                <w:sz w:val="20"/>
                <w:szCs w:val="20"/>
              </w:rPr>
            </w:pPr>
          </w:p>
        </w:tc>
        <w:tc>
          <w:tcPr>
            <w:tcW w:w="2978" w:type="pct"/>
            <w:tcBorders>
              <w:top w:val="single" w:sz="4" w:space="0" w:color="auto"/>
              <w:left w:val="single" w:sz="4" w:space="0" w:color="auto"/>
              <w:bottom w:val="single" w:sz="4" w:space="0" w:color="auto"/>
              <w:right w:val="single" w:sz="4" w:space="0" w:color="auto"/>
            </w:tcBorders>
            <w:vAlign w:val="center"/>
          </w:tcPr>
          <w:p w14:paraId="6A4AC1F9" w14:textId="77777777" w:rsidR="006547C1" w:rsidRPr="00FE51B7" w:rsidRDefault="006547C1" w:rsidP="00A16A1D">
            <w:pPr>
              <w:spacing w:after="0" w:line="240" w:lineRule="auto"/>
              <w:ind w:left="57" w:right="57"/>
              <w:rPr>
                <w:b/>
                <w:sz w:val="20"/>
                <w:szCs w:val="20"/>
                <w:lang w:eastAsia="pl-PL"/>
              </w:rPr>
            </w:pPr>
            <w:r w:rsidRPr="00FE51B7">
              <w:rPr>
                <w:b/>
                <w:sz w:val="20"/>
                <w:szCs w:val="20"/>
                <w:lang w:eastAsia="pl-PL"/>
              </w:rPr>
              <w:t>Meble Szkolne Olsztyn spółka z o.o.</w:t>
            </w:r>
          </w:p>
          <w:p w14:paraId="510065B7" w14:textId="77777777" w:rsidR="006547C1" w:rsidRPr="00FE51B7" w:rsidRDefault="006547C1" w:rsidP="00A16A1D">
            <w:pPr>
              <w:spacing w:after="0" w:line="240" w:lineRule="auto"/>
              <w:ind w:left="57" w:right="57"/>
              <w:rPr>
                <w:sz w:val="20"/>
                <w:szCs w:val="20"/>
                <w:lang w:eastAsia="pl-PL"/>
              </w:rPr>
            </w:pPr>
            <w:r w:rsidRPr="00FE51B7">
              <w:rPr>
                <w:sz w:val="20"/>
                <w:szCs w:val="20"/>
                <w:lang w:eastAsia="pl-PL"/>
              </w:rPr>
              <w:t>Producent mebli szkolnych i przedszkolnych – m.in. systemów szafek, stołów, ławek, krzeseł, wieszaków, biurek, regałów. Firma działa od 60 lat, jej wyroby sprzedawane są w całym kraju.</w:t>
            </w:r>
          </w:p>
        </w:tc>
        <w:tc>
          <w:tcPr>
            <w:tcW w:w="662" w:type="pct"/>
            <w:tcBorders>
              <w:top w:val="single" w:sz="4" w:space="0" w:color="auto"/>
              <w:left w:val="single" w:sz="4" w:space="0" w:color="auto"/>
              <w:bottom w:val="single" w:sz="4" w:space="0" w:color="auto"/>
              <w:right w:val="single" w:sz="4" w:space="0" w:color="auto"/>
            </w:tcBorders>
            <w:vAlign w:val="center"/>
          </w:tcPr>
          <w:p w14:paraId="174B0BC7"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Giedajty</w:t>
            </w:r>
          </w:p>
        </w:tc>
        <w:tc>
          <w:tcPr>
            <w:tcW w:w="736" w:type="pct"/>
            <w:tcBorders>
              <w:top w:val="single" w:sz="4" w:space="0" w:color="auto"/>
              <w:left w:val="single" w:sz="4" w:space="0" w:color="auto"/>
              <w:bottom w:val="single" w:sz="4" w:space="0" w:color="auto"/>
              <w:right w:val="single" w:sz="4" w:space="0" w:color="auto"/>
            </w:tcBorders>
            <w:vAlign w:val="center"/>
          </w:tcPr>
          <w:p w14:paraId="350F9328"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Jonkowo</w:t>
            </w:r>
          </w:p>
        </w:tc>
      </w:tr>
      <w:tr w:rsidR="006547C1" w:rsidRPr="00ED4EDD" w14:paraId="39708DE1" w14:textId="77777777" w:rsidTr="007339EC">
        <w:trPr>
          <w:trHeight w:val="1544"/>
        </w:trPr>
        <w:tc>
          <w:tcPr>
            <w:tcW w:w="0" w:type="auto"/>
            <w:vMerge/>
            <w:tcBorders>
              <w:left w:val="single" w:sz="4" w:space="0" w:color="auto"/>
              <w:right w:val="single" w:sz="4" w:space="0" w:color="auto"/>
            </w:tcBorders>
            <w:vAlign w:val="center"/>
          </w:tcPr>
          <w:p w14:paraId="10D3A78F" w14:textId="77777777" w:rsidR="006547C1" w:rsidRPr="00FE51B7" w:rsidRDefault="006547C1" w:rsidP="00A16A1D">
            <w:pPr>
              <w:spacing w:after="0" w:line="240" w:lineRule="auto"/>
              <w:ind w:left="57" w:right="57"/>
              <w:rPr>
                <w:rStyle w:val="Pogrubienie"/>
                <w:bCs/>
                <w:sz w:val="20"/>
                <w:szCs w:val="20"/>
              </w:rPr>
            </w:pPr>
          </w:p>
        </w:tc>
        <w:tc>
          <w:tcPr>
            <w:tcW w:w="2978" w:type="pct"/>
            <w:tcBorders>
              <w:top w:val="single" w:sz="4" w:space="0" w:color="auto"/>
              <w:left w:val="single" w:sz="4" w:space="0" w:color="auto"/>
              <w:bottom w:val="single" w:sz="4" w:space="0" w:color="auto"/>
              <w:right w:val="single" w:sz="4" w:space="0" w:color="auto"/>
            </w:tcBorders>
            <w:vAlign w:val="center"/>
          </w:tcPr>
          <w:p w14:paraId="22CFE262" w14:textId="77777777" w:rsidR="006547C1" w:rsidRPr="00FE51B7" w:rsidRDefault="006547C1" w:rsidP="00A16A1D">
            <w:pPr>
              <w:spacing w:after="0" w:line="240" w:lineRule="auto"/>
              <w:ind w:left="57" w:right="57"/>
              <w:rPr>
                <w:rStyle w:val="Pogrubienie"/>
                <w:bCs/>
                <w:sz w:val="20"/>
                <w:szCs w:val="20"/>
                <w:lang w:val="en-US" w:eastAsia="pl-PL"/>
              </w:rPr>
            </w:pPr>
            <w:r w:rsidRPr="00FE51B7">
              <w:rPr>
                <w:rStyle w:val="Pogrubienie"/>
                <w:bCs/>
                <w:sz w:val="20"/>
                <w:szCs w:val="20"/>
                <w:lang w:val="en-US" w:eastAsia="pl-PL"/>
              </w:rPr>
              <w:t>Primavera Furniture Sp. z o.o.</w:t>
            </w:r>
          </w:p>
          <w:p w14:paraId="1C2C7D61" w14:textId="77777777" w:rsidR="006547C1" w:rsidRPr="00FE51B7" w:rsidRDefault="006547C1" w:rsidP="00A16A1D">
            <w:pPr>
              <w:spacing w:after="0" w:line="240" w:lineRule="auto"/>
              <w:ind w:left="57" w:right="57"/>
              <w:rPr>
                <w:sz w:val="20"/>
                <w:szCs w:val="20"/>
              </w:rPr>
            </w:pPr>
            <w:r w:rsidRPr="00FE51B7">
              <w:rPr>
                <w:sz w:val="20"/>
                <w:szCs w:val="20"/>
                <w:lang w:eastAsia="pl-PL"/>
              </w:rPr>
              <w:t>Firma specjalizująca się w produkcji ekskluzywnych mebli tapicerowanych (sof, kanap, foteli i krzeseł). Działa zaledwie od kilku lat, jednak z sukcesem podbija zagraniczne rynki, w tym Belgię czy Holandię, ale też Skandynawię, Stany Zjednoczone i Kanadę.</w:t>
            </w:r>
          </w:p>
        </w:tc>
        <w:tc>
          <w:tcPr>
            <w:tcW w:w="662" w:type="pct"/>
            <w:tcBorders>
              <w:top w:val="single" w:sz="4" w:space="0" w:color="auto"/>
              <w:left w:val="single" w:sz="4" w:space="0" w:color="auto"/>
              <w:bottom w:val="single" w:sz="4" w:space="0" w:color="auto"/>
              <w:right w:val="single" w:sz="4" w:space="0" w:color="auto"/>
            </w:tcBorders>
            <w:vAlign w:val="center"/>
          </w:tcPr>
          <w:p w14:paraId="71D2B96B"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Dąbrówka Mała</w:t>
            </w:r>
          </w:p>
        </w:tc>
        <w:tc>
          <w:tcPr>
            <w:tcW w:w="736" w:type="pct"/>
            <w:tcBorders>
              <w:top w:val="single" w:sz="4" w:space="0" w:color="auto"/>
              <w:left w:val="single" w:sz="4" w:space="0" w:color="auto"/>
              <w:bottom w:val="single" w:sz="4" w:space="0" w:color="auto"/>
              <w:right w:val="single" w:sz="4" w:space="0" w:color="auto"/>
            </w:tcBorders>
            <w:vAlign w:val="center"/>
          </w:tcPr>
          <w:p w14:paraId="3C202D24"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Barczewo</w:t>
            </w:r>
          </w:p>
        </w:tc>
      </w:tr>
      <w:tr w:rsidR="006547C1" w:rsidRPr="00ED4EDD" w14:paraId="077E195F" w14:textId="77777777" w:rsidTr="007339EC">
        <w:trPr>
          <w:trHeight w:val="1269"/>
        </w:trPr>
        <w:tc>
          <w:tcPr>
            <w:tcW w:w="0" w:type="auto"/>
            <w:vMerge/>
            <w:tcBorders>
              <w:left w:val="single" w:sz="4" w:space="0" w:color="auto"/>
              <w:bottom w:val="single" w:sz="4" w:space="0" w:color="auto"/>
              <w:right w:val="single" w:sz="4" w:space="0" w:color="auto"/>
            </w:tcBorders>
            <w:vAlign w:val="center"/>
          </w:tcPr>
          <w:p w14:paraId="2DFFB560" w14:textId="77777777" w:rsidR="006547C1" w:rsidRPr="00FE51B7" w:rsidRDefault="006547C1" w:rsidP="00A16A1D">
            <w:pPr>
              <w:spacing w:after="0" w:line="240" w:lineRule="auto"/>
              <w:ind w:left="57" w:right="57"/>
              <w:rPr>
                <w:rStyle w:val="Pogrubienie"/>
                <w:bCs/>
                <w:sz w:val="20"/>
                <w:szCs w:val="20"/>
              </w:rPr>
            </w:pPr>
          </w:p>
        </w:tc>
        <w:tc>
          <w:tcPr>
            <w:tcW w:w="2978" w:type="pct"/>
            <w:tcBorders>
              <w:top w:val="single" w:sz="4" w:space="0" w:color="auto"/>
              <w:left w:val="single" w:sz="4" w:space="0" w:color="auto"/>
              <w:bottom w:val="single" w:sz="4" w:space="0" w:color="auto"/>
              <w:right w:val="single" w:sz="4" w:space="0" w:color="auto"/>
            </w:tcBorders>
            <w:vAlign w:val="center"/>
          </w:tcPr>
          <w:p w14:paraId="45DDE609" w14:textId="77777777" w:rsidR="006547C1" w:rsidRPr="00FE51B7" w:rsidRDefault="006547C1" w:rsidP="00A16A1D">
            <w:pPr>
              <w:autoSpaceDE w:val="0"/>
              <w:autoSpaceDN w:val="0"/>
              <w:adjustRightInd w:val="0"/>
              <w:spacing w:after="0" w:line="240" w:lineRule="auto"/>
              <w:ind w:left="57" w:right="57"/>
              <w:rPr>
                <w:sz w:val="20"/>
                <w:szCs w:val="20"/>
                <w:lang w:eastAsia="pl-PL"/>
              </w:rPr>
            </w:pPr>
            <w:r w:rsidRPr="00FE51B7">
              <w:rPr>
                <w:b/>
                <w:sz w:val="20"/>
                <w:szCs w:val="20"/>
                <w:lang w:eastAsia="pl-PL"/>
              </w:rPr>
              <w:t>FM Bravo Sp. z o.o.</w:t>
            </w:r>
          </w:p>
          <w:p w14:paraId="6CCED004" w14:textId="2DC9E622" w:rsidR="006547C1" w:rsidRPr="00FE51B7" w:rsidRDefault="006547C1" w:rsidP="0022618D">
            <w:pPr>
              <w:autoSpaceDE w:val="0"/>
              <w:autoSpaceDN w:val="0"/>
              <w:adjustRightInd w:val="0"/>
              <w:spacing w:after="0" w:line="240" w:lineRule="auto"/>
              <w:ind w:left="57" w:right="57"/>
              <w:rPr>
                <w:sz w:val="20"/>
                <w:szCs w:val="20"/>
                <w:lang w:eastAsia="pl-PL"/>
              </w:rPr>
            </w:pPr>
            <w:r w:rsidRPr="00FE51B7">
              <w:rPr>
                <w:sz w:val="20"/>
                <w:szCs w:val="20"/>
                <w:lang w:eastAsia="pl-PL"/>
              </w:rPr>
              <w:t>Siedziba przedsiębiorstwa zna</w:t>
            </w:r>
            <w:r w:rsidR="0022618D">
              <w:rPr>
                <w:sz w:val="20"/>
                <w:szCs w:val="20"/>
                <w:lang w:eastAsia="pl-PL"/>
              </w:rPr>
              <w:t xml:space="preserve">jduje się w Olsztynie, posiada </w:t>
            </w:r>
            <w:r w:rsidRPr="00FE51B7">
              <w:rPr>
                <w:sz w:val="20"/>
                <w:szCs w:val="20"/>
                <w:lang w:eastAsia="pl-PL"/>
              </w:rPr>
              <w:t>dwa zakłady produkcyjne (w Bartoszycach i Szczytnie). Zatrudnienie wynosi ok. 500 osób. Działa 10 lat, jest uznanym producentem nowoczesnych mebli skrzyniowych.</w:t>
            </w:r>
          </w:p>
        </w:tc>
        <w:tc>
          <w:tcPr>
            <w:tcW w:w="662" w:type="pct"/>
            <w:tcBorders>
              <w:top w:val="single" w:sz="4" w:space="0" w:color="auto"/>
              <w:left w:val="single" w:sz="4" w:space="0" w:color="auto"/>
              <w:bottom w:val="single" w:sz="4" w:space="0" w:color="auto"/>
              <w:right w:val="single" w:sz="4" w:space="0" w:color="auto"/>
            </w:tcBorders>
            <w:vAlign w:val="center"/>
          </w:tcPr>
          <w:p w14:paraId="550F271B"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Olsztyn</w:t>
            </w:r>
          </w:p>
        </w:tc>
        <w:tc>
          <w:tcPr>
            <w:tcW w:w="736" w:type="pct"/>
            <w:tcBorders>
              <w:top w:val="single" w:sz="4" w:space="0" w:color="auto"/>
              <w:left w:val="single" w:sz="4" w:space="0" w:color="auto"/>
              <w:bottom w:val="single" w:sz="4" w:space="0" w:color="auto"/>
              <w:right w:val="single" w:sz="4" w:space="0" w:color="auto"/>
            </w:tcBorders>
            <w:vAlign w:val="center"/>
          </w:tcPr>
          <w:p w14:paraId="415C282D"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Olsztyn</w:t>
            </w:r>
          </w:p>
        </w:tc>
      </w:tr>
      <w:tr w:rsidR="006547C1" w:rsidRPr="00ED4EDD" w14:paraId="19DADEE1" w14:textId="77777777" w:rsidTr="007339EC">
        <w:trPr>
          <w:trHeight w:val="1556"/>
        </w:trPr>
        <w:tc>
          <w:tcPr>
            <w:tcW w:w="624" w:type="pct"/>
            <w:tcBorders>
              <w:top w:val="single" w:sz="4" w:space="0" w:color="auto"/>
              <w:left w:val="single" w:sz="4" w:space="0" w:color="auto"/>
              <w:bottom w:val="single" w:sz="4" w:space="0" w:color="auto"/>
              <w:right w:val="single" w:sz="4" w:space="0" w:color="auto"/>
            </w:tcBorders>
            <w:vAlign w:val="center"/>
          </w:tcPr>
          <w:p w14:paraId="7FFA2CD4" w14:textId="4D794CBD" w:rsidR="006547C1" w:rsidRPr="007339EC" w:rsidRDefault="006547C1" w:rsidP="007339EC">
            <w:pPr>
              <w:spacing w:after="0" w:line="240" w:lineRule="auto"/>
              <w:ind w:left="57" w:right="57"/>
              <w:jc w:val="center"/>
              <w:rPr>
                <w:b/>
                <w:sz w:val="20"/>
                <w:szCs w:val="20"/>
                <w:lang w:eastAsia="pl-PL"/>
              </w:rPr>
            </w:pPr>
            <w:r w:rsidRPr="00FE51B7">
              <w:rPr>
                <w:b/>
                <w:sz w:val="20"/>
                <w:szCs w:val="20"/>
                <w:lang w:eastAsia="pl-PL"/>
              </w:rPr>
              <w:t>Produkcja drzwi</w:t>
            </w:r>
          </w:p>
        </w:tc>
        <w:tc>
          <w:tcPr>
            <w:tcW w:w="2978" w:type="pct"/>
            <w:tcBorders>
              <w:top w:val="single" w:sz="4" w:space="0" w:color="auto"/>
              <w:left w:val="single" w:sz="4" w:space="0" w:color="auto"/>
              <w:bottom w:val="single" w:sz="4" w:space="0" w:color="auto"/>
              <w:right w:val="single" w:sz="4" w:space="0" w:color="auto"/>
            </w:tcBorders>
            <w:vAlign w:val="center"/>
          </w:tcPr>
          <w:p w14:paraId="16679E84" w14:textId="77777777" w:rsidR="006547C1" w:rsidRPr="00FE51B7" w:rsidRDefault="006547C1" w:rsidP="00A16A1D">
            <w:pPr>
              <w:spacing w:after="0" w:line="240" w:lineRule="auto"/>
              <w:ind w:left="57" w:right="57"/>
              <w:rPr>
                <w:b/>
                <w:sz w:val="20"/>
                <w:szCs w:val="20"/>
                <w:lang w:eastAsia="pl-PL"/>
              </w:rPr>
            </w:pPr>
            <w:r w:rsidRPr="00FE51B7">
              <w:rPr>
                <w:b/>
                <w:sz w:val="20"/>
                <w:szCs w:val="20"/>
                <w:lang w:eastAsia="pl-PL"/>
              </w:rPr>
              <w:t>„Westo” Zakład Produkcji Drzewnej</w:t>
            </w:r>
          </w:p>
          <w:p w14:paraId="2038DA17" w14:textId="77777777" w:rsidR="006547C1" w:rsidRPr="00FE51B7" w:rsidRDefault="006547C1" w:rsidP="00A16A1D">
            <w:pPr>
              <w:spacing w:after="0" w:line="240" w:lineRule="auto"/>
              <w:ind w:left="57" w:right="57"/>
              <w:rPr>
                <w:sz w:val="20"/>
                <w:szCs w:val="20"/>
                <w:lang w:eastAsia="pl-PL"/>
              </w:rPr>
            </w:pPr>
            <w:r w:rsidRPr="00FE51B7">
              <w:rPr>
                <w:sz w:val="20"/>
                <w:szCs w:val="20"/>
                <w:lang w:eastAsia="pl-PL"/>
              </w:rPr>
              <w:t>Przedsiębiorstwo z 20-letnim doświadczeniem zajmujące się produkcją drewnianych drzwi wewnętrznych i zewnętrznych, w tym również na indywidualne zamówienie. W firmie zatrudnionych jest 40 wykwalifikowanych pracowników. Należy do klastra Mazurskie Okna.</w:t>
            </w:r>
          </w:p>
        </w:tc>
        <w:tc>
          <w:tcPr>
            <w:tcW w:w="662" w:type="pct"/>
            <w:tcBorders>
              <w:top w:val="single" w:sz="4" w:space="0" w:color="auto"/>
              <w:left w:val="single" w:sz="4" w:space="0" w:color="auto"/>
              <w:bottom w:val="single" w:sz="4" w:space="0" w:color="auto"/>
              <w:right w:val="single" w:sz="4" w:space="0" w:color="auto"/>
            </w:tcBorders>
            <w:vAlign w:val="center"/>
          </w:tcPr>
          <w:p w14:paraId="7F864F30" w14:textId="78057424" w:rsidR="006547C1" w:rsidRPr="007339EC" w:rsidRDefault="006547C1" w:rsidP="007339EC">
            <w:pPr>
              <w:spacing w:after="0" w:line="240" w:lineRule="auto"/>
              <w:ind w:left="57" w:right="57"/>
              <w:jc w:val="center"/>
              <w:rPr>
                <w:sz w:val="20"/>
                <w:szCs w:val="20"/>
                <w:lang w:eastAsia="pl-PL"/>
              </w:rPr>
            </w:pPr>
            <w:r w:rsidRPr="00FE51B7">
              <w:rPr>
                <w:sz w:val="20"/>
                <w:szCs w:val="20"/>
                <w:lang w:eastAsia="pl-PL"/>
              </w:rPr>
              <w:t>Naterki</w:t>
            </w:r>
          </w:p>
        </w:tc>
        <w:tc>
          <w:tcPr>
            <w:tcW w:w="736" w:type="pct"/>
            <w:tcBorders>
              <w:top w:val="single" w:sz="4" w:space="0" w:color="auto"/>
              <w:left w:val="single" w:sz="4" w:space="0" w:color="auto"/>
              <w:bottom w:val="single" w:sz="4" w:space="0" w:color="auto"/>
              <w:right w:val="single" w:sz="4" w:space="0" w:color="auto"/>
            </w:tcBorders>
            <w:vAlign w:val="center"/>
          </w:tcPr>
          <w:p w14:paraId="74ABF0C5" w14:textId="04FDA262" w:rsidR="006547C1" w:rsidRPr="007339EC" w:rsidRDefault="006547C1" w:rsidP="007339EC">
            <w:pPr>
              <w:spacing w:after="0" w:line="240" w:lineRule="auto"/>
              <w:ind w:left="57" w:right="57"/>
              <w:jc w:val="center"/>
              <w:rPr>
                <w:sz w:val="20"/>
                <w:szCs w:val="20"/>
                <w:lang w:eastAsia="pl-PL"/>
              </w:rPr>
            </w:pPr>
            <w:r w:rsidRPr="00FE51B7">
              <w:rPr>
                <w:sz w:val="20"/>
                <w:szCs w:val="20"/>
                <w:lang w:eastAsia="pl-PL"/>
              </w:rPr>
              <w:t>Gietrzwałd</w:t>
            </w:r>
          </w:p>
        </w:tc>
      </w:tr>
      <w:tr w:rsidR="006547C1" w:rsidRPr="00ED4EDD" w14:paraId="35D370CC" w14:textId="77777777" w:rsidTr="007339EC">
        <w:trPr>
          <w:trHeight w:val="1559"/>
        </w:trPr>
        <w:tc>
          <w:tcPr>
            <w:tcW w:w="624" w:type="pct"/>
            <w:tcBorders>
              <w:top w:val="single" w:sz="4" w:space="0" w:color="auto"/>
              <w:left w:val="single" w:sz="4" w:space="0" w:color="auto"/>
              <w:bottom w:val="single" w:sz="4" w:space="0" w:color="auto"/>
              <w:right w:val="single" w:sz="4" w:space="0" w:color="auto"/>
            </w:tcBorders>
            <w:vAlign w:val="center"/>
          </w:tcPr>
          <w:p w14:paraId="0ED2B295" w14:textId="668C5071" w:rsidR="006547C1" w:rsidRPr="007339EC" w:rsidRDefault="006547C1" w:rsidP="007339EC">
            <w:pPr>
              <w:spacing w:after="0" w:line="240" w:lineRule="auto"/>
              <w:ind w:left="57" w:right="57"/>
              <w:jc w:val="center"/>
              <w:rPr>
                <w:b/>
                <w:sz w:val="20"/>
                <w:szCs w:val="20"/>
                <w:lang w:eastAsia="pl-PL"/>
              </w:rPr>
            </w:pPr>
            <w:r w:rsidRPr="00FE51B7">
              <w:rPr>
                <w:b/>
                <w:sz w:val="20"/>
                <w:szCs w:val="20"/>
                <w:lang w:eastAsia="pl-PL"/>
              </w:rPr>
              <w:t>Produkcja drewna</w:t>
            </w:r>
          </w:p>
        </w:tc>
        <w:tc>
          <w:tcPr>
            <w:tcW w:w="2978" w:type="pct"/>
            <w:tcBorders>
              <w:top w:val="single" w:sz="4" w:space="0" w:color="auto"/>
              <w:left w:val="single" w:sz="4" w:space="0" w:color="auto"/>
              <w:bottom w:val="single" w:sz="4" w:space="0" w:color="auto"/>
              <w:right w:val="single" w:sz="4" w:space="0" w:color="auto"/>
            </w:tcBorders>
          </w:tcPr>
          <w:p w14:paraId="672FD302" w14:textId="77777777" w:rsidR="006547C1" w:rsidRPr="00FE51B7" w:rsidRDefault="006547C1" w:rsidP="00A16A1D">
            <w:pPr>
              <w:spacing w:after="0" w:line="240" w:lineRule="auto"/>
              <w:ind w:right="57"/>
              <w:rPr>
                <w:b/>
                <w:sz w:val="20"/>
                <w:szCs w:val="20"/>
                <w:lang w:eastAsia="pl-PL"/>
              </w:rPr>
            </w:pPr>
            <w:r w:rsidRPr="00FE51B7">
              <w:rPr>
                <w:b/>
                <w:sz w:val="20"/>
                <w:szCs w:val="20"/>
                <w:lang w:eastAsia="pl-PL"/>
              </w:rPr>
              <w:t>Tartak Stawiguda</w:t>
            </w:r>
          </w:p>
          <w:p w14:paraId="7FF817C1" w14:textId="730855FD" w:rsidR="006547C1" w:rsidRPr="007339EC" w:rsidRDefault="006547C1" w:rsidP="007339EC">
            <w:pPr>
              <w:spacing w:after="0" w:line="240" w:lineRule="auto"/>
              <w:ind w:right="57"/>
              <w:rPr>
                <w:b/>
                <w:sz w:val="20"/>
                <w:szCs w:val="20"/>
                <w:lang w:eastAsia="pl-PL"/>
              </w:rPr>
            </w:pPr>
            <w:r w:rsidRPr="00FE51B7">
              <w:rPr>
                <w:sz w:val="20"/>
                <w:szCs w:val="20"/>
              </w:rPr>
              <w:t>Firma działa od wielu lat na rynku przetwórstwa tarcicy. W zakładzie przetwarza 1500m3 tarcicy miesięcznie. Współpracuje z odbiorcami hurtowymi, ale realizuje także zamówienia indywidualne. Posiada nowoczesny park maszynowy, który pozwala na dywersyfikację oferty.</w:t>
            </w:r>
          </w:p>
        </w:tc>
        <w:tc>
          <w:tcPr>
            <w:tcW w:w="662" w:type="pct"/>
            <w:tcBorders>
              <w:top w:val="single" w:sz="4" w:space="0" w:color="auto"/>
              <w:left w:val="single" w:sz="4" w:space="0" w:color="auto"/>
              <w:bottom w:val="single" w:sz="4" w:space="0" w:color="auto"/>
              <w:right w:val="single" w:sz="4" w:space="0" w:color="auto"/>
            </w:tcBorders>
            <w:vAlign w:val="center"/>
          </w:tcPr>
          <w:p w14:paraId="3EB2CB12" w14:textId="7D32DCE4" w:rsidR="006547C1" w:rsidRPr="007339EC" w:rsidRDefault="006547C1" w:rsidP="007339EC">
            <w:pPr>
              <w:spacing w:after="0" w:line="240" w:lineRule="auto"/>
              <w:ind w:left="57" w:right="57"/>
              <w:jc w:val="center"/>
              <w:rPr>
                <w:sz w:val="20"/>
                <w:szCs w:val="20"/>
                <w:lang w:eastAsia="pl-PL"/>
              </w:rPr>
            </w:pPr>
            <w:r w:rsidRPr="00FE51B7">
              <w:rPr>
                <w:sz w:val="20"/>
                <w:szCs w:val="20"/>
                <w:lang w:eastAsia="pl-PL"/>
              </w:rPr>
              <w:t>Stawiguda</w:t>
            </w:r>
          </w:p>
        </w:tc>
        <w:tc>
          <w:tcPr>
            <w:tcW w:w="736" w:type="pct"/>
            <w:tcBorders>
              <w:top w:val="single" w:sz="4" w:space="0" w:color="auto"/>
              <w:left w:val="single" w:sz="4" w:space="0" w:color="auto"/>
              <w:bottom w:val="single" w:sz="4" w:space="0" w:color="auto"/>
              <w:right w:val="single" w:sz="4" w:space="0" w:color="auto"/>
            </w:tcBorders>
            <w:vAlign w:val="center"/>
          </w:tcPr>
          <w:p w14:paraId="03C3E367" w14:textId="08B8A3E3" w:rsidR="006547C1" w:rsidRPr="007339EC" w:rsidRDefault="006547C1" w:rsidP="007339EC">
            <w:pPr>
              <w:spacing w:after="0" w:line="240" w:lineRule="auto"/>
              <w:ind w:left="57" w:right="57"/>
              <w:jc w:val="center"/>
              <w:rPr>
                <w:sz w:val="20"/>
                <w:szCs w:val="20"/>
                <w:lang w:eastAsia="pl-PL"/>
              </w:rPr>
            </w:pPr>
            <w:r w:rsidRPr="00FE51B7">
              <w:rPr>
                <w:sz w:val="20"/>
                <w:szCs w:val="20"/>
                <w:lang w:eastAsia="pl-PL"/>
              </w:rPr>
              <w:t>Stawiguda</w:t>
            </w:r>
          </w:p>
        </w:tc>
      </w:tr>
      <w:tr w:rsidR="006547C1" w:rsidRPr="00ED4EDD" w14:paraId="2378BD76" w14:textId="77777777" w:rsidTr="007339EC">
        <w:trPr>
          <w:trHeight w:val="2126"/>
        </w:trPr>
        <w:tc>
          <w:tcPr>
            <w:tcW w:w="624" w:type="pct"/>
            <w:vMerge w:val="restart"/>
            <w:tcBorders>
              <w:top w:val="single" w:sz="4" w:space="0" w:color="auto"/>
              <w:left w:val="single" w:sz="4" w:space="0" w:color="auto"/>
              <w:right w:val="single" w:sz="4" w:space="0" w:color="auto"/>
            </w:tcBorders>
            <w:vAlign w:val="center"/>
          </w:tcPr>
          <w:p w14:paraId="0B9B185B" w14:textId="77777777" w:rsidR="006547C1" w:rsidRPr="00FE51B7" w:rsidRDefault="006547C1" w:rsidP="00A16A1D">
            <w:pPr>
              <w:spacing w:after="0" w:line="240" w:lineRule="auto"/>
              <w:ind w:left="57" w:right="57"/>
              <w:jc w:val="center"/>
              <w:rPr>
                <w:b/>
                <w:sz w:val="20"/>
                <w:szCs w:val="20"/>
                <w:lang w:eastAsia="pl-PL"/>
              </w:rPr>
            </w:pPr>
            <w:r w:rsidRPr="00FE51B7">
              <w:rPr>
                <w:b/>
                <w:sz w:val="20"/>
                <w:szCs w:val="20"/>
                <w:lang w:eastAsia="pl-PL"/>
              </w:rPr>
              <w:t>Poligrafia</w:t>
            </w:r>
          </w:p>
        </w:tc>
        <w:tc>
          <w:tcPr>
            <w:tcW w:w="2978" w:type="pct"/>
            <w:tcBorders>
              <w:top w:val="single" w:sz="4" w:space="0" w:color="auto"/>
              <w:left w:val="single" w:sz="4" w:space="0" w:color="auto"/>
              <w:bottom w:val="single" w:sz="4" w:space="0" w:color="auto"/>
              <w:right w:val="single" w:sz="4" w:space="0" w:color="auto"/>
            </w:tcBorders>
          </w:tcPr>
          <w:p w14:paraId="58021128" w14:textId="1B9C7FA6" w:rsidR="006547C1" w:rsidRPr="00FE51B7" w:rsidRDefault="006547C1" w:rsidP="00A16A1D">
            <w:pPr>
              <w:spacing w:after="0" w:line="240" w:lineRule="auto"/>
              <w:ind w:left="57" w:right="57"/>
              <w:rPr>
                <w:b/>
                <w:sz w:val="20"/>
                <w:szCs w:val="20"/>
                <w:lang w:eastAsia="pl-PL"/>
              </w:rPr>
            </w:pPr>
            <w:r w:rsidRPr="00FE51B7">
              <w:rPr>
                <w:b/>
                <w:sz w:val="20"/>
                <w:szCs w:val="20"/>
                <w:lang w:eastAsia="pl-PL"/>
              </w:rPr>
              <w:t>Zakład Poligraficz</w:t>
            </w:r>
            <w:r w:rsidR="00F3455B">
              <w:rPr>
                <w:b/>
                <w:sz w:val="20"/>
                <w:szCs w:val="20"/>
                <w:lang w:eastAsia="pl-PL"/>
              </w:rPr>
              <w:t>n</w:t>
            </w:r>
            <w:r w:rsidRPr="00FE51B7">
              <w:rPr>
                <w:b/>
                <w:sz w:val="20"/>
                <w:szCs w:val="20"/>
                <w:lang w:eastAsia="pl-PL"/>
              </w:rPr>
              <w:t>y "Spręcograf" s.c. Jacek Wachowski, Maciej Wachowski</w:t>
            </w:r>
          </w:p>
          <w:p w14:paraId="62590AEA" w14:textId="56AE12AD" w:rsidR="00FE51B7" w:rsidRPr="00FE51B7" w:rsidRDefault="006547C1" w:rsidP="00550EDE">
            <w:pPr>
              <w:spacing w:after="0" w:line="240" w:lineRule="auto"/>
              <w:ind w:left="57" w:right="57"/>
              <w:rPr>
                <w:sz w:val="20"/>
                <w:szCs w:val="20"/>
                <w:lang w:eastAsia="pl-PL"/>
              </w:rPr>
            </w:pPr>
            <w:r w:rsidRPr="00FE51B7">
              <w:rPr>
                <w:sz w:val="20"/>
                <w:szCs w:val="20"/>
                <w:lang w:eastAsia="pl-PL"/>
              </w:rPr>
              <w:t>Drukarnia założona w 1983 r., początkowo specjalizowała się w drukowaniu podręczników szkolnych techniką typograficzną. Obecnie oferta jest znacznie szersza – od książek, prze</w:t>
            </w:r>
            <w:r w:rsidR="00821194">
              <w:rPr>
                <w:sz w:val="20"/>
                <w:szCs w:val="20"/>
                <w:lang w:eastAsia="pl-PL"/>
              </w:rPr>
              <w:t>z</w:t>
            </w:r>
            <w:r w:rsidRPr="00FE51B7">
              <w:rPr>
                <w:sz w:val="20"/>
                <w:szCs w:val="20"/>
                <w:lang w:eastAsia="pl-PL"/>
              </w:rPr>
              <w:t xml:space="preserve"> ulotki, plakaty, wizytówki, koperty, zaproszenia po gadżety reklamowe. Firma stale się rozwija, w 2009 r. przy wsparciu ze środków RPO WiM zakupiono nowoczesną maszynę drukarską.</w:t>
            </w:r>
          </w:p>
        </w:tc>
        <w:tc>
          <w:tcPr>
            <w:tcW w:w="662" w:type="pct"/>
            <w:tcBorders>
              <w:top w:val="single" w:sz="4" w:space="0" w:color="auto"/>
              <w:left w:val="single" w:sz="4" w:space="0" w:color="auto"/>
              <w:bottom w:val="single" w:sz="4" w:space="0" w:color="auto"/>
              <w:right w:val="single" w:sz="4" w:space="0" w:color="auto"/>
            </w:tcBorders>
          </w:tcPr>
          <w:p w14:paraId="0D04959E"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Spręcowo</w:t>
            </w:r>
          </w:p>
        </w:tc>
        <w:tc>
          <w:tcPr>
            <w:tcW w:w="736" w:type="pct"/>
            <w:tcBorders>
              <w:top w:val="single" w:sz="4" w:space="0" w:color="auto"/>
              <w:left w:val="single" w:sz="4" w:space="0" w:color="auto"/>
              <w:bottom w:val="single" w:sz="4" w:space="0" w:color="auto"/>
              <w:right w:val="single" w:sz="4" w:space="0" w:color="auto"/>
            </w:tcBorders>
          </w:tcPr>
          <w:p w14:paraId="03EC8360"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Dywity</w:t>
            </w:r>
          </w:p>
        </w:tc>
      </w:tr>
      <w:tr w:rsidR="006547C1" w:rsidRPr="00ED4EDD" w14:paraId="24D17634" w14:textId="77777777" w:rsidTr="007339EC">
        <w:trPr>
          <w:trHeight w:val="1121"/>
        </w:trPr>
        <w:tc>
          <w:tcPr>
            <w:tcW w:w="624" w:type="pct"/>
            <w:vMerge/>
            <w:tcBorders>
              <w:left w:val="single" w:sz="4" w:space="0" w:color="auto"/>
              <w:bottom w:val="single" w:sz="4" w:space="0" w:color="auto"/>
              <w:right w:val="single" w:sz="4" w:space="0" w:color="auto"/>
            </w:tcBorders>
            <w:vAlign w:val="center"/>
          </w:tcPr>
          <w:p w14:paraId="6A092B8F" w14:textId="77777777" w:rsidR="006547C1" w:rsidRPr="00FE51B7" w:rsidRDefault="006547C1" w:rsidP="00A16A1D">
            <w:pPr>
              <w:spacing w:after="0" w:line="240" w:lineRule="auto"/>
              <w:ind w:left="57" w:right="57"/>
              <w:jc w:val="center"/>
              <w:rPr>
                <w:b/>
                <w:sz w:val="20"/>
                <w:szCs w:val="20"/>
                <w:lang w:eastAsia="pl-PL"/>
              </w:rPr>
            </w:pPr>
          </w:p>
        </w:tc>
        <w:tc>
          <w:tcPr>
            <w:tcW w:w="2978" w:type="pct"/>
            <w:tcBorders>
              <w:top w:val="single" w:sz="4" w:space="0" w:color="auto"/>
              <w:left w:val="single" w:sz="4" w:space="0" w:color="auto"/>
              <w:bottom w:val="single" w:sz="4" w:space="0" w:color="auto"/>
              <w:right w:val="single" w:sz="4" w:space="0" w:color="auto"/>
            </w:tcBorders>
          </w:tcPr>
          <w:p w14:paraId="7CD90907" w14:textId="77777777" w:rsidR="006547C1" w:rsidRPr="00FE51B7" w:rsidRDefault="006547C1" w:rsidP="00A16A1D">
            <w:pPr>
              <w:spacing w:after="0" w:line="240" w:lineRule="auto"/>
              <w:ind w:left="57" w:right="57"/>
              <w:rPr>
                <w:sz w:val="20"/>
                <w:szCs w:val="20"/>
                <w:lang w:eastAsia="pl-PL"/>
              </w:rPr>
            </w:pPr>
            <w:r w:rsidRPr="00FE51B7">
              <w:rPr>
                <w:b/>
                <w:sz w:val="20"/>
                <w:szCs w:val="20"/>
                <w:lang w:eastAsia="pl-PL"/>
              </w:rPr>
              <w:t>Zakład Poligraficzny Gutgraf Marian Świniarski</w:t>
            </w:r>
            <w:r w:rsidRPr="00FE51B7">
              <w:rPr>
                <w:sz w:val="20"/>
                <w:szCs w:val="20"/>
                <w:lang w:eastAsia="pl-PL"/>
              </w:rPr>
              <w:t xml:space="preserve"> </w:t>
            </w:r>
          </w:p>
          <w:p w14:paraId="2D3C49F4" w14:textId="194F0A6B" w:rsidR="006547C1" w:rsidRPr="00FE51B7" w:rsidRDefault="006547C1" w:rsidP="00A16A1D">
            <w:pPr>
              <w:spacing w:after="0" w:line="240" w:lineRule="auto"/>
              <w:ind w:left="57" w:right="57"/>
              <w:rPr>
                <w:sz w:val="20"/>
                <w:szCs w:val="20"/>
                <w:lang w:eastAsia="pl-PL"/>
              </w:rPr>
            </w:pPr>
            <w:r w:rsidRPr="00FE51B7">
              <w:rPr>
                <w:sz w:val="20"/>
                <w:szCs w:val="20"/>
                <w:lang w:eastAsia="pl-PL"/>
              </w:rPr>
              <w:t>Firma działająca na rynku od 1983 roku. Oferuje kompleksowe rozwiązania w zakresie druku i introligatorni dzięki doskon</w:t>
            </w:r>
            <w:r w:rsidR="007339EC">
              <w:rPr>
                <w:sz w:val="20"/>
                <w:szCs w:val="20"/>
                <w:lang w:eastAsia="pl-PL"/>
              </w:rPr>
              <w:t>ale wyposażonemu parkowi maszyn.</w:t>
            </w:r>
          </w:p>
        </w:tc>
        <w:tc>
          <w:tcPr>
            <w:tcW w:w="662" w:type="pct"/>
            <w:tcBorders>
              <w:top w:val="single" w:sz="4" w:space="0" w:color="auto"/>
              <w:left w:val="single" w:sz="4" w:space="0" w:color="auto"/>
              <w:bottom w:val="single" w:sz="4" w:space="0" w:color="auto"/>
              <w:right w:val="single" w:sz="4" w:space="0" w:color="auto"/>
            </w:tcBorders>
          </w:tcPr>
          <w:p w14:paraId="7CEDEB94"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Olsztyn</w:t>
            </w:r>
          </w:p>
        </w:tc>
        <w:tc>
          <w:tcPr>
            <w:tcW w:w="736" w:type="pct"/>
            <w:tcBorders>
              <w:top w:val="single" w:sz="4" w:space="0" w:color="auto"/>
              <w:left w:val="single" w:sz="4" w:space="0" w:color="auto"/>
              <w:bottom w:val="single" w:sz="4" w:space="0" w:color="auto"/>
              <w:right w:val="single" w:sz="4" w:space="0" w:color="auto"/>
            </w:tcBorders>
          </w:tcPr>
          <w:p w14:paraId="4E739A14" w14:textId="77777777" w:rsidR="006547C1" w:rsidRPr="00FE51B7" w:rsidRDefault="006547C1" w:rsidP="00A16A1D">
            <w:pPr>
              <w:spacing w:after="0" w:line="240" w:lineRule="auto"/>
              <w:ind w:left="57" w:right="57"/>
              <w:jc w:val="center"/>
              <w:rPr>
                <w:sz w:val="20"/>
                <w:szCs w:val="20"/>
                <w:lang w:eastAsia="pl-PL"/>
              </w:rPr>
            </w:pPr>
            <w:r w:rsidRPr="00FE51B7">
              <w:rPr>
                <w:sz w:val="20"/>
                <w:szCs w:val="20"/>
                <w:lang w:eastAsia="pl-PL"/>
              </w:rPr>
              <w:t>Olsztyn</w:t>
            </w:r>
          </w:p>
          <w:p w14:paraId="43EAE149" w14:textId="77777777" w:rsidR="006547C1" w:rsidRPr="00FE51B7" w:rsidRDefault="006547C1" w:rsidP="00A16A1D">
            <w:pPr>
              <w:spacing w:after="0" w:line="240" w:lineRule="auto"/>
              <w:ind w:left="57" w:right="57"/>
              <w:jc w:val="center"/>
              <w:rPr>
                <w:sz w:val="20"/>
                <w:szCs w:val="20"/>
                <w:lang w:eastAsia="pl-PL"/>
              </w:rPr>
            </w:pPr>
          </w:p>
        </w:tc>
      </w:tr>
    </w:tbl>
    <w:p w14:paraId="12B063B6" w14:textId="00F846F9" w:rsidR="006547C1" w:rsidRPr="00FE51B7" w:rsidRDefault="00CC1906" w:rsidP="00FE51B7">
      <w:pPr>
        <w:keepNext/>
        <w:spacing w:after="120"/>
        <w:jc w:val="center"/>
        <w:rPr>
          <w:i/>
          <w:sz w:val="20"/>
          <w:szCs w:val="20"/>
        </w:rPr>
      </w:pPr>
      <w:r>
        <w:rPr>
          <w:i/>
          <w:sz w:val="20"/>
          <w:szCs w:val="20"/>
        </w:rPr>
        <w:t>ź</w:t>
      </w:r>
      <w:r w:rsidR="006547C1" w:rsidRPr="00FE51B7">
        <w:rPr>
          <w:i/>
          <w:sz w:val="20"/>
          <w:szCs w:val="20"/>
        </w:rPr>
        <w:t>ródło:</w:t>
      </w:r>
      <w:r w:rsidR="00FE51B7">
        <w:rPr>
          <w:i/>
          <w:sz w:val="20"/>
          <w:szCs w:val="20"/>
        </w:rPr>
        <w:t xml:space="preserve"> o</w:t>
      </w:r>
      <w:r w:rsidR="006547C1" w:rsidRPr="00FE51B7">
        <w:rPr>
          <w:i/>
          <w:sz w:val="20"/>
          <w:szCs w:val="20"/>
        </w:rPr>
        <w:t>pracowanie własne na podstawie stron internetowych wymienianych firm</w:t>
      </w:r>
    </w:p>
    <w:p w14:paraId="13EE0726" w14:textId="77777777" w:rsidR="00116079" w:rsidRDefault="00116079" w:rsidP="00D83B71">
      <w:pPr>
        <w:spacing w:after="0"/>
        <w:rPr>
          <w:rFonts w:eastAsiaTheme="majorEastAsia" w:cstheme="majorBidi"/>
          <w:color w:val="2E74B5" w:themeColor="accent1" w:themeShade="BF"/>
          <w:sz w:val="32"/>
          <w:szCs w:val="32"/>
        </w:rPr>
      </w:pPr>
    </w:p>
    <w:p w14:paraId="2D9501F7" w14:textId="77777777" w:rsidR="00D83B71" w:rsidRDefault="00D83B71" w:rsidP="00D83B71">
      <w:pPr>
        <w:pStyle w:val="Nagwek2"/>
      </w:pPr>
      <w:bookmarkStart w:id="203" w:name="_Toc73534922"/>
      <w:r>
        <w:t>3.3 Przewagi konkurencyjne</w:t>
      </w:r>
      <w:bookmarkEnd w:id="203"/>
    </w:p>
    <w:p w14:paraId="48792D4F" w14:textId="77777777" w:rsidR="00D83B71" w:rsidRDefault="00D83B71" w:rsidP="00D83B71">
      <w:pPr>
        <w:pStyle w:val="Nagwek3"/>
      </w:pPr>
      <w:bookmarkStart w:id="204" w:name="_Toc73534923"/>
      <w:r>
        <w:t>3.3.1 Tereny inwestycyjne</w:t>
      </w:r>
      <w:bookmarkEnd w:id="204"/>
      <w:r>
        <w:t xml:space="preserve"> </w:t>
      </w:r>
    </w:p>
    <w:p w14:paraId="6BCBFB99" w14:textId="2F8B0106" w:rsidR="00EA556F" w:rsidRDefault="00A16A1D" w:rsidP="00A16A1D">
      <w:pPr>
        <w:jc w:val="both"/>
      </w:pPr>
      <w:r w:rsidRPr="00ED4EDD">
        <w:t xml:space="preserve">W </w:t>
      </w:r>
      <w:r w:rsidR="00EA556F">
        <w:t xml:space="preserve">Olsztynie, jak i w </w:t>
      </w:r>
      <w:r w:rsidRPr="00ED4EDD">
        <w:t xml:space="preserve">poszczególnych gminach MOF Olsztyna znajdują się tereny przeznaczone pod inwestycje. </w:t>
      </w:r>
      <w:r>
        <w:t>D</w:t>
      </w:r>
      <w:r w:rsidRPr="00ED4EDD">
        <w:t>edykowane strony internetowe zawierają informacje odnośnie wielkości i przeznaczenia działek, a także istniejącej infrastruktury. Na terenie Gminy Olsztyn oferowane są d</w:t>
      </w:r>
      <w:r w:rsidR="004939C9">
        <w:t xml:space="preserve">ziałki o łącznej powierzchni ponad 29 </w:t>
      </w:r>
      <w:r w:rsidRPr="00ED4EDD">
        <w:t>ha, m.in. w Gutkowie i na Redykajnach oraz dzi</w:t>
      </w:r>
      <w:r>
        <w:t xml:space="preserve">ałki przemysłowo-usługowe </w:t>
      </w:r>
      <w:r w:rsidR="00EA556F">
        <w:br/>
      </w:r>
      <w:r>
        <w:t>w sąs</w:t>
      </w:r>
      <w:r w:rsidRPr="00ED4EDD">
        <w:t xml:space="preserve">iedztwie DK 16 oraz węzła komunikacyjnego przy południowej obwodnicy Olsztyna. Właścicielami poszczególnych gruntów są, oprócz gminy, Warmińsko-Mazurska Specjalna Strefa Ekonomiczna, Skarb Państwa oraz osoby prywatne. </w:t>
      </w:r>
    </w:p>
    <w:p w14:paraId="0B801CDD" w14:textId="662BA717" w:rsidR="00A16A1D" w:rsidRPr="00ED4EDD" w:rsidRDefault="00A16A1D" w:rsidP="00A16A1D">
      <w:pPr>
        <w:jc w:val="both"/>
      </w:pPr>
      <w:r w:rsidRPr="00ED4EDD">
        <w:t>W ofercie inwestycyjnej Gminy Gietrzwałd znajduj</w:t>
      </w:r>
      <w:r w:rsidR="00EA556F">
        <w:t xml:space="preserve">ą </w:t>
      </w:r>
      <w:r w:rsidRPr="00ED4EDD">
        <w:t>się dział</w:t>
      </w:r>
      <w:r w:rsidR="00EA556F">
        <w:t>ki prze</w:t>
      </w:r>
      <w:r w:rsidRPr="00ED4EDD">
        <w:t>znaczon</w:t>
      </w:r>
      <w:r w:rsidR="00EA556F">
        <w:t>e</w:t>
      </w:r>
      <w:r w:rsidRPr="00ED4EDD">
        <w:t xml:space="preserve"> na usługi turystyczne</w:t>
      </w:r>
      <w:r w:rsidR="00EA556F">
        <w:t xml:space="preserve"> </w:t>
      </w:r>
      <w:r w:rsidR="00DF553E">
        <w:t xml:space="preserve">i sportu </w:t>
      </w:r>
      <w:r w:rsidR="00EA556F">
        <w:t>(</w:t>
      </w:r>
      <w:r w:rsidR="00DF553E">
        <w:t>Łęgucki Młyn</w:t>
      </w:r>
      <w:r w:rsidR="00EA556F">
        <w:t>)</w:t>
      </w:r>
      <w:r w:rsidRPr="00ED4EDD">
        <w:t xml:space="preserve">. Gmina Stawiguda na swoim terenie posiada na sprzedaż </w:t>
      </w:r>
      <w:r w:rsidR="00EA556F">
        <w:t xml:space="preserve">grunty </w:t>
      </w:r>
      <w:r w:rsidRPr="00ED4EDD">
        <w:t>pod zabudowę usługowo-produkcyjną (</w:t>
      </w:r>
      <w:r w:rsidR="007226E2">
        <w:t xml:space="preserve">w </w:t>
      </w:r>
      <w:r>
        <w:t>miejscowości</w:t>
      </w:r>
      <w:r w:rsidR="007226E2">
        <w:t>ach</w:t>
      </w:r>
      <w:r>
        <w:t xml:space="preserve"> </w:t>
      </w:r>
      <w:r w:rsidRPr="00ED4EDD">
        <w:t xml:space="preserve">Stawiguda, Miodówko, Gryźliny). Gmina Purda w zasobie </w:t>
      </w:r>
      <w:r w:rsidR="00DF553E">
        <w:lastRenderedPageBreak/>
        <w:t xml:space="preserve">nieruchomości posiada działki </w:t>
      </w:r>
      <w:r w:rsidRPr="00ED4EDD">
        <w:t xml:space="preserve">w </w:t>
      </w:r>
      <w:r w:rsidR="00DF553E">
        <w:t xml:space="preserve">Prejłowie i Marcinkowie </w:t>
      </w:r>
      <w:r w:rsidRPr="00ED4EDD">
        <w:t>przeznac</w:t>
      </w:r>
      <w:r w:rsidR="00102EA2">
        <w:t>zon</w:t>
      </w:r>
      <w:r w:rsidR="00DF553E">
        <w:t xml:space="preserve">e </w:t>
      </w:r>
      <w:r w:rsidR="00102EA2">
        <w:t xml:space="preserve">na </w:t>
      </w:r>
      <w:r w:rsidR="00DF553E">
        <w:t>funkcje mieszkaniowe</w:t>
      </w:r>
      <w:r w:rsidRPr="00ED4EDD">
        <w:t xml:space="preserve">, </w:t>
      </w:r>
      <w:r w:rsidR="007226E2">
        <w:t xml:space="preserve">zaś </w:t>
      </w:r>
      <w:r w:rsidR="00102EA2">
        <w:t>Gmina</w:t>
      </w:r>
      <w:r w:rsidRPr="00ED4EDD">
        <w:t xml:space="preserve"> Barczewo </w:t>
      </w:r>
      <w:r w:rsidR="00102EA2">
        <w:t>oferuje te</w:t>
      </w:r>
      <w:r w:rsidRPr="00ED4EDD">
        <w:t>ren</w:t>
      </w:r>
      <w:r w:rsidR="00102EA2">
        <w:t>y</w:t>
      </w:r>
      <w:r w:rsidRPr="00ED4EDD">
        <w:t xml:space="preserve"> prze</w:t>
      </w:r>
      <w:r w:rsidR="001076DD">
        <w:t>znaczone pod zabudowę mieszkaniową oraz na działalność usługową.</w:t>
      </w:r>
      <w:r w:rsidRPr="00ED4EDD">
        <w:rPr>
          <w:rStyle w:val="Odwoanieprzypisudolnego"/>
        </w:rPr>
        <w:footnoteReference w:id="56"/>
      </w:r>
    </w:p>
    <w:p w14:paraId="4CDFFC90" w14:textId="77777777" w:rsidR="00A16A1D" w:rsidRPr="00ED4EDD" w:rsidRDefault="00102EA2" w:rsidP="00A16A1D">
      <w:pPr>
        <w:tabs>
          <w:tab w:val="num" w:pos="720"/>
        </w:tabs>
        <w:spacing w:after="120"/>
        <w:jc w:val="both"/>
      </w:pPr>
      <w:r>
        <w:t xml:space="preserve">W efekcie </w:t>
      </w:r>
      <w:r w:rsidR="00A16A1D" w:rsidRPr="00ED4EDD">
        <w:t>wybudowani</w:t>
      </w:r>
      <w:r>
        <w:t>a</w:t>
      </w:r>
      <w:r w:rsidR="00A16A1D" w:rsidRPr="00ED4EDD">
        <w:t xml:space="preserve"> południowej obwodnicy Olsztyna, </w:t>
      </w:r>
      <w:r>
        <w:t xml:space="preserve">wzrosła </w:t>
      </w:r>
      <w:r w:rsidR="00A16A1D" w:rsidRPr="00ED4EDD">
        <w:t>atrakcyjność gospodarcz</w:t>
      </w:r>
      <w:r>
        <w:t>a</w:t>
      </w:r>
      <w:r w:rsidR="00A16A1D" w:rsidRPr="00ED4EDD">
        <w:t xml:space="preserve"> regionu, na terenie MOF zaczęły powstawać nowe inwestycje</w:t>
      </w:r>
      <w:r>
        <w:t xml:space="preserve"> (m.in. centrum</w:t>
      </w:r>
      <w:r w:rsidR="0076598B">
        <w:t xml:space="preserve"> technologii serowarskich</w:t>
      </w:r>
      <w:r w:rsidR="007226E2">
        <w:t>,</w:t>
      </w:r>
      <w:r w:rsidR="0076598B">
        <w:t xml:space="preserve"> </w:t>
      </w:r>
      <w:r w:rsidR="007226E2">
        <w:br/>
      </w:r>
      <w:r w:rsidR="0076598B" w:rsidRPr="00ED4EDD">
        <w:t>w planach jest centrum logistyczne z magazynem o powierzchni ok. 40 000 m</w:t>
      </w:r>
      <w:r w:rsidR="0076598B" w:rsidRPr="00ED4EDD">
        <w:rPr>
          <w:vertAlign w:val="superscript"/>
        </w:rPr>
        <w:t>2</w:t>
      </w:r>
      <w:r w:rsidR="0076598B" w:rsidRPr="00ED4EDD">
        <w:t xml:space="preserve"> z możliwością prowadzenia lekkiej produkcji</w:t>
      </w:r>
      <w:r w:rsidR="0076598B" w:rsidRPr="00ED4EDD">
        <w:rPr>
          <w:rStyle w:val="Odwoanieprzypisudolnego"/>
        </w:rPr>
        <w:footnoteReference w:id="57"/>
      </w:r>
      <w:r w:rsidR="0076598B" w:rsidRPr="00ED4EDD">
        <w:t xml:space="preserve"> </w:t>
      </w:r>
      <w:r w:rsidR="0076598B">
        <w:t>- w gminie Stawiguda; centrum spedycyjne - w gminie Gietrzwałd</w:t>
      </w:r>
      <w:r>
        <w:t xml:space="preserve"> logistyczne</w:t>
      </w:r>
      <w:r w:rsidR="0076598B">
        <w:t>). Ponadto p</w:t>
      </w:r>
      <w:r w:rsidR="00A16A1D" w:rsidRPr="00ED4EDD">
        <w:t xml:space="preserve">owstają </w:t>
      </w:r>
      <w:r w:rsidR="0076598B">
        <w:t>o</w:t>
      </w:r>
      <w:r w:rsidR="007226E2">
        <w:t>biekty usługowe towarzyszące,</w:t>
      </w:r>
      <w:r w:rsidR="0076598B">
        <w:t xml:space="preserve"> w tym </w:t>
      </w:r>
      <w:r w:rsidR="00A16A1D" w:rsidRPr="00ED4EDD">
        <w:t xml:space="preserve">stacje benzynowe, </w:t>
      </w:r>
      <w:r w:rsidR="0076598B">
        <w:t xml:space="preserve">usługi </w:t>
      </w:r>
      <w:r w:rsidR="00A16A1D" w:rsidRPr="00ED4EDD">
        <w:t>gastronomi</w:t>
      </w:r>
      <w:r w:rsidR="0076598B">
        <w:t>czne</w:t>
      </w:r>
      <w:r w:rsidR="00A16A1D" w:rsidRPr="00ED4EDD">
        <w:t>. W bliskiej odległości od obwodnicy znajdują się również tereny pod zabudowę mieszkaniową. Niewątpliwie powstające nowe osiedla będą miały wpływ na „rozlewanie się” miasta</w:t>
      </w:r>
      <w:r w:rsidR="0076598B">
        <w:t xml:space="preserve"> Olsztyna</w:t>
      </w:r>
      <w:r w:rsidR="00A16A1D" w:rsidRPr="00ED4EDD">
        <w:t xml:space="preserve">. </w:t>
      </w:r>
    </w:p>
    <w:p w14:paraId="47E8F595" w14:textId="5DF82409" w:rsidR="00A16A1D" w:rsidRDefault="00A16A1D" w:rsidP="00A16A1D">
      <w:pPr>
        <w:spacing w:after="120"/>
        <w:jc w:val="both"/>
      </w:pPr>
      <w:r w:rsidRPr="00ED4EDD">
        <w:t>Budowa obwodnicy Olsztyna</w:t>
      </w:r>
      <w:r w:rsidR="007226E2">
        <w:t xml:space="preserve"> </w:t>
      </w:r>
      <w:r>
        <w:t>wpły</w:t>
      </w:r>
      <w:r w:rsidR="007226E2">
        <w:t xml:space="preserve">nęła </w:t>
      </w:r>
      <w:r>
        <w:t xml:space="preserve">na </w:t>
      </w:r>
      <w:r w:rsidRPr="00ED4EDD">
        <w:t>układ drogowy i warunki transportowe Olsztyna i okolic</w:t>
      </w:r>
      <w:r w:rsidR="0076598B">
        <w:t xml:space="preserve">, </w:t>
      </w:r>
      <w:r w:rsidRPr="00ED4EDD">
        <w:t xml:space="preserve"> </w:t>
      </w:r>
      <w:r>
        <w:t xml:space="preserve"> umożliwiła eliminację</w:t>
      </w:r>
      <w:r w:rsidRPr="00ED4EDD">
        <w:t xml:space="preserve"> części ciężkiego ruchu z centrum miasta oraz poprawi</w:t>
      </w:r>
      <w:r>
        <w:t>ł</w:t>
      </w:r>
      <w:r w:rsidR="0076598B">
        <w:t>a</w:t>
      </w:r>
      <w:r w:rsidRPr="00ED4EDD">
        <w:t xml:space="preserve"> obsługę podróży tranzytowych. </w:t>
      </w:r>
      <w:r w:rsidR="0076598B">
        <w:t xml:space="preserve">Inwestycja ta </w:t>
      </w:r>
      <w:r w:rsidR="00F3455B">
        <w:t>podniosła poziom atrakcyjności</w:t>
      </w:r>
      <w:r w:rsidRPr="00ED4EDD">
        <w:t xml:space="preserve"> regionu</w:t>
      </w:r>
      <w:r w:rsidR="007226E2">
        <w:t>,</w:t>
      </w:r>
      <w:r w:rsidRPr="00ED4EDD">
        <w:t xml:space="preserve"> </w:t>
      </w:r>
      <w:r w:rsidR="0076598B">
        <w:t xml:space="preserve">umożliwiając tym samym jego </w:t>
      </w:r>
      <w:r w:rsidRPr="00ED4EDD">
        <w:t xml:space="preserve"> szybszy rozwój społeczno-gospodarczy</w:t>
      </w:r>
      <w:r w:rsidRPr="00ED4EDD">
        <w:rPr>
          <w:vertAlign w:val="superscript"/>
        </w:rPr>
        <w:footnoteReference w:id="58"/>
      </w:r>
      <w:r w:rsidRPr="00ED4EDD">
        <w:t>.</w:t>
      </w:r>
    </w:p>
    <w:p w14:paraId="088069A3" w14:textId="77777777" w:rsidR="00F00985" w:rsidRPr="00F00985" w:rsidRDefault="00F00985" w:rsidP="00F00985">
      <w:pPr>
        <w:spacing w:after="120"/>
        <w:jc w:val="both"/>
      </w:pPr>
      <w:r w:rsidRPr="00F00985">
        <w:t>Spośród 10 aktualnie promowanych przez UM ofert sprzedaży skierowanych do potencjalnych inwestorów, 5 znajduje się we wschodniej części miasta, 4 we wschodniej, a jedna na południu</w:t>
      </w:r>
      <w:r w:rsidRPr="00F00985">
        <w:rPr>
          <w:vertAlign w:val="superscript"/>
        </w:rPr>
        <w:footnoteReference w:id="59"/>
      </w:r>
      <w:r w:rsidRPr="00F00985">
        <w:t xml:space="preserve">. Po dwie oferty dotyczą działek w obrębie osiedli Gutkowo, Redykajny, Kętrzyńskiego i Mazurskie, a po jednym ogłoszeniu przypada na Zieloną Górkę i Kortowo. </w:t>
      </w:r>
    </w:p>
    <w:p w14:paraId="41613595" w14:textId="77777777" w:rsidR="00F00985" w:rsidRPr="00F00985" w:rsidRDefault="00F00985" w:rsidP="00F00985">
      <w:pPr>
        <w:spacing w:after="120"/>
        <w:jc w:val="both"/>
      </w:pPr>
      <w:r w:rsidRPr="00F00985">
        <w:t>Widoczne są różnice w powierzchni oferowanych terenów. 3 działki nie przekraczają powierzchni 1 ha, 4 mieszczą się w przedziale od 1 do 4 ha, a kolejne 3 to od 13,5 do 23 ha. Największe działki znajdują się po wschodniej stronie miasta, w osiedlach Mazurskie i Zielona Górka. Najmniejsze działki są zlokalizowane po przeciwnej stronie Olsztyna, w osiedlach Gutkowo i Redykajny.</w:t>
      </w:r>
    </w:p>
    <w:p w14:paraId="495164C7" w14:textId="77777777" w:rsidR="00F00985" w:rsidRPr="00F00985" w:rsidRDefault="00F00985" w:rsidP="00F00985">
      <w:pPr>
        <w:spacing w:after="120"/>
        <w:jc w:val="both"/>
      </w:pPr>
      <w:r w:rsidRPr="00F00985">
        <w:t>Można zatem powiedzieć, że Olsztyn dysponuje zróżnicowaną ofertą terenów inwestycyjnych. Są one ulokowane w różnych częściach miasta i w zależności od potrzeb inwestora posiadają różne powierzchnie.</w:t>
      </w:r>
    </w:p>
    <w:p w14:paraId="5294035A" w14:textId="01FA3BCD" w:rsidR="0006362E" w:rsidRDefault="0006362E">
      <w:r>
        <w:br w:type="page"/>
      </w:r>
    </w:p>
    <w:p w14:paraId="6B04359C" w14:textId="286FAE27" w:rsidR="0006362E" w:rsidRPr="0006362E" w:rsidRDefault="0006362E" w:rsidP="0006362E">
      <w:pPr>
        <w:pStyle w:val="Legenda"/>
        <w:rPr>
          <w:sz w:val="22"/>
          <w:szCs w:val="22"/>
          <w:lang w:val="pl-PL"/>
        </w:rPr>
      </w:pPr>
      <w:bookmarkStart w:id="205" w:name="_Toc73516177"/>
      <w:r w:rsidRPr="0006362E">
        <w:rPr>
          <w:sz w:val="22"/>
          <w:szCs w:val="22"/>
          <w:lang w:val="pl-PL"/>
        </w:rPr>
        <w:lastRenderedPageBreak/>
        <w:t xml:space="preserve">Rysunek </w:t>
      </w:r>
      <w:r w:rsidRPr="0006362E">
        <w:rPr>
          <w:sz w:val="22"/>
          <w:szCs w:val="22"/>
        </w:rPr>
        <w:fldChar w:fldCharType="begin"/>
      </w:r>
      <w:r w:rsidRPr="0006362E">
        <w:rPr>
          <w:sz w:val="22"/>
          <w:szCs w:val="22"/>
          <w:lang w:val="pl-PL"/>
        </w:rPr>
        <w:instrText xml:space="preserve"> SEQ Rysunek \* ARABIC </w:instrText>
      </w:r>
      <w:r w:rsidRPr="0006362E">
        <w:rPr>
          <w:sz w:val="22"/>
          <w:szCs w:val="22"/>
        </w:rPr>
        <w:fldChar w:fldCharType="separate"/>
      </w:r>
      <w:r w:rsidR="00AD58C3">
        <w:rPr>
          <w:noProof/>
          <w:sz w:val="22"/>
          <w:szCs w:val="22"/>
          <w:lang w:val="pl-PL"/>
        </w:rPr>
        <w:t>12</w:t>
      </w:r>
      <w:r w:rsidRPr="0006362E">
        <w:rPr>
          <w:sz w:val="22"/>
          <w:szCs w:val="22"/>
        </w:rPr>
        <w:fldChar w:fldCharType="end"/>
      </w:r>
      <w:r w:rsidRPr="0006362E">
        <w:rPr>
          <w:sz w:val="22"/>
          <w:szCs w:val="22"/>
          <w:lang w:val="pl-PL"/>
        </w:rPr>
        <w:t>. Lokalizacja terenów inwestycyjnych w Olsztynie</w:t>
      </w:r>
      <w:bookmarkEnd w:id="205"/>
    </w:p>
    <w:p w14:paraId="77884B94" w14:textId="77777777" w:rsidR="005337C3" w:rsidRDefault="00F00985" w:rsidP="005337C3">
      <w:pPr>
        <w:keepNext/>
        <w:spacing w:after="120"/>
        <w:jc w:val="center"/>
      </w:pPr>
      <w:r w:rsidRPr="00F00985">
        <w:rPr>
          <w:noProof/>
          <w:lang w:eastAsia="pl-PL"/>
        </w:rPr>
        <w:drawing>
          <wp:inline distT="0" distB="0" distL="0" distR="0" wp14:anchorId="550344FB" wp14:editId="797A4552">
            <wp:extent cx="5760720" cy="4733290"/>
            <wp:effectExtent l="0" t="0" r="0" b="0"/>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60720" cy="4733290"/>
                    </a:xfrm>
                    <a:prstGeom prst="rect">
                      <a:avLst/>
                    </a:prstGeom>
                  </pic:spPr>
                </pic:pic>
              </a:graphicData>
            </a:graphic>
          </wp:inline>
        </w:drawing>
      </w:r>
    </w:p>
    <w:p w14:paraId="13518477" w14:textId="513BC0DA" w:rsidR="00F00985" w:rsidRPr="005337C3" w:rsidRDefault="0006362E" w:rsidP="005337C3">
      <w:pPr>
        <w:pStyle w:val="Legenda"/>
        <w:jc w:val="center"/>
        <w:rPr>
          <w:sz w:val="20"/>
          <w:lang w:val="pl-PL"/>
        </w:rPr>
      </w:pPr>
      <w:r>
        <w:rPr>
          <w:sz w:val="20"/>
          <w:lang w:val="pl-PL"/>
        </w:rPr>
        <w:t>ź</w:t>
      </w:r>
      <w:r w:rsidR="005337C3" w:rsidRPr="005337C3">
        <w:rPr>
          <w:sz w:val="20"/>
          <w:lang w:val="pl-PL"/>
        </w:rPr>
        <w:t>ródło: https://invest.olsztyn.eu/pl/oferty.html. Podkład: Mapa Akustyczna Olsztyna; str. 10</w:t>
      </w:r>
    </w:p>
    <w:p w14:paraId="59FE3CDB" w14:textId="77777777" w:rsidR="00F00985" w:rsidRPr="00ED4EDD" w:rsidRDefault="00F00985" w:rsidP="00A16A1D">
      <w:pPr>
        <w:spacing w:after="120"/>
        <w:jc w:val="both"/>
      </w:pPr>
    </w:p>
    <w:p w14:paraId="4F2223BA" w14:textId="437A3BDB" w:rsidR="00A16A1D" w:rsidRPr="00ED4EDD" w:rsidRDefault="00A67D55" w:rsidP="00A16A1D">
      <w:pPr>
        <w:pStyle w:val="Nagwek3"/>
        <w:rPr>
          <w:sz w:val="22"/>
          <w:szCs w:val="22"/>
        </w:rPr>
      </w:pPr>
      <w:bookmarkStart w:id="206" w:name="_Toc49504784"/>
      <w:bookmarkStart w:id="207" w:name="_Toc73534924"/>
      <w:r>
        <w:rPr>
          <w:sz w:val="22"/>
          <w:szCs w:val="22"/>
        </w:rPr>
        <w:t xml:space="preserve">3.3.2 </w:t>
      </w:r>
      <w:r w:rsidR="00A16A1D" w:rsidRPr="00ED4EDD">
        <w:rPr>
          <w:sz w:val="22"/>
          <w:szCs w:val="22"/>
        </w:rPr>
        <w:t>Warmińsko-Mazurska Specjalna Strefa Ekonomiczna</w:t>
      </w:r>
      <w:bookmarkEnd w:id="206"/>
      <w:bookmarkEnd w:id="207"/>
    </w:p>
    <w:p w14:paraId="6BC1852A" w14:textId="77777777" w:rsidR="00A16A1D" w:rsidRPr="00ED4EDD" w:rsidRDefault="00A16A1D" w:rsidP="00A16A1D">
      <w:pPr>
        <w:pStyle w:val="NormalnyWeb"/>
        <w:jc w:val="both"/>
        <w:rPr>
          <w:rFonts w:asciiTheme="minorHAnsi" w:eastAsia="Times New Roman" w:hAnsiTheme="minorHAnsi"/>
          <w:sz w:val="22"/>
          <w:szCs w:val="22"/>
          <w:lang w:eastAsia="pl-PL"/>
        </w:rPr>
      </w:pPr>
      <w:r w:rsidRPr="00ED4EDD">
        <w:rPr>
          <w:rFonts w:asciiTheme="minorHAnsi" w:hAnsiTheme="minorHAnsi"/>
          <w:sz w:val="22"/>
          <w:szCs w:val="22"/>
        </w:rPr>
        <w:t xml:space="preserve">Warmińsko-Mazurska Specjalna Strefa Ekonomiczna </w:t>
      </w:r>
      <w:r w:rsidR="00851FD9">
        <w:rPr>
          <w:rFonts w:asciiTheme="minorHAnsi" w:hAnsiTheme="minorHAnsi"/>
          <w:sz w:val="22"/>
          <w:szCs w:val="22"/>
        </w:rPr>
        <w:t xml:space="preserve">(W-MSSE) </w:t>
      </w:r>
      <w:r w:rsidRPr="00ED4EDD">
        <w:rPr>
          <w:rFonts w:asciiTheme="minorHAnsi" w:hAnsiTheme="minorHAnsi"/>
          <w:sz w:val="22"/>
          <w:szCs w:val="22"/>
        </w:rPr>
        <w:t xml:space="preserve">w Olsztynie zarządza obszarem przeznaczonym na wspieranie nowych inwestycji o łącznej powierzchni ok. 3 352 570 ha. W-MSSE obejmuje swym zasięgiem dwa podobszary: warmińsko-mazurski i mazowiecki. W związku z wejściem w życie </w:t>
      </w:r>
      <w:r w:rsidRPr="00ED4EDD">
        <w:rPr>
          <w:rFonts w:asciiTheme="minorHAnsi" w:eastAsia="Times New Roman" w:hAnsiTheme="minorHAnsi"/>
          <w:sz w:val="22"/>
          <w:szCs w:val="22"/>
          <w:lang w:eastAsia="pl-PL"/>
        </w:rPr>
        <w:t>Ustawy z dnia 10 maja 2018 r. o wspieraniu nowych inwestycji, wprowadzony został nowy mechanizm udzielania przedsiębiorcom pomocy publicznej na projekty inwestycyjne. Polega on na tym, że każda nowa inwestycja, po spełnieniu określonych prawem kryteriów, będzie mogła uzyskać wsparcie w posta</w:t>
      </w:r>
      <w:r w:rsidR="00851FD9">
        <w:rPr>
          <w:rFonts w:asciiTheme="minorHAnsi" w:eastAsia="Times New Roman" w:hAnsiTheme="minorHAnsi"/>
          <w:sz w:val="22"/>
          <w:szCs w:val="22"/>
          <w:lang w:eastAsia="pl-PL"/>
        </w:rPr>
        <w:t>ci pomocy publicznej (zwolnienia</w:t>
      </w:r>
      <w:r w:rsidRPr="00ED4EDD">
        <w:rPr>
          <w:rFonts w:asciiTheme="minorHAnsi" w:eastAsia="Times New Roman" w:hAnsiTheme="minorHAnsi"/>
          <w:sz w:val="22"/>
          <w:szCs w:val="22"/>
          <w:lang w:eastAsia="pl-PL"/>
        </w:rPr>
        <w:t xml:space="preserve"> przedsiębiorcy z podatku dochodowego). Wysokość pomocy inwestycyjnej uzależniona jest w zależności od obszaru inwestycyjnego, i tak w województwie warmińsko-mazurskim wynosi ona 50% wydat</w:t>
      </w:r>
      <w:r>
        <w:rPr>
          <w:rFonts w:asciiTheme="minorHAnsi" w:eastAsia="Times New Roman" w:hAnsiTheme="minorHAnsi"/>
          <w:sz w:val="22"/>
          <w:szCs w:val="22"/>
          <w:lang w:eastAsia="pl-PL"/>
        </w:rPr>
        <w:t>ków kwalifikowalnych</w:t>
      </w:r>
      <w:r w:rsidRPr="00ED4EDD">
        <w:rPr>
          <w:rFonts w:asciiTheme="minorHAnsi" w:eastAsia="Times New Roman" w:hAnsiTheme="minorHAnsi"/>
          <w:sz w:val="22"/>
          <w:szCs w:val="22"/>
          <w:lang w:eastAsia="pl-PL"/>
        </w:rPr>
        <w:t xml:space="preserve">. </w:t>
      </w:r>
    </w:p>
    <w:p w14:paraId="59816944" w14:textId="5845F659" w:rsidR="00F00985" w:rsidRDefault="00A16A1D" w:rsidP="00A16A1D">
      <w:pPr>
        <w:pStyle w:val="NormalnyWeb"/>
        <w:jc w:val="both"/>
        <w:rPr>
          <w:rFonts w:asciiTheme="minorHAnsi" w:eastAsia="Times New Roman" w:hAnsiTheme="minorHAnsi"/>
          <w:sz w:val="22"/>
          <w:szCs w:val="22"/>
          <w:lang w:eastAsia="pl-PL"/>
        </w:rPr>
      </w:pPr>
      <w:r w:rsidRPr="00ED4EDD">
        <w:rPr>
          <w:rFonts w:asciiTheme="minorHAnsi" w:eastAsia="Times New Roman" w:hAnsiTheme="minorHAnsi"/>
          <w:sz w:val="22"/>
          <w:szCs w:val="22"/>
          <w:lang w:eastAsia="pl-PL"/>
        </w:rPr>
        <w:t xml:space="preserve">W-MSSE dysponuje wolnymi gruntami o powierzchni </w:t>
      </w:r>
      <w:r w:rsidR="005B6952" w:rsidRPr="00ED4EDD">
        <w:rPr>
          <w:rFonts w:asciiTheme="minorHAnsi" w:eastAsia="Times New Roman" w:hAnsiTheme="minorHAnsi"/>
          <w:sz w:val="22"/>
          <w:szCs w:val="22"/>
          <w:lang w:eastAsia="pl-PL"/>
        </w:rPr>
        <w:t>1</w:t>
      </w:r>
      <w:r w:rsidR="005B6952">
        <w:rPr>
          <w:rFonts w:asciiTheme="minorHAnsi" w:eastAsia="Times New Roman" w:hAnsiTheme="minorHAnsi"/>
          <w:sz w:val="22"/>
          <w:szCs w:val="22"/>
          <w:lang w:eastAsia="pl-PL"/>
        </w:rPr>
        <w:t>23,37</w:t>
      </w:r>
      <w:r w:rsidR="005B6952" w:rsidRPr="00ED4EDD">
        <w:rPr>
          <w:rFonts w:asciiTheme="minorHAnsi" w:eastAsia="Times New Roman" w:hAnsiTheme="minorHAnsi"/>
          <w:sz w:val="22"/>
          <w:szCs w:val="22"/>
          <w:lang w:eastAsia="pl-PL"/>
        </w:rPr>
        <w:t xml:space="preserve"> ha gruntów w województwie warmińsko-mazurskim</w:t>
      </w:r>
      <w:r w:rsidR="005B6952">
        <w:rPr>
          <w:rFonts w:asciiTheme="minorHAnsi" w:eastAsia="Times New Roman" w:hAnsiTheme="minorHAnsi"/>
          <w:sz w:val="22"/>
          <w:szCs w:val="22"/>
          <w:lang w:eastAsia="pl-PL"/>
        </w:rPr>
        <w:t xml:space="preserve">, w tym </w:t>
      </w:r>
      <w:r w:rsidRPr="00ED4EDD">
        <w:rPr>
          <w:rFonts w:asciiTheme="minorHAnsi" w:eastAsia="Times New Roman" w:hAnsiTheme="minorHAnsi"/>
          <w:sz w:val="22"/>
          <w:szCs w:val="22"/>
          <w:lang w:eastAsia="pl-PL"/>
        </w:rPr>
        <w:t>3</w:t>
      </w:r>
      <w:r w:rsidR="00946C17">
        <w:rPr>
          <w:rFonts w:asciiTheme="minorHAnsi" w:eastAsia="Times New Roman" w:hAnsiTheme="minorHAnsi"/>
          <w:sz w:val="22"/>
          <w:szCs w:val="22"/>
          <w:lang w:eastAsia="pl-PL"/>
        </w:rPr>
        <w:t>1</w:t>
      </w:r>
      <w:r w:rsidRPr="00ED4EDD">
        <w:rPr>
          <w:rFonts w:asciiTheme="minorHAnsi" w:eastAsia="Times New Roman" w:hAnsiTheme="minorHAnsi"/>
          <w:sz w:val="22"/>
          <w:szCs w:val="22"/>
          <w:lang w:eastAsia="pl-PL"/>
        </w:rPr>
        <w:t>,5 ha w Olsztynie i podstrefie olsztyńskiej. Tereny inwestycyjne w MOF, oprócz Olsztyna, znajdują się w gminie Stawiguda</w:t>
      </w:r>
      <w:r w:rsidR="00946C17">
        <w:rPr>
          <w:rFonts w:asciiTheme="minorHAnsi" w:eastAsia="Times New Roman" w:hAnsiTheme="minorHAnsi"/>
          <w:sz w:val="22"/>
          <w:szCs w:val="22"/>
          <w:lang w:eastAsia="pl-PL"/>
        </w:rPr>
        <w:t xml:space="preserve"> (4,29 ha)</w:t>
      </w:r>
      <w:r w:rsidRPr="00ED4EDD">
        <w:rPr>
          <w:rStyle w:val="Odwoanieprzypisudolnego"/>
          <w:rFonts w:asciiTheme="minorHAnsi" w:eastAsia="Times New Roman" w:hAnsiTheme="minorHAnsi"/>
          <w:sz w:val="22"/>
          <w:szCs w:val="22"/>
          <w:lang w:eastAsia="pl-PL"/>
        </w:rPr>
        <w:footnoteReference w:id="60"/>
      </w:r>
      <w:r w:rsidRPr="00ED4EDD">
        <w:rPr>
          <w:rFonts w:asciiTheme="minorHAnsi" w:eastAsia="Times New Roman" w:hAnsiTheme="minorHAnsi"/>
          <w:sz w:val="22"/>
          <w:szCs w:val="22"/>
          <w:lang w:eastAsia="pl-PL"/>
        </w:rPr>
        <w:t>.</w:t>
      </w:r>
    </w:p>
    <w:p w14:paraId="687869A4" w14:textId="521170EE" w:rsidR="00F00985" w:rsidRDefault="00F00985" w:rsidP="00F00985">
      <w:pPr>
        <w:jc w:val="both"/>
        <w:rPr>
          <w:lang w:eastAsia="pl-PL"/>
        </w:rPr>
      </w:pPr>
      <w:r w:rsidRPr="00F00985">
        <w:rPr>
          <w:lang w:eastAsia="pl-PL"/>
        </w:rPr>
        <w:lastRenderedPageBreak/>
        <w:t>W Olsztynie Warmińsko-Mazurska Specjalna Strefa Ekonomiczna obejmuje tereny na wchodzie miasta. SSE jest położona na obszarze trzech dzielnic – Zielona Górka, Kętrzyńskiego, Pojezierze.</w:t>
      </w:r>
    </w:p>
    <w:p w14:paraId="76FADD82" w14:textId="490F7228" w:rsidR="00F00985" w:rsidRDefault="00F00985" w:rsidP="00F00985">
      <w:pPr>
        <w:jc w:val="both"/>
        <w:rPr>
          <w:lang w:eastAsia="pl-PL"/>
        </w:rPr>
      </w:pPr>
    </w:p>
    <w:p w14:paraId="1D853DA5" w14:textId="54A3DCAF" w:rsidR="0006362E" w:rsidRPr="0006362E" w:rsidRDefault="0006362E" w:rsidP="0006362E">
      <w:pPr>
        <w:pStyle w:val="Legenda"/>
        <w:rPr>
          <w:sz w:val="22"/>
          <w:szCs w:val="22"/>
          <w:lang w:val="pl-PL"/>
        </w:rPr>
      </w:pPr>
      <w:bookmarkStart w:id="208" w:name="_Toc73516178"/>
      <w:r w:rsidRPr="0006362E">
        <w:rPr>
          <w:sz w:val="22"/>
          <w:szCs w:val="22"/>
          <w:lang w:val="pl-PL"/>
        </w:rPr>
        <w:t xml:space="preserve">Rysunek </w:t>
      </w:r>
      <w:r w:rsidRPr="0006362E">
        <w:rPr>
          <w:sz w:val="22"/>
          <w:szCs w:val="22"/>
        </w:rPr>
        <w:fldChar w:fldCharType="begin"/>
      </w:r>
      <w:r w:rsidRPr="0006362E">
        <w:rPr>
          <w:sz w:val="22"/>
          <w:szCs w:val="22"/>
          <w:lang w:val="pl-PL"/>
        </w:rPr>
        <w:instrText xml:space="preserve"> SEQ Rysunek \* ARABIC </w:instrText>
      </w:r>
      <w:r w:rsidRPr="0006362E">
        <w:rPr>
          <w:sz w:val="22"/>
          <w:szCs w:val="22"/>
        </w:rPr>
        <w:fldChar w:fldCharType="separate"/>
      </w:r>
      <w:r w:rsidR="00AD58C3">
        <w:rPr>
          <w:noProof/>
          <w:sz w:val="22"/>
          <w:szCs w:val="22"/>
          <w:lang w:val="pl-PL"/>
        </w:rPr>
        <w:t>13</w:t>
      </w:r>
      <w:r w:rsidRPr="0006362E">
        <w:rPr>
          <w:sz w:val="22"/>
          <w:szCs w:val="22"/>
        </w:rPr>
        <w:fldChar w:fldCharType="end"/>
      </w:r>
      <w:r>
        <w:rPr>
          <w:sz w:val="22"/>
          <w:szCs w:val="22"/>
        </w:rPr>
        <w:t>.</w:t>
      </w:r>
      <w:r w:rsidRPr="0006362E">
        <w:rPr>
          <w:sz w:val="22"/>
          <w:szCs w:val="22"/>
          <w:lang w:val="pl-PL"/>
        </w:rPr>
        <w:t xml:space="preserve"> W-MSSE w Olsztynie</w:t>
      </w:r>
      <w:bookmarkEnd w:id="208"/>
    </w:p>
    <w:p w14:paraId="08B8A272" w14:textId="77777777" w:rsidR="001847BC" w:rsidRDefault="00F00985" w:rsidP="001847BC">
      <w:pPr>
        <w:pStyle w:val="NormalnyWeb"/>
        <w:keepNext/>
        <w:jc w:val="center"/>
      </w:pPr>
      <w:r w:rsidRPr="00F00985">
        <w:rPr>
          <w:rFonts w:eastAsia="Times New Roman"/>
          <w:noProof/>
          <w:lang w:eastAsia="pl-PL"/>
        </w:rPr>
        <w:drawing>
          <wp:inline distT="0" distB="0" distL="0" distR="0" wp14:anchorId="218C4568" wp14:editId="1D4F6D4B">
            <wp:extent cx="5760720" cy="5504815"/>
            <wp:effectExtent l="0" t="0" r="0" b="635"/>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60720" cy="5504815"/>
                    </a:xfrm>
                    <a:prstGeom prst="rect">
                      <a:avLst/>
                    </a:prstGeom>
                  </pic:spPr>
                </pic:pic>
              </a:graphicData>
            </a:graphic>
          </wp:inline>
        </w:drawing>
      </w:r>
    </w:p>
    <w:p w14:paraId="6E79B22F" w14:textId="3610FD1B" w:rsidR="00F00985" w:rsidRPr="00AA5E33" w:rsidRDefault="0006362E" w:rsidP="001847BC">
      <w:pPr>
        <w:pStyle w:val="Legenda"/>
        <w:jc w:val="center"/>
        <w:rPr>
          <w:rFonts w:eastAsia="Times New Roman" w:cs="Times New Roman"/>
          <w:sz w:val="20"/>
          <w:lang w:val="pl-PL" w:eastAsia="pl-PL"/>
        </w:rPr>
      </w:pPr>
      <w:r>
        <w:rPr>
          <w:sz w:val="20"/>
          <w:lang w:val="pl-PL"/>
        </w:rPr>
        <w:t>ź</w:t>
      </w:r>
      <w:r w:rsidR="001847BC" w:rsidRPr="00AA5E33">
        <w:rPr>
          <w:sz w:val="20"/>
          <w:lang w:val="pl-PL"/>
        </w:rPr>
        <w:t>ródło: https://msipmo.olsztyn.eu/imap/</w:t>
      </w:r>
    </w:p>
    <w:p w14:paraId="5995D28C" w14:textId="77777777" w:rsidR="0022618D" w:rsidRPr="00ED4EDD" w:rsidRDefault="0022618D" w:rsidP="00A16A1D">
      <w:pPr>
        <w:pStyle w:val="NormalnyWeb"/>
        <w:jc w:val="both"/>
        <w:rPr>
          <w:rFonts w:asciiTheme="minorHAnsi" w:eastAsia="Times New Roman" w:hAnsiTheme="minorHAnsi"/>
          <w:sz w:val="22"/>
          <w:szCs w:val="22"/>
          <w:lang w:eastAsia="pl-PL"/>
        </w:rPr>
      </w:pPr>
    </w:p>
    <w:p w14:paraId="7E3AE81A" w14:textId="36FA40AB" w:rsidR="00A16A1D" w:rsidRPr="00ED4EDD" w:rsidRDefault="00A67D55" w:rsidP="00A16A1D">
      <w:pPr>
        <w:pStyle w:val="Nagwek3"/>
        <w:rPr>
          <w:sz w:val="22"/>
          <w:szCs w:val="22"/>
        </w:rPr>
      </w:pPr>
      <w:bookmarkStart w:id="209" w:name="_Toc49504785"/>
      <w:bookmarkStart w:id="210" w:name="_Toc73534925"/>
      <w:r>
        <w:rPr>
          <w:sz w:val="22"/>
          <w:szCs w:val="22"/>
        </w:rPr>
        <w:t xml:space="preserve">3.3.3 </w:t>
      </w:r>
      <w:r w:rsidR="00A16A1D" w:rsidRPr="00ED4EDD">
        <w:rPr>
          <w:sz w:val="22"/>
          <w:szCs w:val="22"/>
        </w:rPr>
        <w:t>Klastry</w:t>
      </w:r>
      <w:bookmarkEnd w:id="209"/>
      <w:bookmarkEnd w:id="210"/>
    </w:p>
    <w:p w14:paraId="30806E18" w14:textId="77777777" w:rsidR="006E2750" w:rsidRDefault="00A16A1D" w:rsidP="00A16A1D">
      <w:pPr>
        <w:jc w:val="both"/>
      </w:pPr>
      <w:r w:rsidRPr="00ED4EDD">
        <w:t>Klaster to skoncentrowana przestrzennie grupa przedsiębiorstw, instytucji bądź organizacji pochodzących z tego samego lub pokrewnych sektorów powiązanych ze sobą siecią zależności, konkurujących i współpracujących ze sobą.</w:t>
      </w:r>
      <w:r w:rsidRPr="00ED4EDD">
        <w:rPr>
          <w:rStyle w:val="Odwoanieprzypisudolnego"/>
        </w:rPr>
        <w:footnoteReference w:id="61"/>
      </w:r>
      <w:r w:rsidRPr="00ED4EDD">
        <w:t xml:space="preserve"> W w</w:t>
      </w:r>
      <w:r>
        <w:t>ojewództwie warmińsko-mazurskim</w:t>
      </w:r>
      <w:r w:rsidRPr="00ED4EDD">
        <w:t xml:space="preserve"> funkcjonuje kilka klastrów, z czego cztery mają siedzibę w Olsztynie. Biorąc pod uwagę specjalizacje województwa określone w </w:t>
      </w:r>
      <w:r w:rsidRPr="00286175">
        <w:rPr>
          <w:i/>
        </w:rPr>
        <w:t xml:space="preserve">Strategii rozwoju społeczno-gospodarczego województwa warmińsko-mazurskiego do </w:t>
      </w:r>
      <w:r w:rsidRPr="00286175">
        <w:rPr>
          <w:i/>
        </w:rPr>
        <w:lastRenderedPageBreak/>
        <w:t>roku 2025</w:t>
      </w:r>
      <w:r w:rsidRPr="00ED4EDD">
        <w:t xml:space="preserve"> i kontynuowane w </w:t>
      </w:r>
      <w:r w:rsidRPr="00286175">
        <w:rPr>
          <w:i/>
        </w:rPr>
        <w:t>Strategii Warmińsko-Mazurskie 2030</w:t>
      </w:r>
      <w:r>
        <w:t xml:space="preserve"> (drewno i</w:t>
      </w:r>
      <w:r w:rsidRPr="00ED4EDD">
        <w:t xml:space="preserve"> meblarstwo, żyw</w:t>
      </w:r>
      <w:r w:rsidR="00286175">
        <w:t>ność wysokiej jakości, ekonomia</w:t>
      </w:r>
      <w:r w:rsidRPr="00ED4EDD">
        <w:t xml:space="preserve"> wody), klastry można podzielić zgodnie z ich specyfiką. </w:t>
      </w:r>
    </w:p>
    <w:p w14:paraId="34E71DC4" w14:textId="26DDDB79" w:rsidR="00A16A1D" w:rsidRPr="006E2750" w:rsidRDefault="006E2750" w:rsidP="006E2750">
      <w:pPr>
        <w:pStyle w:val="Legenda"/>
        <w:rPr>
          <w:sz w:val="22"/>
          <w:szCs w:val="22"/>
        </w:rPr>
      </w:pPr>
      <w:bookmarkStart w:id="211" w:name="_Toc73534989"/>
      <w:r w:rsidRPr="006E2750">
        <w:rPr>
          <w:sz w:val="22"/>
          <w:szCs w:val="22"/>
        </w:rPr>
        <w:t xml:space="preserve">Tabela </w:t>
      </w:r>
      <w:r w:rsidRPr="006E2750">
        <w:rPr>
          <w:sz w:val="22"/>
          <w:szCs w:val="22"/>
        </w:rPr>
        <w:fldChar w:fldCharType="begin"/>
      </w:r>
      <w:r w:rsidRPr="006E2750">
        <w:rPr>
          <w:sz w:val="22"/>
          <w:szCs w:val="22"/>
        </w:rPr>
        <w:instrText xml:space="preserve"> SEQ Tabela \* ARABIC </w:instrText>
      </w:r>
      <w:r w:rsidRPr="006E2750">
        <w:rPr>
          <w:sz w:val="22"/>
          <w:szCs w:val="22"/>
        </w:rPr>
        <w:fldChar w:fldCharType="separate"/>
      </w:r>
      <w:r w:rsidR="00AD58C3">
        <w:rPr>
          <w:noProof/>
          <w:sz w:val="22"/>
          <w:szCs w:val="22"/>
        </w:rPr>
        <w:t>26</w:t>
      </w:r>
      <w:r w:rsidRPr="006E2750">
        <w:rPr>
          <w:sz w:val="22"/>
          <w:szCs w:val="22"/>
        </w:rPr>
        <w:fldChar w:fldCharType="end"/>
      </w:r>
      <w:r w:rsidRPr="006E2750">
        <w:rPr>
          <w:sz w:val="22"/>
          <w:szCs w:val="22"/>
        </w:rPr>
        <w:t xml:space="preserve">. </w:t>
      </w:r>
      <w:r w:rsidR="00A16A1D" w:rsidRPr="006E2750">
        <w:rPr>
          <w:sz w:val="22"/>
          <w:szCs w:val="22"/>
        </w:rPr>
        <w:t xml:space="preserve">Wybrane klastry z siedzibą w </w:t>
      </w:r>
      <w:r w:rsidRPr="006E2750">
        <w:rPr>
          <w:sz w:val="22"/>
          <w:szCs w:val="22"/>
        </w:rPr>
        <w:t>Olsztynie</w:t>
      </w:r>
      <w:bookmarkEnd w:id="211"/>
    </w:p>
    <w:tbl>
      <w:tblPr>
        <w:tblStyle w:val="Tabela-Siatka"/>
        <w:tblW w:w="9392" w:type="dxa"/>
        <w:tblLook w:val="04A0" w:firstRow="1" w:lastRow="0" w:firstColumn="1" w:lastColumn="0" w:noHBand="0" w:noVBand="1"/>
      </w:tblPr>
      <w:tblGrid>
        <w:gridCol w:w="1579"/>
        <w:gridCol w:w="5079"/>
        <w:gridCol w:w="1531"/>
        <w:gridCol w:w="1203"/>
      </w:tblGrid>
      <w:tr w:rsidR="00A16A1D" w:rsidRPr="00ED4EDD" w14:paraId="5BAC8EE3" w14:textId="77777777" w:rsidTr="00286175">
        <w:tc>
          <w:tcPr>
            <w:tcW w:w="1579" w:type="dxa"/>
            <w:shd w:val="clear" w:color="auto" w:fill="BDD6EE" w:themeFill="accent1" w:themeFillTint="66"/>
            <w:vAlign w:val="center"/>
          </w:tcPr>
          <w:p w14:paraId="216DA679" w14:textId="77777777" w:rsidR="00A16A1D" w:rsidRPr="00286175" w:rsidRDefault="00A16A1D" w:rsidP="00A16A1D">
            <w:pPr>
              <w:keepNext/>
              <w:spacing w:after="120"/>
              <w:jc w:val="center"/>
              <w:rPr>
                <w:b/>
              </w:rPr>
            </w:pPr>
            <w:r w:rsidRPr="00286175">
              <w:rPr>
                <w:b/>
              </w:rPr>
              <w:t>Nazwa klastra</w:t>
            </w:r>
          </w:p>
        </w:tc>
        <w:tc>
          <w:tcPr>
            <w:tcW w:w="5079" w:type="dxa"/>
            <w:shd w:val="clear" w:color="auto" w:fill="BDD6EE" w:themeFill="accent1" w:themeFillTint="66"/>
            <w:vAlign w:val="center"/>
          </w:tcPr>
          <w:p w14:paraId="06982144" w14:textId="77777777" w:rsidR="00A16A1D" w:rsidRPr="00286175" w:rsidRDefault="00A16A1D" w:rsidP="00A16A1D">
            <w:pPr>
              <w:keepNext/>
              <w:spacing w:after="120"/>
              <w:jc w:val="center"/>
              <w:rPr>
                <w:b/>
              </w:rPr>
            </w:pPr>
            <w:r w:rsidRPr="00286175">
              <w:rPr>
                <w:b/>
              </w:rPr>
              <w:t>Opis działalności</w:t>
            </w:r>
          </w:p>
        </w:tc>
        <w:tc>
          <w:tcPr>
            <w:tcW w:w="1531" w:type="dxa"/>
            <w:shd w:val="clear" w:color="auto" w:fill="BDD6EE" w:themeFill="accent1" w:themeFillTint="66"/>
            <w:vAlign w:val="center"/>
          </w:tcPr>
          <w:p w14:paraId="1540CEC0" w14:textId="77777777" w:rsidR="00A16A1D" w:rsidRPr="00286175" w:rsidRDefault="00A16A1D" w:rsidP="00A16A1D">
            <w:pPr>
              <w:keepNext/>
              <w:spacing w:after="120"/>
              <w:jc w:val="center"/>
              <w:rPr>
                <w:b/>
              </w:rPr>
            </w:pPr>
            <w:r w:rsidRPr="00286175">
              <w:rPr>
                <w:b/>
              </w:rPr>
              <w:t>Specjalizacja</w:t>
            </w:r>
          </w:p>
        </w:tc>
        <w:tc>
          <w:tcPr>
            <w:tcW w:w="1203" w:type="dxa"/>
            <w:shd w:val="clear" w:color="auto" w:fill="BDD6EE" w:themeFill="accent1" w:themeFillTint="66"/>
            <w:vAlign w:val="center"/>
          </w:tcPr>
          <w:p w14:paraId="72485332" w14:textId="77777777" w:rsidR="00A16A1D" w:rsidRPr="00286175" w:rsidRDefault="00286175" w:rsidP="00A16A1D">
            <w:pPr>
              <w:keepNext/>
              <w:spacing w:after="120"/>
              <w:jc w:val="center"/>
              <w:rPr>
                <w:b/>
              </w:rPr>
            </w:pPr>
            <w:r>
              <w:rPr>
                <w:b/>
              </w:rPr>
              <w:t>Lokalizacja</w:t>
            </w:r>
          </w:p>
        </w:tc>
      </w:tr>
      <w:tr w:rsidR="00A16A1D" w:rsidRPr="00ED4EDD" w14:paraId="78508476" w14:textId="77777777" w:rsidTr="00286175">
        <w:tc>
          <w:tcPr>
            <w:tcW w:w="1579" w:type="dxa"/>
            <w:vAlign w:val="center"/>
          </w:tcPr>
          <w:p w14:paraId="05F27FB2" w14:textId="77777777" w:rsidR="00A16A1D" w:rsidRPr="00286175" w:rsidRDefault="00A16A1D" w:rsidP="00A16A1D">
            <w:pPr>
              <w:keepNext/>
              <w:spacing w:after="120"/>
              <w:rPr>
                <w:sz w:val="20"/>
                <w:szCs w:val="20"/>
              </w:rPr>
            </w:pPr>
            <w:r w:rsidRPr="00286175">
              <w:rPr>
                <w:sz w:val="20"/>
                <w:szCs w:val="20"/>
              </w:rPr>
              <w:t>Klaster Mleczarski</w:t>
            </w:r>
          </w:p>
        </w:tc>
        <w:tc>
          <w:tcPr>
            <w:tcW w:w="5079" w:type="dxa"/>
            <w:vAlign w:val="center"/>
          </w:tcPr>
          <w:p w14:paraId="4319925A" w14:textId="77777777" w:rsidR="00A16A1D" w:rsidRPr="00286175" w:rsidRDefault="00A16A1D" w:rsidP="00912B84">
            <w:pPr>
              <w:keepNext/>
              <w:spacing w:after="120"/>
              <w:jc w:val="both"/>
              <w:rPr>
                <w:sz w:val="20"/>
                <w:szCs w:val="20"/>
              </w:rPr>
            </w:pPr>
            <w:r w:rsidRPr="00286175">
              <w:rPr>
                <w:sz w:val="20"/>
                <w:szCs w:val="20"/>
              </w:rPr>
              <w:t>Działalność m.in. w zakresie bezpieczeństwa żywności w procesach jej przetwarzania, pakowania i przechowywania, badanie roli bakterii mlekowych, optymalizacja procesów produkcji sera i preparatów białkowych, kształtowanie jakości produktów spożywczych.</w:t>
            </w:r>
          </w:p>
        </w:tc>
        <w:tc>
          <w:tcPr>
            <w:tcW w:w="1531" w:type="dxa"/>
            <w:vAlign w:val="center"/>
          </w:tcPr>
          <w:p w14:paraId="4710537F" w14:textId="77777777" w:rsidR="00A16A1D" w:rsidRPr="00286175" w:rsidRDefault="00A16A1D" w:rsidP="00A16A1D">
            <w:pPr>
              <w:keepNext/>
              <w:spacing w:after="120"/>
              <w:rPr>
                <w:sz w:val="20"/>
                <w:szCs w:val="20"/>
              </w:rPr>
            </w:pPr>
            <w:r w:rsidRPr="00286175">
              <w:rPr>
                <w:sz w:val="20"/>
                <w:szCs w:val="20"/>
              </w:rPr>
              <w:t xml:space="preserve">Żywność wysokiej jakości </w:t>
            </w:r>
          </w:p>
        </w:tc>
        <w:tc>
          <w:tcPr>
            <w:tcW w:w="1203" w:type="dxa"/>
            <w:vAlign w:val="center"/>
          </w:tcPr>
          <w:p w14:paraId="58600FF1" w14:textId="77777777" w:rsidR="00A16A1D" w:rsidRPr="00286175" w:rsidRDefault="00A16A1D" w:rsidP="00A16A1D">
            <w:pPr>
              <w:keepNext/>
              <w:spacing w:after="120"/>
              <w:jc w:val="both"/>
              <w:rPr>
                <w:sz w:val="20"/>
                <w:szCs w:val="20"/>
              </w:rPr>
            </w:pPr>
            <w:r w:rsidRPr="00286175">
              <w:rPr>
                <w:sz w:val="20"/>
                <w:szCs w:val="20"/>
              </w:rPr>
              <w:t xml:space="preserve">Olsztyn </w:t>
            </w:r>
          </w:p>
        </w:tc>
      </w:tr>
      <w:tr w:rsidR="00A16A1D" w:rsidRPr="00ED4EDD" w14:paraId="7383776D" w14:textId="77777777" w:rsidTr="00286175">
        <w:tc>
          <w:tcPr>
            <w:tcW w:w="1579" w:type="dxa"/>
            <w:vAlign w:val="center"/>
          </w:tcPr>
          <w:p w14:paraId="43F6A2FF" w14:textId="77777777" w:rsidR="00A16A1D" w:rsidRPr="00286175" w:rsidRDefault="00A16A1D" w:rsidP="00A16A1D">
            <w:pPr>
              <w:keepNext/>
              <w:spacing w:after="120"/>
              <w:rPr>
                <w:sz w:val="20"/>
                <w:szCs w:val="20"/>
              </w:rPr>
            </w:pPr>
            <w:r w:rsidRPr="00286175">
              <w:rPr>
                <w:sz w:val="20"/>
                <w:szCs w:val="20"/>
              </w:rPr>
              <w:t>Stowarzyszenie Regionalnych Browarów Polskich</w:t>
            </w:r>
          </w:p>
        </w:tc>
        <w:tc>
          <w:tcPr>
            <w:tcW w:w="5079" w:type="dxa"/>
            <w:vAlign w:val="center"/>
          </w:tcPr>
          <w:p w14:paraId="67D7DB7D" w14:textId="77777777" w:rsidR="00A16A1D" w:rsidRPr="00286175" w:rsidRDefault="00A16A1D" w:rsidP="00A16A1D">
            <w:pPr>
              <w:keepNext/>
              <w:spacing w:after="120"/>
              <w:jc w:val="both"/>
              <w:rPr>
                <w:sz w:val="20"/>
                <w:szCs w:val="20"/>
              </w:rPr>
            </w:pPr>
            <w:r w:rsidRPr="00286175">
              <w:rPr>
                <w:sz w:val="20"/>
                <w:szCs w:val="20"/>
              </w:rPr>
              <w:t>Celem Stowarzyszenia jest m.in. integracja środowiska producentów polskich browarów, reprezentowanie interesów gospodarczych zrzeszonych członków w zakresie ich działalności wytwórczej, handlowej, usługowej, kształtowanie i upowszechnianie zasad etyki w działalności, prowadzenie działalności promocyjnej na rzecz członków oraz pomoc w nawiązywaniu kontaktów gospodarczych.</w:t>
            </w:r>
          </w:p>
        </w:tc>
        <w:tc>
          <w:tcPr>
            <w:tcW w:w="1531" w:type="dxa"/>
            <w:vAlign w:val="center"/>
          </w:tcPr>
          <w:p w14:paraId="5F0C35DB" w14:textId="77777777" w:rsidR="00A16A1D" w:rsidRPr="00286175" w:rsidRDefault="00A16A1D" w:rsidP="00A16A1D">
            <w:pPr>
              <w:keepNext/>
              <w:spacing w:after="120"/>
              <w:rPr>
                <w:sz w:val="20"/>
                <w:szCs w:val="20"/>
              </w:rPr>
            </w:pPr>
            <w:r w:rsidRPr="00286175">
              <w:rPr>
                <w:sz w:val="20"/>
                <w:szCs w:val="20"/>
              </w:rPr>
              <w:t>Ekonomia wody</w:t>
            </w:r>
          </w:p>
        </w:tc>
        <w:tc>
          <w:tcPr>
            <w:tcW w:w="1203" w:type="dxa"/>
            <w:vAlign w:val="center"/>
          </w:tcPr>
          <w:p w14:paraId="727AFE87" w14:textId="77777777" w:rsidR="00A16A1D" w:rsidRPr="00286175" w:rsidRDefault="00A16A1D" w:rsidP="00A16A1D">
            <w:pPr>
              <w:keepNext/>
              <w:spacing w:after="120"/>
              <w:jc w:val="both"/>
              <w:rPr>
                <w:sz w:val="20"/>
                <w:szCs w:val="20"/>
              </w:rPr>
            </w:pPr>
            <w:r w:rsidRPr="00286175">
              <w:rPr>
                <w:sz w:val="20"/>
                <w:szCs w:val="20"/>
              </w:rPr>
              <w:t>Olsztyn</w:t>
            </w:r>
          </w:p>
        </w:tc>
      </w:tr>
      <w:tr w:rsidR="00A16A1D" w:rsidRPr="00ED4EDD" w14:paraId="2FCEF3CA" w14:textId="77777777" w:rsidTr="003B3E20">
        <w:tc>
          <w:tcPr>
            <w:tcW w:w="1579" w:type="dxa"/>
            <w:vAlign w:val="center"/>
          </w:tcPr>
          <w:p w14:paraId="15899081" w14:textId="77777777" w:rsidR="00A16A1D" w:rsidRPr="00286175" w:rsidRDefault="00A16A1D" w:rsidP="00A16A1D">
            <w:pPr>
              <w:keepNext/>
              <w:spacing w:after="120"/>
              <w:rPr>
                <w:sz w:val="20"/>
                <w:szCs w:val="20"/>
              </w:rPr>
            </w:pPr>
            <w:r w:rsidRPr="00286175">
              <w:rPr>
                <w:sz w:val="20"/>
                <w:szCs w:val="20"/>
              </w:rPr>
              <w:t xml:space="preserve">Mazurski Klaster Turystyczny </w:t>
            </w:r>
          </w:p>
        </w:tc>
        <w:tc>
          <w:tcPr>
            <w:tcW w:w="5079" w:type="dxa"/>
            <w:tcBorders>
              <w:bottom w:val="single" w:sz="4" w:space="0" w:color="auto"/>
            </w:tcBorders>
            <w:vAlign w:val="center"/>
          </w:tcPr>
          <w:p w14:paraId="59795ABC" w14:textId="77777777" w:rsidR="00A16A1D" w:rsidRPr="00286175" w:rsidRDefault="00A16A1D" w:rsidP="00A16A1D">
            <w:pPr>
              <w:keepNext/>
              <w:spacing w:after="120"/>
              <w:jc w:val="both"/>
              <w:rPr>
                <w:sz w:val="20"/>
                <w:szCs w:val="20"/>
              </w:rPr>
            </w:pPr>
            <w:r w:rsidRPr="00286175">
              <w:rPr>
                <w:sz w:val="20"/>
                <w:szCs w:val="20"/>
              </w:rPr>
              <w:t>MKT zajmuje się m.in. tworzeniem Grup roboczych, których członkowie są zainteresowani np. promocją na rynku rosyjskim, pozyskiwaniem dla regionu konferencji itd. Członkowie poszczególnych grup systematycznie się spotykają, wymieniają pomysłami, szukają sojuszników. Zgodnie z zasadą uczciwości biznesowej, wzajemnego zaufania oraz wolności decyzji w ramach grupy.</w:t>
            </w:r>
          </w:p>
        </w:tc>
        <w:tc>
          <w:tcPr>
            <w:tcW w:w="1531" w:type="dxa"/>
            <w:tcBorders>
              <w:bottom w:val="single" w:sz="4" w:space="0" w:color="auto"/>
            </w:tcBorders>
            <w:vAlign w:val="center"/>
          </w:tcPr>
          <w:p w14:paraId="1F9ACF24" w14:textId="77777777" w:rsidR="00A16A1D" w:rsidRPr="00286175" w:rsidRDefault="00A16A1D" w:rsidP="00A16A1D">
            <w:pPr>
              <w:keepNext/>
              <w:spacing w:after="120"/>
              <w:rPr>
                <w:sz w:val="20"/>
                <w:szCs w:val="20"/>
              </w:rPr>
            </w:pPr>
            <w:r w:rsidRPr="00286175">
              <w:rPr>
                <w:sz w:val="20"/>
                <w:szCs w:val="20"/>
              </w:rPr>
              <w:t>Ekonomia wody</w:t>
            </w:r>
          </w:p>
        </w:tc>
        <w:tc>
          <w:tcPr>
            <w:tcW w:w="1203" w:type="dxa"/>
            <w:tcBorders>
              <w:bottom w:val="single" w:sz="4" w:space="0" w:color="auto"/>
            </w:tcBorders>
            <w:vAlign w:val="center"/>
          </w:tcPr>
          <w:p w14:paraId="110960B0" w14:textId="77777777" w:rsidR="00A16A1D" w:rsidRPr="00286175" w:rsidRDefault="00A16A1D" w:rsidP="00A16A1D">
            <w:pPr>
              <w:keepNext/>
              <w:spacing w:after="120"/>
              <w:jc w:val="both"/>
              <w:rPr>
                <w:sz w:val="20"/>
                <w:szCs w:val="20"/>
              </w:rPr>
            </w:pPr>
            <w:r w:rsidRPr="00286175">
              <w:rPr>
                <w:sz w:val="20"/>
                <w:szCs w:val="20"/>
              </w:rPr>
              <w:t>Olsztyn</w:t>
            </w:r>
          </w:p>
        </w:tc>
      </w:tr>
      <w:tr w:rsidR="00A16A1D" w:rsidRPr="00ED4EDD" w14:paraId="60C3548A" w14:textId="77777777" w:rsidTr="003B3E20">
        <w:tc>
          <w:tcPr>
            <w:tcW w:w="1579" w:type="dxa"/>
            <w:vAlign w:val="center"/>
          </w:tcPr>
          <w:p w14:paraId="316B5A89" w14:textId="77777777" w:rsidR="00A16A1D" w:rsidRPr="00286175" w:rsidRDefault="00A16A1D" w:rsidP="00A16A1D">
            <w:pPr>
              <w:keepNext/>
              <w:spacing w:after="120"/>
              <w:rPr>
                <w:sz w:val="20"/>
                <w:szCs w:val="20"/>
              </w:rPr>
            </w:pPr>
            <w:r w:rsidRPr="00286175">
              <w:rPr>
                <w:sz w:val="20"/>
                <w:szCs w:val="20"/>
              </w:rPr>
              <w:t>Mazurskie Okna</w:t>
            </w:r>
          </w:p>
        </w:tc>
        <w:tc>
          <w:tcPr>
            <w:tcW w:w="5079" w:type="dxa"/>
            <w:tcBorders>
              <w:bottom w:val="single" w:sz="4" w:space="0" w:color="auto"/>
            </w:tcBorders>
            <w:vAlign w:val="center"/>
          </w:tcPr>
          <w:p w14:paraId="7E7CFE8D" w14:textId="77777777" w:rsidR="00A16A1D" w:rsidRPr="00286175" w:rsidRDefault="00A16A1D" w:rsidP="00A16A1D">
            <w:pPr>
              <w:keepNext/>
              <w:spacing w:after="120"/>
              <w:jc w:val="both"/>
              <w:rPr>
                <w:sz w:val="20"/>
                <w:szCs w:val="20"/>
              </w:rPr>
            </w:pPr>
            <w:r w:rsidRPr="00286175">
              <w:rPr>
                <w:sz w:val="20"/>
                <w:szCs w:val="20"/>
              </w:rPr>
              <w:t>Klaster Mazurskie Okna to przedsiębiorstwa, instytucje otoczenia biznesu oraz jednostki naukowo-badawcze działające w województwie warmińsko-mazurskim oraz północnej części województwa podlaskiego z branży stolarki otworowej lub z nią współpracujące. Są to zarówno podmioty mikro, małe, jak i średnie z branży stolarki otworowej, a więc produkcji okien i drzwi oraz pokrewnych, takich jak: drewno i elementy drewniane, przesłony okienne, parapety, szyby, okucia i elementy metalowe, zabezpieczenia antywłamaniowe, bramy i napędy garażowe.</w:t>
            </w:r>
          </w:p>
        </w:tc>
        <w:tc>
          <w:tcPr>
            <w:tcW w:w="1531" w:type="dxa"/>
            <w:tcBorders>
              <w:bottom w:val="single" w:sz="4" w:space="0" w:color="auto"/>
            </w:tcBorders>
            <w:vAlign w:val="center"/>
          </w:tcPr>
          <w:p w14:paraId="1C3E5DB0" w14:textId="77777777" w:rsidR="00A16A1D" w:rsidRPr="00286175" w:rsidRDefault="00A16A1D" w:rsidP="00A16A1D">
            <w:pPr>
              <w:keepNext/>
              <w:spacing w:after="120"/>
              <w:rPr>
                <w:sz w:val="20"/>
                <w:szCs w:val="20"/>
              </w:rPr>
            </w:pPr>
            <w:r w:rsidRPr="00286175">
              <w:rPr>
                <w:sz w:val="20"/>
                <w:szCs w:val="20"/>
              </w:rPr>
              <w:t>Drewno i meblarstwo</w:t>
            </w:r>
          </w:p>
        </w:tc>
        <w:tc>
          <w:tcPr>
            <w:tcW w:w="1203" w:type="dxa"/>
            <w:tcBorders>
              <w:bottom w:val="single" w:sz="4" w:space="0" w:color="auto"/>
            </w:tcBorders>
            <w:vAlign w:val="center"/>
          </w:tcPr>
          <w:p w14:paraId="1F9CE329" w14:textId="77777777" w:rsidR="00A16A1D" w:rsidRPr="00286175" w:rsidRDefault="00A16A1D" w:rsidP="00A16A1D">
            <w:pPr>
              <w:keepNext/>
              <w:spacing w:after="120"/>
              <w:jc w:val="both"/>
              <w:rPr>
                <w:sz w:val="20"/>
                <w:szCs w:val="20"/>
              </w:rPr>
            </w:pPr>
            <w:r w:rsidRPr="00286175">
              <w:rPr>
                <w:sz w:val="20"/>
                <w:szCs w:val="20"/>
              </w:rPr>
              <w:t>Olsztyn</w:t>
            </w:r>
          </w:p>
        </w:tc>
      </w:tr>
    </w:tbl>
    <w:p w14:paraId="408F1843" w14:textId="77777777" w:rsidR="00A16A1D" w:rsidRPr="00912B84" w:rsidRDefault="00912B84" w:rsidP="00912B84">
      <w:pPr>
        <w:keepNext/>
        <w:spacing w:after="120"/>
        <w:jc w:val="center"/>
        <w:rPr>
          <w:i/>
          <w:sz w:val="20"/>
          <w:szCs w:val="20"/>
        </w:rPr>
      </w:pPr>
      <w:r>
        <w:rPr>
          <w:i/>
          <w:sz w:val="20"/>
          <w:szCs w:val="20"/>
        </w:rPr>
        <w:t>ź</w:t>
      </w:r>
      <w:r w:rsidR="00A16A1D" w:rsidRPr="00912B84">
        <w:rPr>
          <w:i/>
          <w:sz w:val="20"/>
          <w:szCs w:val="20"/>
        </w:rPr>
        <w:t xml:space="preserve">ródło: </w:t>
      </w:r>
      <w:r>
        <w:rPr>
          <w:i/>
          <w:sz w:val="20"/>
          <w:szCs w:val="20"/>
        </w:rPr>
        <w:t>o</w:t>
      </w:r>
      <w:r w:rsidR="00A16A1D" w:rsidRPr="00912B84">
        <w:rPr>
          <w:i/>
          <w:sz w:val="20"/>
          <w:szCs w:val="20"/>
        </w:rPr>
        <w:t>pracowanie własne na podstawie http://ris.warmia.mazury.pl/regionalne-specjalizacje/specjalizacje-w-m/85-inne/161-klastry oraz stron internetowych klastrów</w:t>
      </w:r>
    </w:p>
    <w:p w14:paraId="4CA28BEB" w14:textId="77777777" w:rsidR="00912B84" w:rsidRDefault="00912B84" w:rsidP="00A16A1D">
      <w:pPr>
        <w:keepNext/>
        <w:spacing w:after="120"/>
        <w:jc w:val="both"/>
      </w:pPr>
    </w:p>
    <w:p w14:paraId="12DE9E73" w14:textId="506E9B9F" w:rsidR="00A16A1D" w:rsidRPr="00F063D8" w:rsidRDefault="00A16A1D" w:rsidP="00A16A1D">
      <w:pPr>
        <w:keepNext/>
        <w:spacing w:after="120"/>
        <w:jc w:val="both"/>
      </w:pPr>
      <w:r w:rsidRPr="00F063D8">
        <w:t>W Polsce funkcjonuje wiele związków klastrowych, a jednym z nich jest Związek Pracodawców Klastry Polskie. W jego skład wchodzą klastry zrzeszające podmioty m.in. z województwa warmińsko-mazurskiego, tj.</w:t>
      </w:r>
      <w:r w:rsidR="001F0806">
        <w:t xml:space="preserve"> Klaster Obróbki Metali,</w:t>
      </w:r>
      <w:r w:rsidRPr="00F063D8">
        <w:t xml:space="preserve"> Klaster Mazurskie Okna, Wschodni Klaster Budowlany, Klaster Marek Turystycznych Polski Wschodniej czy Wschodni Okręg Spożywczo-Przemysłowy.</w:t>
      </w:r>
      <w:r w:rsidRPr="00F063D8">
        <w:rPr>
          <w:rStyle w:val="Odwoanieprzypisudolnego"/>
        </w:rPr>
        <w:footnoteReference w:id="62"/>
      </w:r>
    </w:p>
    <w:p w14:paraId="017160B9" w14:textId="50520F52" w:rsidR="00A16A1D" w:rsidRPr="00F063D8" w:rsidRDefault="00A16A1D" w:rsidP="00A16A1D">
      <w:pPr>
        <w:jc w:val="both"/>
      </w:pPr>
      <w:r w:rsidRPr="00F063D8">
        <w:t xml:space="preserve">Celem Wschodniego Klastra Budowlanego jest wsparcie instytucji i przedsiębiorców działających </w:t>
      </w:r>
      <w:r>
        <w:br/>
      </w:r>
      <w:r w:rsidRPr="00F063D8">
        <w:t xml:space="preserve">w obszarze usług budowlanych poprzez stworzenie trwałych ram współpracy, zbudowanie innowacyjnej sieci powiązań opartych na transferze wiedzy, technologii oraz innowacyjnych rozwiązań pomiędzy członkami Klastra, instytucjami otoczenia biznesu, jednostkami naukowo-badawczymi </w:t>
      </w:r>
      <w:r>
        <w:br/>
      </w:r>
      <w:r w:rsidRPr="00F063D8">
        <w:t xml:space="preserve">i instytucjami naukowymi oraz samorządami. Ma to na celu wypracowanie silnej pozycji </w:t>
      </w:r>
      <w:r w:rsidRPr="00F063D8">
        <w:lastRenderedPageBreak/>
        <w:t>konkurencyjnej w sferze usług budowlanych regionu Polsk</w:t>
      </w:r>
      <w:r w:rsidR="00CC1906">
        <w:t xml:space="preserve">i Wschodniej, a w szczególności </w:t>
      </w:r>
      <w:r w:rsidRPr="00F063D8">
        <w:t xml:space="preserve">województwa podlaskiego, warmińsko-mazurskiego oraz lubelskiego. </w:t>
      </w:r>
      <w:r w:rsidRPr="00F063D8">
        <w:rPr>
          <w:rStyle w:val="Odwoanieprzypisudolnego"/>
        </w:rPr>
        <w:footnoteReference w:id="63"/>
      </w:r>
    </w:p>
    <w:p w14:paraId="75983C7F" w14:textId="77777777" w:rsidR="00A16A1D" w:rsidRDefault="00A16A1D" w:rsidP="00A16A1D">
      <w:pPr>
        <w:jc w:val="both"/>
      </w:pPr>
      <w:r w:rsidRPr="00F063D8">
        <w:t>Klaster Marek Turystycznych Polski Wschodniej działa w szeroko rozumianym sektorze turystycznym. Jego działania nastawione są m.i</w:t>
      </w:r>
      <w:r>
        <w:t xml:space="preserve">n. na organizację konferencji, </w:t>
      </w:r>
      <w:r w:rsidRPr="00F063D8">
        <w:t xml:space="preserve">seminariów, misji gospodarczych, wystaw i targów, a także prowadzenie badań naukowych oraz przygotowywanie wniosków </w:t>
      </w:r>
      <w:r>
        <w:br/>
      </w:r>
      <w:r w:rsidRPr="00F063D8">
        <w:t xml:space="preserve">o dofinansowanie projektów rozwojowych, badawczych czy promocyjnych finansowanych m.in. ze środków Unii Europejskiej. Klaster Marek Turystycznych Polski Wschodniej wydaje własne publikacje </w:t>
      </w:r>
      <w:r>
        <w:br/>
      </w:r>
      <w:r w:rsidRPr="00F063D8">
        <w:t>i katalogi promujące działalność zrzeszonych w nim podmiotów.</w:t>
      </w:r>
      <w:r w:rsidRPr="00F063D8">
        <w:rPr>
          <w:rStyle w:val="Odwoanieprzypisudolnego"/>
        </w:rPr>
        <w:footnoteReference w:id="64"/>
      </w:r>
      <w:r w:rsidRPr="00F063D8">
        <w:t xml:space="preserve"> Wśród członków Klastra znajdują się głównie podmioty z Podlasia, ale również z województwa warmińsko-mazurskiego</w:t>
      </w:r>
      <w:r w:rsidR="008961DE">
        <w:t xml:space="preserve">, w tym </w:t>
      </w:r>
      <w:r w:rsidRPr="00F063D8">
        <w:t xml:space="preserve">z obszaru MOF Olsztyna, np. Grupa Anders: Hotel Stare Jabłonki, zlokalizowana w gminie Gietrzwałd. </w:t>
      </w:r>
      <w:r w:rsidRPr="00F063D8">
        <w:rPr>
          <w:rStyle w:val="Odwoanieprzypisudolnego"/>
        </w:rPr>
        <w:footnoteReference w:id="65"/>
      </w:r>
    </w:p>
    <w:p w14:paraId="6C55C32E" w14:textId="77777777" w:rsidR="00A16A1D" w:rsidRPr="00F063D8" w:rsidRDefault="00A16A1D" w:rsidP="00A16A1D">
      <w:pPr>
        <w:jc w:val="both"/>
      </w:pPr>
      <w:r w:rsidRPr="00F063D8">
        <w:t>Wschodni Okręg Spożywczo-Przemysłowy jest inicjatywą skupiającą firmy z branży spożywczej trzech województw Polski Wschodniej: podlaskiego, lubelskiego i warmińsko-mazurskieg</w:t>
      </w:r>
      <w:r>
        <w:t>o. Klaster Spo</w:t>
      </w:r>
      <w:r w:rsidR="008961DE">
        <w:t xml:space="preserve">żywczy </w:t>
      </w:r>
      <w:r>
        <w:t xml:space="preserve">jest </w:t>
      </w:r>
      <w:r w:rsidRPr="00F063D8">
        <w:t>jednym z największych i najbardziej rozpoznawalnych klastrów tego sektora w Polsce, a dzięki wspólnym działaniom</w:t>
      </w:r>
      <w:r w:rsidR="008961DE">
        <w:t xml:space="preserve"> ma wpływ na wzrost konkurencyjności</w:t>
      </w:r>
      <w:r w:rsidRPr="00F063D8">
        <w:t xml:space="preserve"> firm</w:t>
      </w:r>
      <w:r w:rsidR="00B37418">
        <w:t xml:space="preserve"> branży spożywczej</w:t>
      </w:r>
      <w:r w:rsidRPr="00F063D8">
        <w:t xml:space="preserve"> w stosunku do </w:t>
      </w:r>
      <w:r w:rsidR="00B37418">
        <w:t>podmiotów</w:t>
      </w:r>
      <w:r w:rsidRPr="00F063D8">
        <w:t xml:space="preserve"> z inny</w:t>
      </w:r>
      <w:r>
        <w:t xml:space="preserve">ch regionów Unii Europejskiej. </w:t>
      </w:r>
      <w:r w:rsidR="00B37418">
        <w:t>D</w:t>
      </w:r>
      <w:r w:rsidRPr="00F063D8">
        <w:t>ziałania klastra nastawi</w:t>
      </w:r>
      <w:r>
        <w:t xml:space="preserve">one są </w:t>
      </w:r>
      <w:r w:rsidR="00B37418">
        <w:t xml:space="preserve">m.in. </w:t>
      </w:r>
      <w:r>
        <w:t xml:space="preserve">na organizację szkoleń, </w:t>
      </w:r>
      <w:r w:rsidRPr="00F063D8">
        <w:t xml:space="preserve">seminariów, misji gospodarczych, wystaw i targów, a także prowadzenie badań naukowych. </w:t>
      </w:r>
      <w:r w:rsidRPr="00F063D8">
        <w:rPr>
          <w:rStyle w:val="Odwoanieprzypisudolnego"/>
        </w:rPr>
        <w:footnoteReference w:id="66"/>
      </w:r>
      <w:r w:rsidRPr="00F063D8">
        <w:t xml:space="preserve">  </w:t>
      </w:r>
    </w:p>
    <w:p w14:paraId="312DA86F" w14:textId="77777777" w:rsidR="00A16A1D" w:rsidRPr="00ED4EDD" w:rsidRDefault="00A16A1D" w:rsidP="00C52008"/>
    <w:p w14:paraId="3FA37361" w14:textId="040DAA38" w:rsidR="00A16A1D" w:rsidRPr="00ED4EDD" w:rsidRDefault="00A67D55" w:rsidP="00A16A1D">
      <w:pPr>
        <w:pStyle w:val="Nagwek3"/>
        <w:rPr>
          <w:sz w:val="22"/>
          <w:szCs w:val="22"/>
        </w:rPr>
      </w:pPr>
      <w:bookmarkStart w:id="212" w:name="_Toc49504786"/>
      <w:bookmarkStart w:id="213" w:name="_Toc73534926"/>
      <w:r>
        <w:rPr>
          <w:sz w:val="22"/>
          <w:szCs w:val="22"/>
        </w:rPr>
        <w:t xml:space="preserve">3.3.4 </w:t>
      </w:r>
      <w:r w:rsidR="00A16A1D" w:rsidRPr="00ED4EDD">
        <w:rPr>
          <w:sz w:val="22"/>
          <w:szCs w:val="22"/>
        </w:rPr>
        <w:t>Ośrodki innowacji i przedsiębiorczości</w:t>
      </w:r>
      <w:bookmarkEnd w:id="212"/>
      <w:bookmarkEnd w:id="213"/>
    </w:p>
    <w:p w14:paraId="7C8E2DE5" w14:textId="654BD24A" w:rsidR="00A16A1D" w:rsidRDefault="00A16A1D" w:rsidP="00A16A1D">
      <w:pPr>
        <w:jc w:val="both"/>
      </w:pPr>
      <w:r w:rsidRPr="00ED4EDD">
        <w:t>Liczba ośrodków innowacji i przedsiębiorczości w MOF Olsztyna w roku 2017 w porównaniu do roku 2012 zmniejszyła się z 14 ośrodków do 7. Spadek liczby ośrodków o połowę wynika ze zm</w:t>
      </w:r>
      <w:r>
        <w:t>ian związanych zarówno ze sposob</w:t>
      </w:r>
      <w:r w:rsidR="00541266">
        <w:t>em</w:t>
      </w:r>
      <w:r>
        <w:t xml:space="preserve"> finansowania usług dla przedsiębiorców, </w:t>
      </w:r>
      <w:r w:rsidRPr="00ED4EDD">
        <w:t xml:space="preserve">jak również z braku zainteresowania wykorzystaniem potencjału ośrodków przez decydentów na poziomie krajowym </w:t>
      </w:r>
      <w:r>
        <w:br/>
      </w:r>
      <w:r w:rsidRPr="00ED4EDD">
        <w:t xml:space="preserve">i regionalnym. </w:t>
      </w:r>
    </w:p>
    <w:p w14:paraId="1835432F" w14:textId="79BDFE52" w:rsidR="00550701" w:rsidRPr="00550701" w:rsidRDefault="00550701" w:rsidP="00550701">
      <w:pPr>
        <w:pStyle w:val="Legenda"/>
        <w:rPr>
          <w:sz w:val="22"/>
          <w:szCs w:val="22"/>
          <w:lang w:val="pl-PL"/>
        </w:rPr>
      </w:pPr>
      <w:bookmarkStart w:id="214" w:name="_Toc73516132"/>
      <w:r w:rsidRPr="00550701">
        <w:rPr>
          <w:sz w:val="22"/>
          <w:szCs w:val="22"/>
        </w:rPr>
        <w:t xml:space="preserve">Wykres </w:t>
      </w:r>
      <w:r w:rsidRPr="00550701">
        <w:rPr>
          <w:sz w:val="22"/>
          <w:szCs w:val="22"/>
        </w:rPr>
        <w:fldChar w:fldCharType="begin"/>
      </w:r>
      <w:r w:rsidRPr="00550701">
        <w:rPr>
          <w:sz w:val="22"/>
          <w:szCs w:val="22"/>
        </w:rPr>
        <w:instrText xml:space="preserve"> SEQ Wykres \* ARABIC </w:instrText>
      </w:r>
      <w:r w:rsidRPr="00550701">
        <w:rPr>
          <w:sz w:val="22"/>
          <w:szCs w:val="22"/>
        </w:rPr>
        <w:fldChar w:fldCharType="separate"/>
      </w:r>
      <w:r w:rsidR="00AD58C3">
        <w:rPr>
          <w:noProof/>
          <w:sz w:val="22"/>
          <w:szCs w:val="22"/>
        </w:rPr>
        <w:t>70</w:t>
      </w:r>
      <w:r w:rsidRPr="00550701">
        <w:rPr>
          <w:sz w:val="22"/>
          <w:szCs w:val="22"/>
        </w:rPr>
        <w:fldChar w:fldCharType="end"/>
      </w:r>
      <w:r w:rsidRPr="00550701">
        <w:rPr>
          <w:sz w:val="22"/>
          <w:szCs w:val="22"/>
        </w:rPr>
        <w:t xml:space="preserve">. </w:t>
      </w:r>
      <w:r w:rsidRPr="00550701">
        <w:rPr>
          <w:bCs/>
          <w:sz w:val="22"/>
          <w:szCs w:val="22"/>
          <w:lang w:val="en-US"/>
        </w:rPr>
        <w:t>Liczba ośrodków innowacji</w:t>
      </w:r>
      <w:r w:rsidRPr="00550701">
        <w:rPr>
          <w:bCs/>
          <w:sz w:val="22"/>
          <w:szCs w:val="22"/>
          <w:lang w:val="pl-PL"/>
        </w:rPr>
        <w:t xml:space="preserve"> w MOF Olsztyna</w:t>
      </w:r>
      <w:bookmarkEnd w:id="214"/>
      <w:r w:rsidRPr="00550701">
        <w:rPr>
          <w:bCs/>
          <w:sz w:val="22"/>
          <w:szCs w:val="22"/>
          <w:lang w:val="en-US"/>
        </w:rPr>
        <w:t xml:space="preserve"> </w:t>
      </w:r>
    </w:p>
    <w:p w14:paraId="7583AC57" w14:textId="77777777" w:rsidR="00A16A1D" w:rsidRPr="00ED4EDD" w:rsidRDefault="00A16A1D" w:rsidP="00A16A1D">
      <w:pPr>
        <w:spacing w:after="0"/>
        <w:ind w:left="357" w:hanging="357"/>
        <w:jc w:val="center"/>
      </w:pPr>
      <w:r w:rsidRPr="00ED4EDD">
        <w:rPr>
          <w:noProof/>
          <w:lang w:eastAsia="pl-PL"/>
        </w:rPr>
        <w:drawing>
          <wp:inline distT="0" distB="0" distL="0" distR="0" wp14:anchorId="355BE631" wp14:editId="6DB336D0">
            <wp:extent cx="4554747" cy="2277373"/>
            <wp:effectExtent l="0" t="0" r="17780" b="8890"/>
            <wp:docPr id="57" name="Wykres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57777313" w14:textId="7BFDC47A" w:rsidR="00B37418" w:rsidRDefault="00B37418" w:rsidP="00B37418">
      <w:pPr>
        <w:spacing w:after="0" w:line="240" w:lineRule="auto"/>
        <w:jc w:val="center"/>
        <w:rPr>
          <w:i/>
          <w:sz w:val="20"/>
          <w:szCs w:val="20"/>
        </w:rPr>
      </w:pPr>
      <w:r>
        <w:rPr>
          <w:i/>
          <w:sz w:val="20"/>
          <w:szCs w:val="20"/>
        </w:rPr>
        <w:t>ź</w:t>
      </w:r>
      <w:r w:rsidR="00A16A1D" w:rsidRPr="00B37418">
        <w:rPr>
          <w:i/>
          <w:sz w:val="20"/>
          <w:szCs w:val="20"/>
        </w:rPr>
        <w:t>ródło:</w:t>
      </w:r>
      <w:r w:rsidR="00A16A1D" w:rsidRPr="00B37418">
        <w:rPr>
          <w:sz w:val="20"/>
          <w:szCs w:val="20"/>
        </w:rPr>
        <w:t xml:space="preserve"> </w:t>
      </w:r>
      <w:r>
        <w:rPr>
          <w:sz w:val="20"/>
          <w:szCs w:val="20"/>
        </w:rPr>
        <w:t>o</w:t>
      </w:r>
      <w:r w:rsidR="00A16A1D" w:rsidRPr="00B37418">
        <w:rPr>
          <w:i/>
          <w:sz w:val="20"/>
          <w:szCs w:val="20"/>
        </w:rPr>
        <w:t>pracowanie własne na podstawie „Ośrodki innowacji i przedsiębiorczości w Polsce – Raport 2018</w:t>
      </w:r>
      <w:r w:rsidR="0033188B">
        <w:rPr>
          <w:i/>
          <w:sz w:val="20"/>
          <w:szCs w:val="20"/>
        </w:rPr>
        <w:t>”</w:t>
      </w:r>
      <w:r w:rsidR="00A16A1D" w:rsidRPr="00B37418">
        <w:rPr>
          <w:i/>
          <w:sz w:val="20"/>
          <w:szCs w:val="20"/>
        </w:rPr>
        <w:t xml:space="preserve"> </w:t>
      </w:r>
    </w:p>
    <w:p w14:paraId="1B4FE9A3" w14:textId="4427344C" w:rsidR="0022618D" w:rsidRPr="002C6972" w:rsidRDefault="00A16A1D" w:rsidP="002C6972">
      <w:pPr>
        <w:spacing w:after="0" w:line="240" w:lineRule="auto"/>
        <w:jc w:val="center"/>
        <w:rPr>
          <w:sz w:val="20"/>
          <w:szCs w:val="20"/>
        </w:rPr>
      </w:pPr>
      <w:r w:rsidRPr="00B37418">
        <w:rPr>
          <w:i/>
          <w:sz w:val="20"/>
          <w:szCs w:val="20"/>
        </w:rPr>
        <w:t>pod redakcją A</w:t>
      </w:r>
      <w:r w:rsidR="00B37418">
        <w:rPr>
          <w:i/>
          <w:sz w:val="20"/>
          <w:szCs w:val="20"/>
        </w:rPr>
        <w:t>.</w:t>
      </w:r>
      <w:r w:rsidRPr="00B37418">
        <w:rPr>
          <w:i/>
          <w:sz w:val="20"/>
          <w:szCs w:val="20"/>
        </w:rPr>
        <w:t xml:space="preserve"> Bąkowskiego i M. M</w:t>
      </w:r>
      <w:r w:rsidR="00684214">
        <w:rPr>
          <w:i/>
          <w:sz w:val="20"/>
          <w:szCs w:val="20"/>
        </w:rPr>
        <w:t>ażewskiej, Poznań/Warszawa 2018</w:t>
      </w:r>
      <w:bookmarkStart w:id="215" w:name="_Toc49504787"/>
    </w:p>
    <w:p w14:paraId="1F69A7D8" w14:textId="271FB726" w:rsidR="00A16A1D" w:rsidRPr="0087241B" w:rsidRDefault="00A67D55" w:rsidP="0087241B">
      <w:pPr>
        <w:pStyle w:val="Nagwek2"/>
        <w:rPr>
          <w:sz w:val="22"/>
          <w:szCs w:val="22"/>
        </w:rPr>
      </w:pPr>
      <w:bookmarkStart w:id="216" w:name="_Toc73534927"/>
      <w:r w:rsidRPr="0087241B">
        <w:rPr>
          <w:sz w:val="22"/>
          <w:szCs w:val="22"/>
        </w:rPr>
        <w:lastRenderedPageBreak/>
        <w:t xml:space="preserve">3.4 </w:t>
      </w:r>
      <w:r w:rsidR="00A16A1D" w:rsidRPr="0087241B">
        <w:rPr>
          <w:sz w:val="22"/>
          <w:szCs w:val="22"/>
        </w:rPr>
        <w:t>Potencjał akademicko-naukowy</w:t>
      </w:r>
      <w:bookmarkEnd w:id="215"/>
      <w:bookmarkEnd w:id="216"/>
    </w:p>
    <w:p w14:paraId="3358D3B9" w14:textId="594F366C" w:rsidR="00A16A1D" w:rsidRPr="00ED4EDD" w:rsidRDefault="00A67D55" w:rsidP="00A16A1D">
      <w:pPr>
        <w:pStyle w:val="Nagwek3"/>
        <w:rPr>
          <w:sz w:val="22"/>
          <w:szCs w:val="22"/>
        </w:rPr>
      </w:pPr>
      <w:bookmarkStart w:id="217" w:name="_Toc49504788"/>
      <w:bookmarkStart w:id="218" w:name="_Toc73534928"/>
      <w:r>
        <w:rPr>
          <w:sz w:val="22"/>
          <w:szCs w:val="22"/>
        </w:rPr>
        <w:t xml:space="preserve">3.4.1 </w:t>
      </w:r>
      <w:r w:rsidR="00A16A1D" w:rsidRPr="00ED4EDD">
        <w:rPr>
          <w:sz w:val="22"/>
          <w:szCs w:val="22"/>
        </w:rPr>
        <w:t>Liczba studentów</w:t>
      </w:r>
      <w:bookmarkEnd w:id="217"/>
      <w:bookmarkEnd w:id="218"/>
    </w:p>
    <w:p w14:paraId="71BF3A45" w14:textId="569897EB" w:rsidR="00A16A1D" w:rsidRDefault="00A16A1D" w:rsidP="00A16A1D">
      <w:pPr>
        <w:jc w:val="both"/>
      </w:pPr>
      <w:r w:rsidRPr="00ED4EDD">
        <w:t xml:space="preserve">W </w:t>
      </w:r>
      <w:r>
        <w:t>roku akademickim</w:t>
      </w:r>
      <w:r w:rsidRPr="00ED4EDD">
        <w:t xml:space="preserve"> 201</w:t>
      </w:r>
      <w:r w:rsidR="005306AE">
        <w:t>2</w:t>
      </w:r>
      <w:r w:rsidRPr="00ED4EDD">
        <w:t>/201</w:t>
      </w:r>
      <w:r w:rsidR="005306AE">
        <w:t>3</w:t>
      </w:r>
      <w:r w:rsidRPr="00ED4EDD">
        <w:t xml:space="preserve"> </w:t>
      </w:r>
      <w:r w:rsidR="005306AE">
        <w:t xml:space="preserve">na czterech olsztyńskich uczelniach </w:t>
      </w:r>
      <w:r w:rsidRPr="00ED4EDD">
        <w:t>kształciło się 3</w:t>
      </w:r>
      <w:r w:rsidR="005306AE">
        <w:t>1</w:t>
      </w:r>
      <w:r w:rsidRPr="00ED4EDD">
        <w:t xml:space="preserve"> </w:t>
      </w:r>
      <w:r w:rsidR="00E37BD0">
        <w:t xml:space="preserve">tys. </w:t>
      </w:r>
      <w:r w:rsidRPr="00ED4EDD">
        <w:t>studentów. W kolejnych latach widoczny jest znaczny spadek tej liczby. W 201</w:t>
      </w:r>
      <w:r w:rsidR="001861EF">
        <w:t>9</w:t>
      </w:r>
      <w:r w:rsidRPr="00ED4EDD">
        <w:t xml:space="preserve"> roku ogólna liczba </w:t>
      </w:r>
      <w:r w:rsidR="002A5596">
        <w:t>słuchaczy</w:t>
      </w:r>
      <w:r w:rsidRPr="00ED4EDD">
        <w:t xml:space="preserve"> jest </w:t>
      </w:r>
      <w:r w:rsidR="0087241B">
        <w:br/>
      </w:r>
      <w:r w:rsidRPr="00ED4EDD">
        <w:t xml:space="preserve">o </w:t>
      </w:r>
      <w:r w:rsidR="001861EF">
        <w:t>blisko 37%</w:t>
      </w:r>
      <w:r w:rsidRPr="00ED4EDD">
        <w:t xml:space="preserve"> niższa w stosunku do roku 2013</w:t>
      </w:r>
      <w:r w:rsidR="002A5596">
        <w:t xml:space="preserve"> (w 2013 roku – 31</w:t>
      </w:r>
      <w:r w:rsidR="00206773">
        <w:t xml:space="preserve"> </w:t>
      </w:r>
      <w:r w:rsidR="002A5596">
        <w:t>014 studentów oraz w 201</w:t>
      </w:r>
      <w:r w:rsidR="001861EF">
        <w:t>9</w:t>
      </w:r>
      <w:r w:rsidR="002A5596">
        <w:t xml:space="preserve"> roku – </w:t>
      </w:r>
      <w:r w:rsidR="001861EF">
        <w:br/>
        <w:t>19 605</w:t>
      </w:r>
      <w:r w:rsidR="002A5596">
        <w:t xml:space="preserve"> osób)</w:t>
      </w:r>
      <w:r w:rsidRPr="00ED4EDD">
        <w:t xml:space="preserve">. </w:t>
      </w:r>
      <w:r w:rsidR="001861EF">
        <w:t>Zarejestrowany na przestrzeni lat 2013-2019 o</w:t>
      </w:r>
      <w:r w:rsidR="002A5596">
        <w:t xml:space="preserve">dpływ studentów jest charakterystyczny dla </w:t>
      </w:r>
      <w:r w:rsidR="005306AE">
        <w:t>wszys</w:t>
      </w:r>
      <w:r w:rsidR="002A5596">
        <w:t xml:space="preserve">tkich omawianych ośrodków wojewódzkich. </w:t>
      </w:r>
    </w:p>
    <w:p w14:paraId="159B6386" w14:textId="5D7AE8A4" w:rsidR="0087241B" w:rsidRDefault="0087241B" w:rsidP="0087241B">
      <w:pPr>
        <w:pStyle w:val="Legenda"/>
        <w:rPr>
          <w:bCs/>
          <w:sz w:val="22"/>
          <w:szCs w:val="22"/>
          <w:lang w:val="pl-PL"/>
        </w:rPr>
      </w:pPr>
      <w:bookmarkStart w:id="219" w:name="_Toc73516133"/>
      <w:r w:rsidRPr="0087241B">
        <w:rPr>
          <w:sz w:val="22"/>
          <w:szCs w:val="22"/>
        </w:rPr>
        <w:t xml:space="preserve">Wykres </w:t>
      </w:r>
      <w:r w:rsidRPr="0087241B">
        <w:rPr>
          <w:sz w:val="22"/>
          <w:szCs w:val="22"/>
        </w:rPr>
        <w:fldChar w:fldCharType="begin"/>
      </w:r>
      <w:r w:rsidRPr="0087241B">
        <w:rPr>
          <w:sz w:val="22"/>
          <w:szCs w:val="22"/>
        </w:rPr>
        <w:instrText xml:space="preserve"> SEQ Wykres \* ARABIC </w:instrText>
      </w:r>
      <w:r w:rsidRPr="0087241B">
        <w:rPr>
          <w:sz w:val="22"/>
          <w:szCs w:val="22"/>
        </w:rPr>
        <w:fldChar w:fldCharType="separate"/>
      </w:r>
      <w:r w:rsidR="00AD58C3">
        <w:rPr>
          <w:noProof/>
          <w:sz w:val="22"/>
          <w:szCs w:val="22"/>
        </w:rPr>
        <w:t>71</w:t>
      </w:r>
      <w:r w:rsidRPr="0087241B">
        <w:rPr>
          <w:sz w:val="22"/>
          <w:szCs w:val="22"/>
        </w:rPr>
        <w:fldChar w:fldCharType="end"/>
      </w:r>
      <w:r w:rsidRPr="0087241B">
        <w:rPr>
          <w:sz w:val="22"/>
          <w:szCs w:val="22"/>
        </w:rPr>
        <w:t xml:space="preserve">. </w:t>
      </w:r>
      <w:r w:rsidRPr="0087241B">
        <w:rPr>
          <w:bCs/>
          <w:sz w:val="22"/>
          <w:szCs w:val="22"/>
          <w:lang w:val="pl-PL"/>
        </w:rPr>
        <w:t>Studenci w latach 2013-201</w:t>
      </w:r>
      <w:r w:rsidR="001861EF">
        <w:rPr>
          <w:bCs/>
          <w:sz w:val="22"/>
          <w:szCs w:val="22"/>
          <w:lang w:val="pl-PL"/>
        </w:rPr>
        <w:t>9</w:t>
      </w:r>
      <w:bookmarkEnd w:id="219"/>
    </w:p>
    <w:p w14:paraId="654523DD" w14:textId="535E1AFF" w:rsidR="001861EF" w:rsidRDefault="001861EF" w:rsidP="001861EF">
      <w:pPr>
        <w:pStyle w:val="Legenda"/>
        <w:spacing w:before="0" w:after="0" w:line="240" w:lineRule="auto"/>
        <w:rPr>
          <w:bCs/>
          <w:sz w:val="22"/>
          <w:szCs w:val="22"/>
          <w:lang w:val="pl-PL"/>
        </w:rPr>
      </w:pPr>
      <w:r>
        <w:rPr>
          <w:noProof/>
          <w:lang w:val="pl-PL" w:eastAsia="pl-PL"/>
        </w:rPr>
        <w:drawing>
          <wp:inline distT="0" distB="0" distL="0" distR="0" wp14:anchorId="5C3E7BF5" wp14:editId="1EB60A61">
            <wp:extent cx="5760720" cy="2622431"/>
            <wp:effectExtent l="0" t="0" r="11430" b="6985"/>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289B3A0B" w14:textId="77777777" w:rsidR="005306AE" w:rsidRDefault="005306AE" w:rsidP="001861EF">
      <w:pPr>
        <w:spacing w:after="0" w:line="240" w:lineRule="auto"/>
        <w:jc w:val="center"/>
        <w:rPr>
          <w:rFonts w:eastAsiaTheme="majorEastAsia" w:cstheme="majorBidi"/>
          <w:color w:val="2E74B5" w:themeColor="accent1" w:themeShade="BF"/>
          <w:sz w:val="32"/>
          <w:szCs w:val="32"/>
        </w:rPr>
      </w:pPr>
      <w:r w:rsidRPr="0091031D">
        <w:rPr>
          <w:i/>
          <w:sz w:val="20"/>
          <w:szCs w:val="20"/>
        </w:rPr>
        <w:t>źródło: opracowanie własne na podstawie danych GUS</w:t>
      </w:r>
    </w:p>
    <w:p w14:paraId="660E8E50" w14:textId="77777777" w:rsidR="005306AE" w:rsidRPr="00ED4EDD" w:rsidRDefault="005306AE" w:rsidP="00A16A1D">
      <w:pPr>
        <w:jc w:val="both"/>
      </w:pPr>
    </w:p>
    <w:p w14:paraId="36A2B764" w14:textId="20E9BDCB" w:rsidR="00A16A1D" w:rsidRPr="00ED4EDD" w:rsidRDefault="00A67D55" w:rsidP="00A16A1D">
      <w:pPr>
        <w:pStyle w:val="Nagwek3"/>
        <w:rPr>
          <w:sz w:val="22"/>
          <w:szCs w:val="22"/>
        </w:rPr>
      </w:pPr>
      <w:bookmarkStart w:id="220" w:name="_Toc49504789"/>
      <w:bookmarkStart w:id="221" w:name="_Toc73534929"/>
      <w:r>
        <w:rPr>
          <w:sz w:val="22"/>
          <w:szCs w:val="22"/>
        </w:rPr>
        <w:t xml:space="preserve">3.4.2 </w:t>
      </w:r>
      <w:r w:rsidR="00A16A1D" w:rsidRPr="00ED4EDD">
        <w:rPr>
          <w:sz w:val="22"/>
          <w:szCs w:val="22"/>
        </w:rPr>
        <w:t>Pozycja olsztyńskich uczelni w rankingach</w:t>
      </w:r>
      <w:bookmarkEnd w:id="220"/>
      <w:bookmarkEnd w:id="221"/>
    </w:p>
    <w:p w14:paraId="1B6248C7" w14:textId="49AB8504" w:rsidR="00A16A1D" w:rsidRDefault="00A16A1D" w:rsidP="00A16A1D">
      <w:pPr>
        <w:jc w:val="both"/>
      </w:pPr>
      <w:r w:rsidRPr="00ED4EDD">
        <w:t xml:space="preserve">Uniwersytet Warmińsko-Mazurski w Olsztynie w roku 2019 znalazł się na 31 pozycji wśród uczelni akademickich w rankingu przygotowanym przez Wydawnictwo Edukacyjne Perspektywy Press Sp. </w:t>
      </w:r>
      <w:r w:rsidR="0022618D">
        <w:br/>
      </w:r>
      <w:r w:rsidRPr="00ED4EDD">
        <w:t xml:space="preserve">z o.o. </w:t>
      </w:r>
    </w:p>
    <w:p w14:paraId="6867CB56" w14:textId="3CE0DF3E" w:rsidR="00712446" w:rsidRPr="00712446" w:rsidRDefault="00712446" w:rsidP="00712446">
      <w:pPr>
        <w:pStyle w:val="Legenda"/>
        <w:rPr>
          <w:sz w:val="22"/>
          <w:szCs w:val="22"/>
          <w:lang w:val="pl-PL"/>
        </w:rPr>
      </w:pPr>
      <w:bookmarkStart w:id="222" w:name="_Toc73516134"/>
      <w:r w:rsidRPr="00712446">
        <w:rPr>
          <w:sz w:val="22"/>
          <w:szCs w:val="22"/>
        </w:rPr>
        <w:t xml:space="preserve">Wykres </w:t>
      </w:r>
      <w:r w:rsidRPr="00712446">
        <w:rPr>
          <w:sz w:val="22"/>
          <w:szCs w:val="22"/>
        </w:rPr>
        <w:fldChar w:fldCharType="begin"/>
      </w:r>
      <w:r w:rsidRPr="00712446">
        <w:rPr>
          <w:sz w:val="22"/>
          <w:szCs w:val="22"/>
        </w:rPr>
        <w:instrText xml:space="preserve"> SEQ Wykres \* ARABIC </w:instrText>
      </w:r>
      <w:r w:rsidRPr="00712446">
        <w:rPr>
          <w:sz w:val="22"/>
          <w:szCs w:val="22"/>
        </w:rPr>
        <w:fldChar w:fldCharType="separate"/>
      </w:r>
      <w:r w:rsidR="00AD58C3">
        <w:rPr>
          <w:noProof/>
          <w:sz w:val="22"/>
          <w:szCs w:val="22"/>
        </w:rPr>
        <w:t>72</w:t>
      </w:r>
      <w:r w:rsidRPr="00712446">
        <w:rPr>
          <w:sz w:val="22"/>
          <w:szCs w:val="22"/>
        </w:rPr>
        <w:fldChar w:fldCharType="end"/>
      </w:r>
      <w:r w:rsidRPr="00712446">
        <w:rPr>
          <w:sz w:val="22"/>
          <w:szCs w:val="22"/>
        </w:rPr>
        <w:t xml:space="preserve">. </w:t>
      </w:r>
      <w:r w:rsidRPr="00712446">
        <w:rPr>
          <w:bCs/>
          <w:sz w:val="22"/>
          <w:szCs w:val="22"/>
          <w:lang w:val="pl-PL"/>
        </w:rPr>
        <w:t>Pozycja UWM</w:t>
      </w:r>
      <w:r w:rsidRPr="00712446">
        <w:rPr>
          <w:bCs/>
          <w:sz w:val="22"/>
          <w:szCs w:val="22"/>
          <w:lang w:val="en-US"/>
        </w:rPr>
        <w:t xml:space="preserve"> w rankingu</w:t>
      </w:r>
      <w:r w:rsidRPr="00712446">
        <w:rPr>
          <w:bCs/>
          <w:sz w:val="22"/>
          <w:szCs w:val="22"/>
          <w:lang w:val="pl-PL"/>
        </w:rPr>
        <w:t xml:space="preserve"> uczelni akademickich</w:t>
      </w:r>
      <w:bookmarkEnd w:id="222"/>
    </w:p>
    <w:p w14:paraId="248EBEC8" w14:textId="77777777" w:rsidR="00A16A1D" w:rsidRPr="00ED4EDD" w:rsidRDefault="00A16A1D" w:rsidP="00A16A1D">
      <w:pPr>
        <w:jc w:val="center"/>
      </w:pPr>
      <w:r>
        <w:rPr>
          <w:noProof/>
          <w:lang w:eastAsia="pl-PL"/>
        </w:rPr>
        <w:drawing>
          <wp:inline distT="0" distB="0" distL="0" distR="0" wp14:anchorId="2525B3B9" wp14:editId="1FF13E19">
            <wp:extent cx="4476541" cy="1884066"/>
            <wp:effectExtent l="0" t="0" r="635" b="1905"/>
            <wp:docPr id="88" name="Wykres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1339B2E2" w14:textId="77777777" w:rsidR="00A16A1D" w:rsidRPr="00EA556F" w:rsidRDefault="00EA556F" w:rsidP="00EA556F">
      <w:pPr>
        <w:keepNext/>
        <w:spacing w:after="120"/>
        <w:jc w:val="center"/>
        <w:rPr>
          <w:i/>
          <w:sz w:val="20"/>
          <w:szCs w:val="20"/>
        </w:rPr>
      </w:pPr>
      <w:r w:rsidRPr="00EA556F">
        <w:rPr>
          <w:i/>
          <w:sz w:val="20"/>
          <w:szCs w:val="20"/>
        </w:rPr>
        <w:t>ź</w:t>
      </w:r>
      <w:r w:rsidR="00A16A1D" w:rsidRPr="00EA556F">
        <w:rPr>
          <w:i/>
          <w:sz w:val="20"/>
          <w:szCs w:val="20"/>
        </w:rPr>
        <w:t xml:space="preserve">ródło: </w:t>
      </w:r>
      <w:r w:rsidRPr="00EA556F">
        <w:rPr>
          <w:i/>
          <w:sz w:val="20"/>
          <w:szCs w:val="20"/>
        </w:rPr>
        <w:t>o</w:t>
      </w:r>
      <w:r w:rsidR="00A16A1D" w:rsidRPr="00EA556F">
        <w:rPr>
          <w:i/>
          <w:sz w:val="20"/>
          <w:szCs w:val="20"/>
        </w:rPr>
        <w:t>pracowanie własne na podstawie rankingu Wydawnictwa Edukacyjnego Perspektywy Press Sp. z o.o.,</w:t>
      </w:r>
      <w:r w:rsidR="00A16A1D" w:rsidRPr="00EA556F">
        <w:rPr>
          <w:sz w:val="20"/>
          <w:szCs w:val="20"/>
        </w:rPr>
        <w:t xml:space="preserve"> </w:t>
      </w:r>
      <w:hyperlink r:id="rId99" w:history="1">
        <w:r w:rsidR="00A16A1D" w:rsidRPr="00EA556F">
          <w:rPr>
            <w:rStyle w:val="Hipercze"/>
            <w:i/>
            <w:sz w:val="20"/>
            <w:szCs w:val="20"/>
          </w:rPr>
          <w:t>http://ranking.perspektywy.pl/2019/ranking-uczelni-akademickich</w:t>
        </w:r>
      </w:hyperlink>
    </w:p>
    <w:p w14:paraId="279052BB" w14:textId="77777777" w:rsidR="00A16A1D" w:rsidRPr="00ED4EDD" w:rsidRDefault="00A16A1D" w:rsidP="00A16A1D">
      <w:pPr>
        <w:jc w:val="center"/>
      </w:pPr>
    </w:p>
    <w:p w14:paraId="30336032" w14:textId="77777777" w:rsidR="00865248" w:rsidRDefault="00865248" w:rsidP="00A16A1D">
      <w:pPr>
        <w:jc w:val="both"/>
      </w:pPr>
    </w:p>
    <w:p w14:paraId="66C2A679" w14:textId="755668DC" w:rsidR="00A16A1D" w:rsidRDefault="00A16A1D" w:rsidP="00A16A1D">
      <w:pPr>
        <w:jc w:val="both"/>
      </w:pPr>
      <w:r w:rsidRPr="00ED4EDD">
        <w:lastRenderedPageBreak/>
        <w:t>W rankingu według typów uczelni</w:t>
      </w:r>
      <w:r w:rsidR="00865248">
        <w:t>,</w:t>
      </w:r>
      <w:r w:rsidRPr="00ED4EDD">
        <w:t xml:space="preserve"> jako uniwersytet</w:t>
      </w:r>
      <w:r w:rsidR="00865248">
        <w:t xml:space="preserve"> olsztyński ośrodek naukowy (UWM)</w:t>
      </w:r>
      <w:r w:rsidR="00FD461B">
        <w:t>,</w:t>
      </w:r>
      <w:r w:rsidRPr="00ED4EDD">
        <w:t xml:space="preserve"> na 22 pozycje</w:t>
      </w:r>
      <w:r w:rsidR="00FD461B">
        <w:t>,</w:t>
      </w:r>
      <w:r w:rsidRPr="00ED4EDD">
        <w:t xml:space="preserve"> </w:t>
      </w:r>
      <w:r w:rsidR="00865248">
        <w:t>u</w:t>
      </w:r>
      <w:r w:rsidRPr="00ED4EDD">
        <w:t>plas</w:t>
      </w:r>
      <w:r w:rsidR="00865248">
        <w:t xml:space="preserve">ował </w:t>
      </w:r>
      <w:r w:rsidRPr="00ED4EDD">
        <w:t>się na miejscu 9 i utrzymał pozycję z roku 2018. Natomiast w rankingu zgodnie z podziałem na kryteria Uniwersytet Warmińsko-Mazurski w 2019 roku znalazł się na następujących pozycjach wśród 50 uczelni</w:t>
      </w:r>
      <w:r w:rsidRPr="00ED4EDD">
        <w:rPr>
          <w:rStyle w:val="Odwoanieprzypisudolnego"/>
        </w:rPr>
        <w:footnoteReference w:id="67"/>
      </w:r>
      <w:r w:rsidR="00712446">
        <w:t>.</w:t>
      </w:r>
    </w:p>
    <w:p w14:paraId="0033730E" w14:textId="5447B914" w:rsidR="00712446" w:rsidRPr="00712446" w:rsidRDefault="00712446" w:rsidP="00712446">
      <w:pPr>
        <w:pStyle w:val="Legenda"/>
        <w:rPr>
          <w:sz w:val="22"/>
          <w:szCs w:val="22"/>
        </w:rPr>
      </w:pPr>
      <w:bookmarkStart w:id="223" w:name="_Toc73534990"/>
      <w:r w:rsidRPr="00712446">
        <w:rPr>
          <w:sz w:val="22"/>
          <w:szCs w:val="22"/>
        </w:rPr>
        <w:t xml:space="preserve">Tabela </w:t>
      </w:r>
      <w:r w:rsidRPr="00712446">
        <w:rPr>
          <w:sz w:val="22"/>
          <w:szCs w:val="22"/>
        </w:rPr>
        <w:fldChar w:fldCharType="begin"/>
      </w:r>
      <w:r w:rsidRPr="00712446">
        <w:rPr>
          <w:sz w:val="22"/>
          <w:szCs w:val="22"/>
        </w:rPr>
        <w:instrText xml:space="preserve"> SEQ Tabela \* ARABIC </w:instrText>
      </w:r>
      <w:r w:rsidRPr="00712446">
        <w:rPr>
          <w:sz w:val="22"/>
          <w:szCs w:val="22"/>
        </w:rPr>
        <w:fldChar w:fldCharType="separate"/>
      </w:r>
      <w:r w:rsidR="00AD58C3">
        <w:rPr>
          <w:noProof/>
          <w:sz w:val="22"/>
          <w:szCs w:val="22"/>
        </w:rPr>
        <w:t>27</w:t>
      </w:r>
      <w:r w:rsidRPr="00712446">
        <w:rPr>
          <w:sz w:val="22"/>
          <w:szCs w:val="22"/>
        </w:rPr>
        <w:fldChar w:fldCharType="end"/>
      </w:r>
      <w:r w:rsidRPr="00712446">
        <w:rPr>
          <w:sz w:val="22"/>
          <w:szCs w:val="22"/>
        </w:rPr>
        <w:t>. Pozycja UWM w rankingu uczelni wyższych</w:t>
      </w:r>
      <w:bookmarkEnd w:id="223"/>
    </w:p>
    <w:tbl>
      <w:tblPr>
        <w:tblStyle w:val="Tabela-Siatka"/>
        <w:tblW w:w="0" w:type="auto"/>
        <w:jc w:val="center"/>
        <w:tblLook w:val="04A0" w:firstRow="1" w:lastRow="0" w:firstColumn="1" w:lastColumn="0" w:noHBand="0" w:noVBand="1"/>
      </w:tblPr>
      <w:tblGrid>
        <w:gridCol w:w="3516"/>
        <w:gridCol w:w="2919"/>
      </w:tblGrid>
      <w:tr w:rsidR="00A16A1D" w:rsidRPr="00ED4EDD" w14:paraId="11B1738C" w14:textId="77777777" w:rsidTr="00A16A1D">
        <w:trPr>
          <w:jc w:val="center"/>
        </w:trPr>
        <w:tc>
          <w:tcPr>
            <w:tcW w:w="3516" w:type="dxa"/>
          </w:tcPr>
          <w:p w14:paraId="5479684A" w14:textId="77777777" w:rsidR="00A16A1D" w:rsidRPr="00EA556F" w:rsidRDefault="00A16A1D" w:rsidP="00A16A1D">
            <w:pPr>
              <w:jc w:val="center"/>
              <w:rPr>
                <w:b/>
                <w:sz w:val="20"/>
                <w:szCs w:val="20"/>
              </w:rPr>
            </w:pPr>
            <w:r w:rsidRPr="00EA556F">
              <w:rPr>
                <w:b/>
                <w:sz w:val="20"/>
                <w:szCs w:val="20"/>
              </w:rPr>
              <w:t>Kryterium</w:t>
            </w:r>
          </w:p>
        </w:tc>
        <w:tc>
          <w:tcPr>
            <w:tcW w:w="2919" w:type="dxa"/>
          </w:tcPr>
          <w:p w14:paraId="50A2D425" w14:textId="77777777" w:rsidR="00A16A1D" w:rsidRPr="00EA556F" w:rsidRDefault="00A16A1D" w:rsidP="00A16A1D">
            <w:pPr>
              <w:jc w:val="center"/>
              <w:rPr>
                <w:b/>
                <w:sz w:val="20"/>
                <w:szCs w:val="20"/>
              </w:rPr>
            </w:pPr>
            <w:r w:rsidRPr="00EA556F">
              <w:rPr>
                <w:b/>
                <w:sz w:val="20"/>
                <w:szCs w:val="20"/>
              </w:rPr>
              <w:t>Pozycja UWM</w:t>
            </w:r>
          </w:p>
        </w:tc>
      </w:tr>
      <w:tr w:rsidR="00A16A1D" w:rsidRPr="00ED4EDD" w14:paraId="331375C9" w14:textId="77777777" w:rsidTr="00A16A1D">
        <w:trPr>
          <w:jc w:val="center"/>
        </w:trPr>
        <w:tc>
          <w:tcPr>
            <w:tcW w:w="3516" w:type="dxa"/>
          </w:tcPr>
          <w:p w14:paraId="5FAA8F1C" w14:textId="77777777" w:rsidR="00A16A1D" w:rsidRPr="00EA556F" w:rsidRDefault="00A16A1D" w:rsidP="00A16A1D">
            <w:pPr>
              <w:jc w:val="both"/>
              <w:rPr>
                <w:sz w:val="20"/>
                <w:szCs w:val="20"/>
              </w:rPr>
            </w:pPr>
            <w:r w:rsidRPr="00EA556F">
              <w:rPr>
                <w:sz w:val="20"/>
                <w:szCs w:val="20"/>
              </w:rPr>
              <w:t>Prestiż akademicki</w:t>
            </w:r>
          </w:p>
        </w:tc>
        <w:tc>
          <w:tcPr>
            <w:tcW w:w="2919" w:type="dxa"/>
          </w:tcPr>
          <w:p w14:paraId="2D41096D" w14:textId="77777777" w:rsidR="00A16A1D" w:rsidRPr="00EA556F" w:rsidRDefault="00A16A1D" w:rsidP="00A16A1D">
            <w:pPr>
              <w:jc w:val="center"/>
              <w:rPr>
                <w:sz w:val="20"/>
                <w:szCs w:val="20"/>
              </w:rPr>
            </w:pPr>
            <w:r w:rsidRPr="00EA556F">
              <w:rPr>
                <w:sz w:val="20"/>
                <w:szCs w:val="20"/>
              </w:rPr>
              <w:t>23</w:t>
            </w:r>
          </w:p>
        </w:tc>
      </w:tr>
      <w:tr w:rsidR="00A16A1D" w:rsidRPr="00ED4EDD" w14:paraId="7C33A56F" w14:textId="77777777" w:rsidTr="00A16A1D">
        <w:trPr>
          <w:jc w:val="center"/>
        </w:trPr>
        <w:tc>
          <w:tcPr>
            <w:tcW w:w="3516" w:type="dxa"/>
          </w:tcPr>
          <w:p w14:paraId="0C9A7C09" w14:textId="77777777" w:rsidR="00A16A1D" w:rsidRPr="00EA556F" w:rsidRDefault="00A16A1D" w:rsidP="00A16A1D">
            <w:pPr>
              <w:jc w:val="both"/>
              <w:rPr>
                <w:sz w:val="20"/>
                <w:szCs w:val="20"/>
              </w:rPr>
            </w:pPr>
            <w:r w:rsidRPr="00EA556F">
              <w:rPr>
                <w:sz w:val="20"/>
                <w:szCs w:val="20"/>
              </w:rPr>
              <w:t>Opinia kadry</w:t>
            </w:r>
          </w:p>
        </w:tc>
        <w:tc>
          <w:tcPr>
            <w:tcW w:w="2919" w:type="dxa"/>
          </w:tcPr>
          <w:p w14:paraId="1D951AD8" w14:textId="77777777" w:rsidR="00A16A1D" w:rsidRPr="00EA556F" w:rsidRDefault="00A16A1D" w:rsidP="00A16A1D">
            <w:pPr>
              <w:jc w:val="center"/>
              <w:rPr>
                <w:sz w:val="20"/>
                <w:szCs w:val="20"/>
              </w:rPr>
            </w:pPr>
            <w:r w:rsidRPr="00EA556F">
              <w:rPr>
                <w:sz w:val="20"/>
                <w:szCs w:val="20"/>
              </w:rPr>
              <w:t>24</w:t>
            </w:r>
          </w:p>
        </w:tc>
      </w:tr>
      <w:tr w:rsidR="00A16A1D" w:rsidRPr="00ED4EDD" w14:paraId="5CFCC9D5" w14:textId="77777777" w:rsidTr="00A16A1D">
        <w:trPr>
          <w:jc w:val="center"/>
        </w:trPr>
        <w:tc>
          <w:tcPr>
            <w:tcW w:w="3516" w:type="dxa"/>
          </w:tcPr>
          <w:p w14:paraId="645E92C6" w14:textId="77777777" w:rsidR="00A16A1D" w:rsidRPr="00EA556F" w:rsidRDefault="00A16A1D" w:rsidP="00A16A1D">
            <w:pPr>
              <w:jc w:val="both"/>
              <w:rPr>
                <w:sz w:val="20"/>
                <w:szCs w:val="20"/>
              </w:rPr>
            </w:pPr>
            <w:r w:rsidRPr="00EA556F">
              <w:rPr>
                <w:sz w:val="20"/>
                <w:szCs w:val="20"/>
              </w:rPr>
              <w:t>Ekonomiczne losy absolwentów</w:t>
            </w:r>
          </w:p>
        </w:tc>
        <w:tc>
          <w:tcPr>
            <w:tcW w:w="2919" w:type="dxa"/>
          </w:tcPr>
          <w:p w14:paraId="1B31B516" w14:textId="77777777" w:rsidR="00A16A1D" w:rsidRPr="00EA556F" w:rsidRDefault="00A16A1D" w:rsidP="00A16A1D">
            <w:pPr>
              <w:jc w:val="center"/>
              <w:rPr>
                <w:sz w:val="20"/>
                <w:szCs w:val="20"/>
              </w:rPr>
            </w:pPr>
            <w:r w:rsidRPr="00EA556F">
              <w:rPr>
                <w:sz w:val="20"/>
                <w:szCs w:val="20"/>
              </w:rPr>
              <w:t>-</w:t>
            </w:r>
          </w:p>
        </w:tc>
      </w:tr>
      <w:tr w:rsidR="00A16A1D" w:rsidRPr="00ED4EDD" w14:paraId="7CA5E749" w14:textId="77777777" w:rsidTr="00A16A1D">
        <w:trPr>
          <w:jc w:val="center"/>
        </w:trPr>
        <w:tc>
          <w:tcPr>
            <w:tcW w:w="3516" w:type="dxa"/>
          </w:tcPr>
          <w:p w14:paraId="68D7DD19" w14:textId="77777777" w:rsidR="00A16A1D" w:rsidRPr="00EA556F" w:rsidRDefault="00A16A1D" w:rsidP="00A16A1D">
            <w:pPr>
              <w:jc w:val="both"/>
              <w:rPr>
                <w:sz w:val="20"/>
                <w:szCs w:val="20"/>
              </w:rPr>
            </w:pPr>
            <w:r w:rsidRPr="00EA556F">
              <w:rPr>
                <w:sz w:val="20"/>
                <w:szCs w:val="20"/>
              </w:rPr>
              <w:t>Efektywność naukowa</w:t>
            </w:r>
          </w:p>
        </w:tc>
        <w:tc>
          <w:tcPr>
            <w:tcW w:w="2919" w:type="dxa"/>
          </w:tcPr>
          <w:p w14:paraId="3C49F76D" w14:textId="77777777" w:rsidR="00A16A1D" w:rsidRPr="00EA556F" w:rsidRDefault="00A16A1D" w:rsidP="00A16A1D">
            <w:pPr>
              <w:jc w:val="center"/>
              <w:rPr>
                <w:sz w:val="20"/>
                <w:szCs w:val="20"/>
              </w:rPr>
            </w:pPr>
            <w:r w:rsidRPr="00EA556F">
              <w:rPr>
                <w:sz w:val="20"/>
                <w:szCs w:val="20"/>
              </w:rPr>
              <w:t>40</w:t>
            </w:r>
          </w:p>
        </w:tc>
      </w:tr>
      <w:tr w:rsidR="00A16A1D" w:rsidRPr="00ED4EDD" w14:paraId="545D2745" w14:textId="77777777" w:rsidTr="00A16A1D">
        <w:trPr>
          <w:jc w:val="center"/>
        </w:trPr>
        <w:tc>
          <w:tcPr>
            <w:tcW w:w="3516" w:type="dxa"/>
          </w:tcPr>
          <w:p w14:paraId="03A6E1CC" w14:textId="77777777" w:rsidR="00A16A1D" w:rsidRPr="00EA556F" w:rsidRDefault="00A16A1D" w:rsidP="00A16A1D">
            <w:pPr>
              <w:jc w:val="both"/>
              <w:rPr>
                <w:sz w:val="20"/>
                <w:szCs w:val="20"/>
              </w:rPr>
            </w:pPr>
            <w:r w:rsidRPr="00EA556F">
              <w:rPr>
                <w:sz w:val="20"/>
                <w:szCs w:val="20"/>
              </w:rPr>
              <w:t xml:space="preserve">Innowacyjność </w:t>
            </w:r>
          </w:p>
        </w:tc>
        <w:tc>
          <w:tcPr>
            <w:tcW w:w="2919" w:type="dxa"/>
          </w:tcPr>
          <w:p w14:paraId="3430EF68" w14:textId="77777777" w:rsidR="00A16A1D" w:rsidRPr="00EA556F" w:rsidRDefault="00A16A1D" w:rsidP="00A16A1D">
            <w:pPr>
              <w:jc w:val="center"/>
              <w:rPr>
                <w:sz w:val="20"/>
                <w:szCs w:val="20"/>
              </w:rPr>
            </w:pPr>
            <w:r w:rsidRPr="00EA556F">
              <w:rPr>
                <w:sz w:val="20"/>
                <w:szCs w:val="20"/>
              </w:rPr>
              <w:t>42</w:t>
            </w:r>
          </w:p>
        </w:tc>
      </w:tr>
      <w:tr w:rsidR="00A16A1D" w:rsidRPr="00ED4EDD" w14:paraId="014A66B3" w14:textId="77777777" w:rsidTr="00A16A1D">
        <w:trPr>
          <w:jc w:val="center"/>
        </w:trPr>
        <w:tc>
          <w:tcPr>
            <w:tcW w:w="3516" w:type="dxa"/>
          </w:tcPr>
          <w:p w14:paraId="14B86EA4" w14:textId="77777777" w:rsidR="00A16A1D" w:rsidRPr="00EA556F" w:rsidRDefault="00A16A1D" w:rsidP="00A16A1D">
            <w:pPr>
              <w:jc w:val="both"/>
              <w:rPr>
                <w:sz w:val="20"/>
                <w:szCs w:val="20"/>
              </w:rPr>
            </w:pPr>
            <w:r w:rsidRPr="00EA556F">
              <w:rPr>
                <w:sz w:val="20"/>
                <w:szCs w:val="20"/>
              </w:rPr>
              <w:t>Absolwenci na rynku pracy</w:t>
            </w:r>
          </w:p>
        </w:tc>
        <w:tc>
          <w:tcPr>
            <w:tcW w:w="2919" w:type="dxa"/>
          </w:tcPr>
          <w:p w14:paraId="027944A0" w14:textId="77777777" w:rsidR="00A16A1D" w:rsidRPr="00EA556F" w:rsidRDefault="00A16A1D" w:rsidP="00A16A1D">
            <w:pPr>
              <w:jc w:val="center"/>
              <w:rPr>
                <w:sz w:val="20"/>
                <w:szCs w:val="20"/>
              </w:rPr>
            </w:pPr>
            <w:r w:rsidRPr="00EA556F">
              <w:rPr>
                <w:sz w:val="20"/>
                <w:szCs w:val="20"/>
              </w:rPr>
              <w:t>22</w:t>
            </w:r>
          </w:p>
        </w:tc>
      </w:tr>
      <w:tr w:rsidR="00A16A1D" w:rsidRPr="00ED4EDD" w14:paraId="06870030" w14:textId="77777777" w:rsidTr="00A16A1D">
        <w:trPr>
          <w:jc w:val="center"/>
        </w:trPr>
        <w:tc>
          <w:tcPr>
            <w:tcW w:w="3516" w:type="dxa"/>
          </w:tcPr>
          <w:p w14:paraId="1E5299D4" w14:textId="77777777" w:rsidR="00A16A1D" w:rsidRPr="00EA556F" w:rsidRDefault="00A16A1D" w:rsidP="00A16A1D">
            <w:pPr>
              <w:jc w:val="both"/>
              <w:rPr>
                <w:sz w:val="20"/>
                <w:szCs w:val="20"/>
              </w:rPr>
            </w:pPr>
            <w:r w:rsidRPr="00EA556F">
              <w:rPr>
                <w:sz w:val="20"/>
                <w:szCs w:val="20"/>
              </w:rPr>
              <w:t>Preferencje pracodawców</w:t>
            </w:r>
          </w:p>
        </w:tc>
        <w:tc>
          <w:tcPr>
            <w:tcW w:w="2919" w:type="dxa"/>
          </w:tcPr>
          <w:p w14:paraId="61E41859" w14:textId="77777777" w:rsidR="00A16A1D" w:rsidRPr="00EA556F" w:rsidRDefault="00A16A1D" w:rsidP="00A16A1D">
            <w:pPr>
              <w:jc w:val="center"/>
              <w:rPr>
                <w:sz w:val="20"/>
                <w:szCs w:val="20"/>
              </w:rPr>
            </w:pPr>
            <w:r w:rsidRPr="00EA556F">
              <w:rPr>
                <w:sz w:val="20"/>
                <w:szCs w:val="20"/>
              </w:rPr>
              <w:t>21</w:t>
            </w:r>
          </w:p>
        </w:tc>
      </w:tr>
      <w:tr w:rsidR="00A16A1D" w:rsidRPr="00ED4EDD" w14:paraId="725D5880" w14:textId="77777777" w:rsidTr="00A16A1D">
        <w:trPr>
          <w:jc w:val="center"/>
        </w:trPr>
        <w:tc>
          <w:tcPr>
            <w:tcW w:w="3516" w:type="dxa"/>
          </w:tcPr>
          <w:p w14:paraId="041EF82C" w14:textId="77777777" w:rsidR="00A16A1D" w:rsidRPr="00EA556F" w:rsidRDefault="00A16A1D" w:rsidP="00A16A1D">
            <w:pPr>
              <w:jc w:val="both"/>
              <w:rPr>
                <w:sz w:val="20"/>
                <w:szCs w:val="20"/>
              </w:rPr>
            </w:pPr>
            <w:r w:rsidRPr="00EA556F">
              <w:rPr>
                <w:sz w:val="20"/>
                <w:szCs w:val="20"/>
              </w:rPr>
              <w:t>Potencjał naukowy</w:t>
            </w:r>
          </w:p>
        </w:tc>
        <w:tc>
          <w:tcPr>
            <w:tcW w:w="2919" w:type="dxa"/>
          </w:tcPr>
          <w:p w14:paraId="33237572" w14:textId="77777777" w:rsidR="00A16A1D" w:rsidRPr="00EA556F" w:rsidRDefault="00A16A1D" w:rsidP="00A16A1D">
            <w:pPr>
              <w:jc w:val="center"/>
              <w:rPr>
                <w:sz w:val="20"/>
                <w:szCs w:val="20"/>
              </w:rPr>
            </w:pPr>
            <w:r w:rsidRPr="00EA556F">
              <w:rPr>
                <w:sz w:val="20"/>
                <w:szCs w:val="20"/>
              </w:rPr>
              <w:t>37</w:t>
            </w:r>
          </w:p>
        </w:tc>
      </w:tr>
      <w:tr w:rsidR="00A16A1D" w:rsidRPr="00ED4EDD" w14:paraId="0DC9C478" w14:textId="77777777" w:rsidTr="00A16A1D">
        <w:trPr>
          <w:jc w:val="center"/>
        </w:trPr>
        <w:tc>
          <w:tcPr>
            <w:tcW w:w="3516" w:type="dxa"/>
          </w:tcPr>
          <w:p w14:paraId="02190849" w14:textId="77777777" w:rsidR="00A16A1D" w:rsidRPr="00EA556F" w:rsidRDefault="00A16A1D" w:rsidP="00A16A1D">
            <w:pPr>
              <w:jc w:val="both"/>
              <w:rPr>
                <w:sz w:val="20"/>
                <w:szCs w:val="20"/>
              </w:rPr>
            </w:pPr>
            <w:r w:rsidRPr="00EA556F">
              <w:rPr>
                <w:sz w:val="20"/>
                <w:szCs w:val="20"/>
              </w:rPr>
              <w:t xml:space="preserve">Publikacje </w:t>
            </w:r>
          </w:p>
        </w:tc>
        <w:tc>
          <w:tcPr>
            <w:tcW w:w="2919" w:type="dxa"/>
          </w:tcPr>
          <w:p w14:paraId="155F8DA6" w14:textId="77777777" w:rsidR="00A16A1D" w:rsidRPr="00EA556F" w:rsidRDefault="00A16A1D" w:rsidP="00A16A1D">
            <w:pPr>
              <w:jc w:val="center"/>
              <w:rPr>
                <w:sz w:val="20"/>
                <w:szCs w:val="20"/>
              </w:rPr>
            </w:pPr>
            <w:r w:rsidRPr="00EA556F">
              <w:rPr>
                <w:sz w:val="20"/>
                <w:szCs w:val="20"/>
              </w:rPr>
              <w:t>45</w:t>
            </w:r>
          </w:p>
        </w:tc>
      </w:tr>
      <w:tr w:rsidR="00A16A1D" w:rsidRPr="00ED4EDD" w14:paraId="3C4CB16F" w14:textId="77777777" w:rsidTr="00A16A1D">
        <w:trPr>
          <w:jc w:val="center"/>
        </w:trPr>
        <w:tc>
          <w:tcPr>
            <w:tcW w:w="3516" w:type="dxa"/>
          </w:tcPr>
          <w:p w14:paraId="1082EBB1" w14:textId="77777777" w:rsidR="00A16A1D" w:rsidRPr="00EA556F" w:rsidRDefault="00A16A1D" w:rsidP="00A16A1D">
            <w:pPr>
              <w:jc w:val="both"/>
              <w:rPr>
                <w:sz w:val="20"/>
                <w:szCs w:val="20"/>
              </w:rPr>
            </w:pPr>
            <w:r w:rsidRPr="00EA556F">
              <w:rPr>
                <w:sz w:val="20"/>
                <w:szCs w:val="20"/>
              </w:rPr>
              <w:t xml:space="preserve">Umiędzynarodowienie </w:t>
            </w:r>
          </w:p>
        </w:tc>
        <w:tc>
          <w:tcPr>
            <w:tcW w:w="2919" w:type="dxa"/>
          </w:tcPr>
          <w:p w14:paraId="09988C58" w14:textId="77777777" w:rsidR="00A16A1D" w:rsidRPr="00EA556F" w:rsidRDefault="00A16A1D" w:rsidP="00A16A1D">
            <w:pPr>
              <w:jc w:val="center"/>
              <w:rPr>
                <w:sz w:val="20"/>
                <w:szCs w:val="20"/>
              </w:rPr>
            </w:pPr>
            <w:r w:rsidRPr="00EA556F">
              <w:rPr>
                <w:sz w:val="20"/>
                <w:szCs w:val="20"/>
              </w:rPr>
              <w:t>-</w:t>
            </w:r>
          </w:p>
        </w:tc>
      </w:tr>
    </w:tbl>
    <w:p w14:paraId="653FC245" w14:textId="77777777" w:rsidR="00A16A1D" w:rsidRPr="00ED4EDD" w:rsidRDefault="00A16A1D" w:rsidP="00A16A1D"/>
    <w:p w14:paraId="5A0CADD4" w14:textId="1DB05EB5" w:rsidR="00A16A1D" w:rsidRDefault="00A16A1D" w:rsidP="00A16A1D">
      <w:pPr>
        <w:jc w:val="both"/>
      </w:pPr>
      <w:r w:rsidRPr="00ED4EDD">
        <w:t xml:space="preserve">Dane pokazują, że Uniwersytet Warmińsko-Mazurski, który stanowi potencjał naukowy dla Miejskiego Obszaru Funkcjonalnego Olsztyna znajduje się w połowie stawki uczelni wyższych w Polsce w zakresie szczególnie ważnego prestiżu akademickiego oraz preferencji pracodawców. Pozycja Uniwersytetu </w:t>
      </w:r>
      <w:r>
        <w:br/>
      </w:r>
      <w:r w:rsidRPr="00ED4EDD">
        <w:t>w rankingach nie zmieniła się znacząco na przestrzeni ostatniej dekady.</w:t>
      </w:r>
    </w:p>
    <w:p w14:paraId="122E04EC" w14:textId="77777777" w:rsidR="0022618D" w:rsidRPr="00ED4EDD" w:rsidRDefault="0022618D" w:rsidP="00A16A1D">
      <w:pPr>
        <w:jc w:val="both"/>
      </w:pPr>
    </w:p>
    <w:p w14:paraId="337572E9" w14:textId="4FFF6044" w:rsidR="00A16A1D" w:rsidRPr="00ED4EDD" w:rsidRDefault="0022618D" w:rsidP="00A16A1D">
      <w:pPr>
        <w:pStyle w:val="Nagwek3"/>
        <w:rPr>
          <w:sz w:val="22"/>
          <w:szCs w:val="22"/>
        </w:rPr>
      </w:pPr>
      <w:bookmarkStart w:id="224" w:name="_Toc49504790"/>
      <w:bookmarkStart w:id="225" w:name="_Toc73534930"/>
      <w:r>
        <w:rPr>
          <w:sz w:val="22"/>
          <w:szCs w:val="22"/>
        </w:rPr>
        <w:t xml:space="preserve">3.4.3 </w:t>
      </w:r>
      <w:r w:rsidR="00A16A1D" w:rsidRPr="00ED4EDD">
        <w:rPr>
          <w:sz w:val="22"/>
          <w:szCs w:val="22"/>
        </w:rPr>
        <w:t>Kierunki kształcenia w szkołach wyższych</w:t>
      </w:r>
      <w:bookmarkEnd w:id="224"/>
      <w:bookmarkEnd w:id="225"/>
    </w:p>
    <w:p w14:paraId="3BC626C4" w14:textId="6AC795DD" w:rsidR="00A16A1D" w:rsidRPr="00ED4EDD" w:rsidRDefault="003B6C11" w:rsidP="00A16A1D">
      <w:r>
        <w:t xml:space="preserve">Od roku 2019 w </w:t>
      </w:r>
      <w:r w:rsidR="00A16A1D" w:rsidRPr="00ED4EDD">
        <w:t>Olsztynie działa</w:t>
      </w:r>
      <w:r w:rsidR="00865248">
        <w:t xml:space="preserve">ją 3 </w:t>
      </w:r>
      <w:r>
        <w:t>uczelnie</w:t>
      </w:r>
      <w:r w:rsidR="00865248">
        <w:t xml:space="preserve"> </w:t>
      </w:r>
      <w:r w:rsidR="00A16A1D" w:rsidRPr="00ED4EDD">
        <w:t>wyższ</w:t>
      </w:r>
      <w:r w:rsidR="00865248">
        <w:t>e</w:t>
      </w:r>
      <w:r w:rsidR="00A16A1D" w:rsidRPr="00ED4EDD">
        <w:t>:</w:t>
      </w:r>
    </w:p>
    <w:p w14:paraId="3BCA0A0A" w14:textId="77777777" w:rsidR="00A16A1D" w:rsidRPr="00ED4EDD" w:rsidRDefault="00A16A1D" w:rsidP="00A16A1D">
      <w:pPr>
        <w:pStyle w:val="Akapitzlist"/>
        <w:numPr>
          <w:ilvl w:val="0"/>
          <w:numId w:val="4"/>
        </w:numPr>
        <w:jc w:val="both"/>
      </w:pPr>
      <w:r w:rsidRPr="00ED4EDD">
        <w:t>Uniwersytet Warmińsko-Mazurski w Olsztynie;</w:t>
      </w:r>
    </w:p>
    <w:p w14:paraId="50EFFD7F" w14:textId="77777777" w:rsidR="00A16A1D" w:rsidRPr="00ED4EDD" w:rsidRDefault="00A16A1D" w:rsidP="00A16A1D">
      <w:pPr>
        <w:pStyle w:val="Akapitzlist"/>
        <w:numPr>
          <w:ilvl w:val="0"/>
          <w:numId w:val="4"/>
        </w:numPr>
        <w:jc w:val="both"/>
      </w:pPr>
      <w:r w:rsidRPr="00ED4EDD">
        <w:t>Wyższa Szkoła</w:t>
      </w:r>
      <w:r w:rsidR="00565514">
        <w:t xml:space="preserve"> Informatyki i Zarządzania im. p</w:t>
      </w:r>
      <w:r w:rsidRPr="00ED4EDD">
        <w:t>rof. T. Kotarbińskiego w Olsztynie;</w:t>
      </w:r>
    </w:p>
    <w:p w14:paraId="21DCBF24" w14:textId="1A410E6A" w:rsidR="00A16A1D" w:rsidRPr="00ED4EDD" w:rsidRDefault="00A16A1D" w:rsidP="00A16A1D">
      <w:pPr>
        <w:pStyle w:val="Akapitzlist"/>
        <w:numPr>
          <w:ilvl w:val="0"/>
          <w:numId w:val="4"/>
        </w:numPr>
        <w:jc w:val="both"/>
      </w:pPr>
      <w:r w:rsidRPr="00ED4EDD">
        <w:t>Olsztyńska Szkoła Wyższa</w:t>
      </w:r>
      <w:r w:rsidR="003B6C11">
        <w:t>.</w:t>
      </w:r>
    </w:p>
    <w:p w14:paraId="7D48D8E2" w14:textId="08909B20" w:rsidR="003B6C11" w:rsidRDefault="003B6C11" w:rsidP="003B6C11">
      <w:pPr>
        <w:jc w:val="both"/>
      </w:pPr>
      <w:r>
        <w:t>Działalność edukacyjną na poziomie wyższym prowadziły:</w:t>
      </w:r>
    </w:p>
    <w:p w14:paraId="2C9D7EED" w14:textId="49F0ED68" w:rsidR="00A16A1D" w:rsidRPr="00ED4EDD" w:rsidRDefault="00A16A1D" w:rsidP="003B6C11">
      <w:pPr>
        <w:pStyle w:val="Akapitzlist"/>
        <w:numPr>
          <w:ilvl w:val="0"/>
          <w:numId w:val="43"/>
        </w:numPr>
        <w:jc w:val="both"/>
      </w:pPr>
      <w:r w:rsidRPr="00ED4EDD">
        <w:t>Wyższ</w:t>
      </w:r>
      <w:r w:rsidR="003B6C11">
        <w:t>a</w:t>
      </w:r>
      <w:r w:rsidRPr="00ED4EDD">
        <w:t xml:space="preserve"> Szkoł</w:t>
      </w:r>
      <w:r w:rsidR="003B6C11">
        <w:t>a</w:t>
      </w:r>
      <w:r w:rsidRPr="00ED4EDD">
        <w:t xml:space="preserve"> Pedagogiczn</w:t>
      </w:r>
      <w:r w:rsidR="003B6C11">
        <w:t>a</w:t>
      </w:r>
      <w:r w:rsidRPr="00ED4EDD">
        <w:t xml:space="preserve"> im. J. Korczaka w Warszawie Wydział Nauk Humanistyczno-Społecznych w Olsztynie;</w:t>
      </w:r>
    </w:p>
    <w:p w14:paraId="311B2270" w14:textId="77323F3A" w:rsidR="00A16A1D" w:rsidRPr="00ED4EDD" w:rsidRDefault="00A16A1D" w:rsidP="003B6C11">
      <w:pPr>
        <w:pStyle w:val="Akapitzlist"/>
        <w:numPr>
          <w:ilvl w:val="0"/>
          <w:numId w:val="43"/>
        </w:numPr>
        <w:jc w:val="both"/>
      </w:pPr>
      <w:r w:rsidRPr="00ED4EDD">
        <w:t>Gdańska Szkoła Wyższa Wydział Zamiejscowy w Olsztynie.</w:t>
      </w:r>
    </w:p>
    <w:p w14:paraId="39DBEA1F" w14:textId="77777777" w:rsidR="00712446" w:rsidRDefault="00565514" w:rsidP="00A16A1D">
      <w:pPr>
        <w:jc w:val="both"/>
      </w:pPr>
      <w:r>
        <w:t>Największą uczelnią z najwyż</w:t>
      </w:r>
      <w:r w:rsidR="00A16A1D" w:rsidRPr="00ED4EDD">
        <w:t xml:space="preserve">szym potencjałem naukowym jest Uniwersytet Warmińsko-Mazurski </w:t>
      </w:r>
      <w:r w:rsidR="00A16A1D">
        <w:br/>
      </w:r>
      <w:r w:rsidR="00A16A1D" w:rsidRPr="00ED4EDD">
        <w:t xml:space="preserve">w Olsztynie. Kształci też najliczniejsze grono studentów na największej liczbie kierunków. </w:t>
      </w:r>
    </w:p>
    <w:p w14:paraId="79050271" w14:textId="1873D910" w:rsidR="00A16A1D" w:rsidRPr="008B7C99" w:rsidRDefault="00712446" w:rsidP="00712446">
      <w:pPr>
        <w:pStyle w:val="Legenda"/>
        <w:rPr>
          <w:sz w:val="22"/>
          <w:szCs w:val="22"/>
        </w:rPr>
      </w:pPr>
      <w:bookmarkStart w:id="226" w:name="_Toc73534991"/>
      <w:r w:rsidRPr="008B7C99">
        <w:rPr>
          <w:sz w:val="22"/>
          <w:szCs w:val="22"/>
        </w:rPr>
        <w:t xml:space="preserve">Tabela </w:t>
      </w:r>
      <w:r w:rsidRPr="008B7C99">
        <w:rPr>
          <w:sz w:val="22"/>
          <w:szCs w:val="22"/>
        </w:rPr>
        <w:fldChar w:fldCharType="begin"/>
      </w:r>
      <w:r w:rsidRPr="008B7C99">
        <w:rPr>
          <w:sz w:val="22"/>
          <w:szCs w:val="22"/>
        </w:rPr>
        <w:instrText xml:space="preserve"> SEQ Tabela \* ARABIC </w:instrText>
      </w:r>
      <w:r w:rsidRPr="008B7C99">
        <w:rPr>
          <w:sz w:val="22"/>
          <w:szCs w:val="22"/>
        </w:rPr>
        <w:fldChar w:fldCharType="separate"/>
      </w:r>
      <w:r w:rsidR="00AD58C3">
        <w:rPr>
          <w:noProof/>
          <w:sz w:val="22"/>
          <w:szCs w:val="22"/>
        </w:rPr>
        <w:t>28</w:t>
      </w:r>
      <w:r w:rsidRPr="008B7C99">
        <w:rPr>
          <w:sz w:val="22"/>
          <w:szCs w:val="22"/>
        </w:rPr>
        <w:fldChar w:fldCharType="end"/>
      </w:r>
      <w:r w:rsidRPr="008B7C99">
        <w:rPr>
          <w:sz w:val="22"/>
          <w:szCs w:val="22"/>
        </w:rPr>
        <w:t>. W</w:t>
      </w:r>
      <w:r w:rsidR="00A16A1D" w:rsidRPr="008B7C99">
        <w:rPr>
          <w:sz w:val="22"/>
          <w:szCs w:val="22"/>
        </w:rPr>
        <w:t>ydziały i</w:t>
      </w:r>
      <w:r w:rsidRPr="008B7C99">
        <w:rPr>
          <w:sz w:val="22"/>
          <w:szCs w:val="22"/>
        </w:rPr>
        <w:t xml:space="preserve"> główne kierunki studiów na UWM</w:t>
      </w:r>
      <w:bookmarkEnd w:id="226"/>
    </w:p>
    <w:tbl>
      <w:tblPr>
        <w:tblStyle w:val="Tabela-Siatka"/>
        <w:tblW w:w="0" w:type="auto"/>
        <w:tblInd w:w="-5" w:type="dxa"/>
        <w:tblLook w:val="04A0" w:firstRow="1" w:lastRow="0" w:firstColumn="1" w:lastColumn="0" w:noHBand="0" w:noVBand="1"/>
      </w:tblPr>
      <w:tblGrid>
        <w:gridCol w:w="4395"/>
        <w:gridCol w:w="4672"/>
      </w:tblGrid>
      <w:tr w:rsidR="00A16A1D" w:rsidRPr="00ED4EDD" w14:paraId="14644221" w14:textId="77777777" w:rsidTr="00A12C6F">
        <w:tc>
          <w:tcPr>
            <w:tcW w:w="4395" w:type="dxa"/>
            <w:shd w:val="clear" w:color="auto" w:fill="92D050"/>
          </w:tcPr>
          <w:p w14:paraId="503BAE7F" w14:textId="77777777" w:rsidR="00A16A1D" w:rsidRPr="00EA556F" w:rsidRDefault="00A16A1D" w:rsidP="00A16A1D">
            <w:pPr>
              <w:rPr>
                <w:b/>
                <w:sz w:val="20"/>
                <w:szCs w:val="20"/>
              </w:rPr>
            </w:pPr>
            <w:r w:rsidRPr="00EA556F">
              <w:rPr>
                <w:b/>
                <w:sz w:val="20"/>
                <w:szCs w:val="20"/>
              </w:rPr>
              <w:t>Nazwa Wydziału</w:t>
            </w:r>
          </w:p>
        </w:tc>
        <w:tc>
          <w:tcPr>
            <w:tcW w:w="4672" w:type="dxa"/>
            <w:shd w:val="clear" w:color="auto" w:fill="92D050"/>
          </w:tcPr>
          <w:p w14:paraId="1CA22B4F" w14:textId="77777777" w:rsidR="00A16A1D" w:rsidRPr="00EA556F" w:rsidRDefault="00A16A1D" w:rsidP="00A16A1D">
            <w:pPr>
              <w:rPr>
                <w:b/>
                <w:sz w:val="20"/>
                <w:szCs w:val="20"/>
              </w:rPr>
            </w:pPr>
            <w:r w:rsidRPr="00EA556F">
              <w:rPr>
                <w:b/>
                <w:sz w:val="20"/>
                <w:szCs w:val="20"/>
              </w:rPr>
              <w:t>Kierunek studiów</w:t>
            </w:r>
          </w:p>
        </w:tc>
      </w:tr>
      <w:tr w:rsidR="00A16A1D" w:rsidRPr="00ED4EDD" w14:paraId="52A88500" w14:textId="77777777" w:rsidTr="00A12C6F">
        <w:tc>
          <w:tcPr>
            <w:tcW w:w="4395" w:type="dxa"/>
            <w:vMerge w:val="restart"/>
          </w:tcPr>
          <w:p w14:paraId="6549A9F4" w14:textId="77777777" w:rsidR="00A16A1D" w:rsidRPr="00EA556F" w:rsidRDefault="00A16A1D" w:rsidP="00A16A1D">
            <w:pPr>
              <w:rPr>
                <w:sz w:val="20"/>
                <w:szCs w:val="20"/>
              </w:rPr>
            </w:pPr>
            <w:r w:rsidRPr="00EA556F">
              <w:rPr>
                <w:sz w:val="20"/>
                <w:szCs w:val="20"/>
              </w:rPr>
              <w:t>Wydział Bioinżynierii Zwierząt</w:t>
            </w:r>
          </w:p>
        </w:tc>
        <w:tc>
          <w:tcPr>
            <w:tcW w:w="4672" w:type="dxa"/>
          </w:tcPr>
          <w:p w14:paraId="5609D7CC" w14:textId="77777777" w:rsidR="00A16A1D" w:rsidRPr="00EA556F" w:rsidRDefault="00A16A1D" w:rsidP="00A16A1D">
            <w:pPr>
              <w:rPr>
                <w:sz w:val="20"/>
                <w:szCs w:val="20"/>
              </w:rPr>
            </w:pPr>
            <w:r w:rsidRPr="00EA556F">
              <w:rPr>
                <w:sz w:val="20"/>
                <w:szCs w:val="20"/>
              </w:rPr>
              <w:t>Rybactwo</w:t>
            </w:r>
          </w:p>
        </w:tc>
      </w:tr>
      <w:tr w:rsidR="00A16A1D" w:rsidRPr="00ED4EDD" w14:paraId="656E9113" w14:textId="77777777" w:rsidTr="00A12C6F">
        <w:tc>
          <w:tcPr>
            <w:tcW w:w="4395" w:type="dxa"/>
            <w:vMerge/>
          </w:tcPr>
          <w:p w14:paraId="26032D50" w14:textId="77777777" w:rsidR="00A16A1D" w:rsidRPr="00EA556F" w:rsidRDefault="00A16A1D" w:rsidP="00A16A1D">
            <w:pPr>
              <w:rPr>
                <w:sz w:val="20"/>
                <w:szCs w:val="20"/>
              </w:rPr>
            </w:pPr>
          </w:p>
        </w:tc>
        <w:tc>
          <w:tcPr>
            <w:tcW w:w="4672" w:type="dxa"/>
          </w:tcPr>
          <w:p w14:paraId="62EE2782" w14:textId="77777777" w:rsidR="00A16A1D" w:rsidRPr="00EA556F" w:rsidRDefault="00A16A1D" w:rsidP="00A16A1D">
            <w:pPr>
              <w:rPr>
                <w:sz w:val="20"/>
                <w:szCs w:val="20"/>
              </w:rPr>
            </w:pPr>
            <w:r w:rsidRPr="00EA556F">
              <w:rPr>
                <w:sz w:val="20"/>
                <w:szCs w:val="20"/>
              </w:rPr>
              <w:t>Zootechnika</w:t>
            </w:r>
          </w:p>
        </w:tc>
      </w:tr>
      <w:tr w:rsidR="00A16A1D" w:rsidRPr="00ED4EDD" w14:paraId="6C1121F5" w14:textId="77777777" w:rsidTr="00A12C6F">
        <w:tc>
          <w:tcPr>
            <w:tcW w:w="4395" w:type="dxa"/>
            <w:vMerge/>
          </w:tcPr>
          <w:p w14:paraId="5DC0607D" w14:textId="77777777" w:rsidR="00A16A1D" w:rsidRPr="00EA556F" w:rsidRDefault="00A16A1D" w:rsidP="00A16A1D">
            <w:pPr>
              <w:rPr>
                <w:sz w:val="20"/>
                <w:szCs w:val="20"/>
              </w:rPr>
            </w:pPr>
          </w:p>
        </w:tc>
        <w:tc>
          <w:tcPr>
            <w:tcW w:w="4672" w:type="dxa"/>
          </w:tcPr>
          <w:p w14:paraId="38428C67" w14:textId="77777777" w:rsidR="00A16A1D" w:rsidRPr="00EA556F" w:rsidRDefault="00A16A1D" w:rsidP="00A16A1D">
            <w:pPr>
              <w:rPr>
                <w:sz w:val="20"/>
                <w:szCs w:val="20"/>
              </w:rPr>
            </w:pPr>
            <w:r w:rsidRPr="00EA556F">
              <w:rPr>
                <w:sz w:val="20"/>
                <w:szCs w:val="20"/>
              </w:rPr>
              <w:t>Bioinżynieria produkcji żywności</w:t>
            </w:r>
          </w:p>
        </w:tc>
      </w:tr>
      <w:tr w:rsidR="00A16A1D" w:rsidRPr="00ED4EDD" w14:paraId="13EC7CB6" w14:textId="77777777" w:rsidTr="00A12C6F">
        <w:tc>
          <w:tcPr>
            <w:tcW w:w="4395" w:type="dxa"/>
            <w:vMerge/>
          </w:tcPr>
          <w:p w14:paraId="6850AC56" w14:textId="77777777" w:rsidR="00A16A1D" w:rsidRPr="00EA556F" w:rsidRDefault="00A16A1D" w:rsidP="00A16A1D">
            <w:pPr>
              <w:rPr>
                <w:sz w:val="20"/>
                <w:szCs w:val="20"/>
              </w:rPr>
            </w:pPr>
          </w:p>
        </w:tc>
        <w:tc>
          <w:tcPr>
            <w:tcW w:w="4672" w:type="dxa"/>
          </w:tcPr>
          <w:p w14:paraId="79F054A7" w14:textId="77777777" w:rsidR="00A16A1D" w:rsidRPr="00EA556F" w:rsidRDefault="00A16A1D" w:rsidP="00A16A1D">
            <w:pPr>
              <w:rPr>
                <w:sz w:val="20"/>
                <w:szCs w:val="20"/>
              </w:rPr>
            </w:pPr>
            <w:r w:rsidRPr="00EA556F">
              <w:rPr>
                <w:sz w:val="20"/>
                <w:szCs w:val="20"/>
              </w:rPr>
              <w:t>Zwierzęta w rekreacji, edukacji i terapii</w:t>
            </w:r>
          </w:p>
        </w:tc>
      </w:tr>
      <w:tr w:rsidR="00A16A1D" w:rsidRPr="00ED4EDD" w14:paraId="5D4CC790" w14:textId="77777777" w:rsidTr="00A12C6F">
        <w:tc>
          <w:tcPr>
            <w:tcW w:w="4395" w:type="dxa"/>
            <w:vMerge w:val="restart"/>
          </w:tcPr>
          <w:p w14:paraId="72791746" w14:textId="77777777" w:rsidR="00A16A1D" w:rsidRPr="00EA556F" w:rsidRDefault="00A16A1D" w:rsidP="00A16A1D">
            <w:pPr>
              <w:rPr>
                <w:sz w:val="20"/>
                <w:szCs w:val="20"/>
              </w:rPr>
            </w:pPr>
            <w:r w:rsidRPr="00EA556F">
              <w:rPr>
                <w:sz w:val="20"/>
                <w:szCs w:val="20"/>
              </w:rPr>
              <w:t>Wydział Biologii i Biotechnologii</w:t>
            </w:r>
          </w:p>
        </w:tc>
        <w:tc>
          <w:tcPr>
            <w:tcW w:w="4672" w:type="dxa"/>
          </w:tcPr>
          <w:p w14:paraId="2A7ECB5F" w14:textId="77777777" w:rsidR="00A16A1D" w:rsidRPr="00EA556F" w:rsidRDefault="00A16A1D" w:rsidP="00A16A1D">
            <w:pPr>
              <w:rPr>
                <w:sz w:val="20"/>
                <w:szCs w:val="20"/>
              </w:rPr>
            </w:pPr>
            <w:r w:rsidRPr="00EA556F">
              <w:rPr>
                <w:sz w:val="20"/>
                <w:szCs w:val="20"/>
              </w:rPr>
              <w:t>Biologia</w:t>
            </w:r>
          </w:p>
        </w:tc>
      </w:tr>
      <w:tr w:rsidR="00A16A1D" w:rsidRPr="00ED4EDD" w14:paraId="61B0110C" w14:textId="77777777" w:rsidTr="00A12C6F">
        <w:tc>
          <w:tcPr>
            <w:tcW w:w="4395" w:type="dxa"/>
            <w:vMerge/>
          </w:tcPr>
          <w:p w14:paraId="6590C729" w14:textId="77777777" w:rsidR="00A16A1D" w:rsidRPr="00EA556F" w:rsidRDefault="00A16A1D" w:rsidP="00A16A1D">
            <w:pPr>
              <w:rPr>
                <w:sz w:val="20"/>
                <w:szCs w:val="20"/>
              </w:rPr>
            </w:pPr>
          </w:p>
        </w:tc>
        <w:tc>
          <w:tcPr>
            <w:tcW w:w="4672" w:type="dxa"/>
          </w:tcPr>
          <w:p w14:paraId="7E3566A7" w14:textId="77777777" w:rsidR="00A16A1D" w:rsidRPr="00EA556F" w:rsidRDefault="00A16A1D" w:rsidP="00A16A1D">
            <w:pPr>
              <w:rPr>
                <w:sz w:val="20"/>
                <w:szCs w:val="20"/>
              </w:rPr>
            </w:pPr>
            <w:r w:rsidRPr="00EA556F">
              <w:rPr>
                <w:sz w:val="20"/>
                <w:szCs w:val="20"/>
              </w:rPr>
              <w:t>Biotechnologia</w:t>
            </w:r>
          </w:p>
        </w:tc>
      </w:tr>
      <w:tr w:rsidR="00A16A1D" w:rsidRPr="00ED4EDD" w14:paraId="4E84E19D" w14:textId="77777777" w:rsidTr="00A12C6F">
        <w:tc>
          <w:tcPr>
            <w:tcW w:w="4395" w:type="dxa"/>
            <w:vMerge/>
          </w:tcPr>
          <w:p w14:paraId="3A8AE748" w14:textId="77777777" w:rsidR="00A16A1D" w:rsidRPr="00EA556F" w:rsidRDefault="00A16A1D" w:rsidP="00A16A1D">
            <w:pPr>
              <w:rPr>
                <w:sz w:val="20"/>
                <w:szCs w:val="20"/>
              </w:rPr>
            </w:pPr>
          </w:p>
        </w:tc>
        <w:tc>
          <w:tcPr>
            <w:tcW w:w="4672" w:type="dxa"/>
          </w:tcPr>
          <w:p w14:paraId="7DD77A89" w14:textId="77777777" w:rsidR="00A16A1D" w:rsidRPr="00EA556F" w:rsidRDefault="00A16A1D" w:rsidP="00A16A1D">
            <w:pPr>
              <w:rPr>
                <w:sz w:val="20"/>
                <w:szCs w:val="20"/>
              </w:rPr>
            </w:pPr>
            <w:r w:rsidRPr="00EA556F">
              <w:rPr>
                <w:sz w:val="20"/>
                <w:szCs w:val="20"/>
              </w:rPr>
              <w:t>Mikrobiologia</w:t>
            </w:r>
          </w:p>
        </w:tc>
      </w:tr>
      <w:tr w:rsidR="00A16A1D" w:rsidRPr="00ED4EDD" w14:paraId="3BF96409" w14:textId="77777777" w:rsidTr="00A12C6F">
        <w:tc>
          <w:tcPr>
            <w:tcW w:w="4395" w:type="dxa"/>
            <w:vMerge w:val="restart"/>
          </w:tcPr>
          <w:p w14:paraId="5AD02A03" w14:textId="77777777" w:rsidR="00A16A1D" w:rsidRPr="00EA556F" w:rsidRDefault="00A16A1D" w:rsidP="00A16A1D">
            <w:pPr>
              <w:rPr>
                <w:sz w:val="20"/>
                <w:szCs w:val="20"/>
              </w:rPr>
            </w:pPr>
            <w:r w:rsidRPr="00EA556F">
              <w:rPr>
                <w:sz w:val="20"/>
                <w:szCs w:val="20"/>
              </w:rPr>
              <w:lastRenderedPageBreak/>
              <w:t>Wydział Geoinżynierii</w:t>
            </w:r>
          </w:p>
        </w:tc>
        <w:tc>
          <w:tcPr>
            <w:tcW w:w="4672" w:type="dxa"/>
          </w:tcPr>
          <w:p w14:paraId="7EE89718" w14:textId="77777777" w:rsidR="00A16A1D" w:rsidRPr="00EA556F" w:rsidRDefault="00A16A1D" w:rsidP="00A16A1D">
            <w:pPr>
              <w:rPr>
                <w:sz w:val="20"/>
                <w:szCs w:val="20"/>
              </w:rPr>
            </w:pPr>
            <w:r w:rsidRPr="00EA556F">
              <w:rPr>
                <w:sz w:val="20"/>
                <w:szCs w:val="20"/>
              </w:rPr>
              <w:t>Budownictwo</w:t>
            </w:r>
          </w:p>
        </w:tc>
      </w:tr>
      <w:tr w:rsidR="00A16A1D" w:rsidRPr="00ED4EDD" w14:paraId="3334DE1D" w14:textId="77777777" w:rsidTr="00A12C6F">
        <w:tc>
          <w:tcPr>
            <w:tcW w:w="4395" w:type="dxa"/>
            <w:vMerge/>
          </w:tcPr>
          <w:p w14:paraId="697F91E5" w14:textId="77777777" w:rsidR="00A16A1D" w:rsidRPr="00EA556F" w:rsidRDefault="00A16A1D" w:rsidP="00A16A1D">
            <w:pPr>
              <w:rPr>
                <w:sz w:val="20"/>
                <w:szCs w:val="20"/>
              </w:rPr>
            </w:pPr>
          </w:p>
        </w:tc>
        <w:tc>
          <w:tcPr>
            <w:tcW w:w="4672" w:type="dxa"/>
          </w:tcPr>
          <w:p w14:paraId="5E0CFC38" w14:textId="77777777" w:rsidR="00A16A1D" w:rsidRPr="00EA556F" w:rsidRDefault="00A16A1D" w:rsidP="00A16A1D">
            <w:pPr>
              <w:rPr>
                <w:sz w:val="20"/>
                <w:szCs w:val="20"/>
              </w:rPr>
            </w:pPr>
            <w:r w:rsidRPr="00EA556F">
              <w:rPr>
                <w:sz w:val="20"/>
                <w:szCs w:val="20"/>
              </w:rPr>
              <w:t>Geodezja i kartografia</w:t>
            </w:r>
          </w:p>
        </w:tc>
      </w:tr>
      <w:tr w:rsidR="00A16A1D" w:rsidRPr="00ED4EDD" w14:paraId="5A323C74" w14:textId="77777777" w:rsidTr="00A12C6F">
        <w:tc>
          <w:tcPr>
            <w:tcW w:w="4395" w:type="dxa"/>
            <w:vMerge/>
          </w:tcPr>
          <w:p w14:paraId="0E39DC59" w14:textId="77777777" w:rsidR="00A16A1D" w:rsidRPr="00EA556F" w:rsidRDefault="00A16A1D" w:rsidP="00A16A1D">
            <w:pPr>
              <w:rPr>
                <w:sz w:val="20"/>
                <w:szCs w:val="20"/>
              </w:rPr>
            </w:pPr>
          </w:p>
        </w:tc>
        <w:tc>
          <w:tcPr>
            <w:tcW w:w="4672" w:type="dxa"/>
          </w:tcPr>
          <w:p w14:paraId="5CC705B1" w14:textId="77777777" w:rsidR="00A16A1D" w:rsidRPr="00EA556F" w:rsidRDefault="00A16A1D" w:rsidP="00A16A1D">
            <w:pPr>
              <w:rPr>
                <w:sz w:val="20"/>
                <w:szCs w:val="20"/>
              </w:rPr>
            </w:pPr>
            <w:r w:rsidRPr="00EA556F">
              <w:rPr>
                <w:sz w:val="20"/>
                <w:szCs w:val="20"/>
              </w:rPr>
              <w:t>Gospodarka przestrzenna</w:t>
            </w:r>
          </w:p>
        </w:tc>
      </w:tr>
      <w:tr w:rsidR="00A16A1D" w:rsidRPr="00ED4EDD" w14:paraId="723B9FEB" w14:textId="77777777" w:rsidTr="00A12C6F">
        <w:tc>
          <w:tcPr>
            <w:tcW w:w="4395" w:type="dxa"/>
            <w:vMerge/>
          </w:tcPr>
          <w:p w14:paraId="54461039" w14:textId="77777777" w:rsidR="00A16A1D" w:rsidRPr="00EA556F" w:rsidRDefault="00A16A1D" w:rsidP="00A16A1D">
            <w:pPr>
              <w:rPr>
                <w:sz w:val="20"/>
                <w:szCs w:val="20"/>
              </w:rPr>
            </w:pPr>
          </w:p>
        </w:tc>
        <w:tc>
          <w:tcPr>
            <w:tcW w:w="4672" w:type="dxa"/>
          </w:tcPr>
          <w:p w14:paraId="1EE92BA2" w14:textId="77777777" w:rsidR="00A16A1D" w:rsidRPr="00EA556F" w:rsidRDefault="00A16A1D" w:rsidP="00A16A1D">
            <w:pPr>
              <w:rPr>
                <w:sz w:val="20"/>
                <w:szCs w:val="20"/>
              </w:rPr>
            </w:pPr>
            <w:r w:rsidRPr="00EA556F">
              <w:rPr>
                <w:sz w:val="20"/>
                <w:szCs w:val="20"/>
              </w:rPr>
              <w:t>Inżynieria informacji</w:t>
            </w:r>
          </w:p>
        </w:tc>
      </w:tr>
      <w:tr w:rsidR="00A16A1D" w:rsidRPr="00ED4EDD" w14:paraId="139E2BE7" w14:textId="77777777" w:rsidTr="00A12C6F">
        <w:tc>
          <w:tcPr>
            <w:tcW w:w="4395" w:type="dxa"/>
            <w:vMerge/>
          </w:tcPr>
          <w:p w14:paraId="7472F1CE" w14:textId="77777777" w:rsidR="00A16A1D" w:rsidRPr="00EA556F" w:rsidRDefault="00A16A1D" w:rsidP="00A16A1D">
            <w:pPr>
              <w:rPr>
                <w:sz w:val="20"/>
                <w:szCs w:val="20"/>
              </w:rPr>
            </w:pPr>
          </w:p>
        </w:tc>
        <w:tc>
          <w:tcPr>
            <w:tcW w:w="4672" w:type="dxa"/>
          </w:tcPr>
          <w:p w14:paraId="78B35A5A" w14:textId="77777777" w:rsidR="00A16A1D" w:rsidRPr="00EA556F" w:rsidRDefault="00A16A1D" w:rsidP="00A16A1D">
            <w:pPr>
              <w:rPr>
                <w:sz w:val="20"/>
                <w:szCs w:val="20"/>
              </w:rPr>
            </w:pPr>
            <w:r w:rsidRPr="00EA556F">
              <w:rPr>
                <w:sz w:val="20"/>
                <w:szCs w:val="20"/>
              </w:rPr>
              <w:t>Inżynieria środowiska</w:t>
            </w:r>
          </w:p>
        </w:tc>
      </w:tr>
      <w:tr w:rsidR="00A16A1D" w:rsidRPr="00ED4EDD" w14:paraId="26D3B7E0" w14:textId="77777777" w:rsidTr="00A12C6F">
        <w:tc>
          <w:tcPr>
            <w:tcW w:w="4395" w:type="dxa"/>
            <w:vMerge/>
          </w:tcPr>
          <w:p w14:paraId="3607047A" w14:textId="77777777" w:rsidR="00A16A1D" w:rsidRPr="00EA556F" w:rsidRDefault="00A16A1D" w:rsidP="00A16A1D">
            <w:pPr>
              <w:rPr>
                <w:sz w:val="20"/>
                <w:szCs w:val="20"/>
              </w:rPr>
            </w:pPr>
          </w:p>
        </w:tc>
        <w:tc>
          <w:tcPr>
            <w:tcW w:w="4672" w:type="dxa"/>
          </w:tcPr>
          <w:p w14:paraId="464381B4" w14:textId="77777777" w:rsidR="00A16A1D" w:rsidRPr="00EA556F" w:rsidRDefault="00A16A1D" w:rsidP="00A16A1D">
            <w:pPr>
              <w:rPr>
                <w:sz w:val="20"/>
                <w:szCs w:val="20"/>
              </w:rPr>
            </w:pPr>
            <w:r w:rsidRPr="00EA556F">
              <w:rPr>
                <w:sz w:val="20"/>
                <w:szCs w:val="20"/>
              </w:rPr>
              <w:t>Turystyka i rekreacja</w:t>
            </w:r>
          </w:p>
        </w:tc>
      </w:tr>
      <w:tr w:rsidR="00A16A1D" w:rsidRPr="00ED4EDD" w14:paraId="4F06B96F" w14:textId="77777777" w:rsidTr="00A12C6F">
        <w:tc>
          <w:tcPr>
            <w:tcW w:w="4395" w:type="dxa"/>
            <w:vMerge w:val="restart"/>
          </w:tcPr>
          <w:p w14:paraId="2341CBEB" w14:textId="77777777" w:rsidR="00A16A1D" w:rsidRPr="00EA556F" w:rsidRDefault="00A16A1D" w:rsidP="00A16A1D">
            <w:pPr>
              <w:rPr>
                <w:sz w:val="20"/>
                <w:szCs w:val="20"/>
              </w:rPr>
            </w:pPr>
            <w:r w:rsidRPr="00EA556F">
              <w:rPr>
                <w:sz w:val="20"/>
                <w:szCs w:val="20"/>
              </w:rPr>
              <w:t>Wydział Humanistyczny</w:t>
            </w:r>
          </w:p>
        </w:tc>
        <w:tc>
          <w:tcPr>
            <w:tcW w:w="4672" w:type="dxa"/>
          </w:tcPr>
          <w:p w14:paraId="2E38AB0C" w14:textId="77777777" w:rsidR="00A16A1D" w:rsidRPr="00EA556F" w:rsidRDefault="00A16A1D" w:rsidP="00A16A1D">
            <w:pPr>
              <w:rPr>
                <w:sz w:val="20"/>
                <w:szCs w:val="20"/>
              </w:rPr>
            </w:pPr>
            <w:r w:rsidRPr="00EA556F">
              <w:rPr>
                <w:sz w:val="20"/>
                <w:szCs w:val="20"/>
              </w:rPr>
              <w:t>Analiza i kreowanie trendów</w:t>
            </w:r>
          </w:p>
        </w:tc>
      </w:tr>
      <w:tr w:rsidR="00A16A1D" w:rsidRPr="00ED4EDD" w14:paraId="129ABDC4" w14:textId="77777777" w:rsidTr="00A12C6F">
        <w:tc>
          <w:tcPr>
            <w:tcW w:w="4395" w:type="dxa"/>
            <w:vMerge/>
          </w:tcPr>
          <w:p w14:paraId="5004BB81" w14:textId="77777777" w:rsidR="00A16A1D" w:rsidRPr="00EA556F" w:rsidRDefault="00A16A1D" w:rsidP="00A16A1D">
            <w:pPr>
              <w:rPr>
                <w:sz w:val="20"/>
                <w:szCs w:val="20"/>
              </w:rPr>
            </w:pPr>
          </w:p>
        </w:tc>
        <w:tc>
          <w:tcPr>
            <w:tcW w:w="4672" w:type="dxa"/>
          </w:tcPr>
          <w:p w14:paraId="609A1815" w14:textId="77777777" w:rsidR="00A16A1D" w:rsidRPr="00EA556F" w:rsidRDefault="00A16A1D" w:rsidP="00A16A1D">
            <w:pPr>
              <w:rPr>
                <w:sz w:val="20"/>
                <w:szCs w:val="20"/>
              </w:rPr>
            </w:pPr>
            <w:r w:rsidRPr="00EA556F">
              <w:rPr>
                <w:sz w:val="20"/>
                <w:szCs w:val="20"/>
              </w:rPr>
              <w:t>Dziedzictwo kulturowe i przyrodnicze</w:t>
            </w:r>
          </w:p>
        </w:tc>
      </w:tr>
      <w:tr w:rsidR="00A16A1D" w:rsidRPr="00ED4EDD" w14:paraId="7F7AE1F9" w14:textId="77777777" w:rsidTr="00A12C6F">
        <w:tc>
          <w:tcPr>
            <w:tcW w:w="4395" w:type="dxa"/>
            <w:vMerge/>
          </w:tcPr>
          <w:p w14:paraId="556EBD67" w14:textId="77777777" w:rsidR="00A16A1D" w:rsidRPr="00EA556F" w:rsidRDefault="00A16A1D" w:rsidP="00A16A1D">
            <w:pPr>
              <w:rPr>
                <w:sz w:val="20"/>
                <w:szCs w:val="20"/>
              </w:rPr>
            </w:pPr>
          </w:p>
        </w:tc>
        <w:tc>
          <w:tcPr>
            <w:tcW w:w="4672" w:type="dxa"/>
          </w:tcPr>
          <w:p w14:paraId="1464F0E9" w14:textId="77777777" w:rsidR="00A16A1D" w:rsidRPr="00EA556F" w:rsidRDefault="00A16A1D" w:rsidP="00A16A1D">
            <w:pPr>
              <w:rPr>
                <w:sz w:val="20"/>
                <w:szCs w:val="20"/>
              </w:rPr>
            </w:pPr>
            <w:r w:rsidRPr="00EA556F">
              <w:rPr>
                <w:sz w:val="20"/>
                <w:szCs w:val="20"/>
              </w:rPr>
              <w:t>Dziennikarstwo i komunikacja społeczna</w:t>
            </w:r>
          </w:p>
        </w:tc>
      </w:tr>
      <w:tr w:rsidR="00A16A1D" w:rsidRPr="00ED4EDD" w14:paraId="062A5FD0" w14:textId="77777777" w:rsidTr="00A12C6F">
        <w:tc>
          <w:tcPr>
            <w:tcW w:w="4395" w:type="dxa"/>
            <w:vMerge/>
          </w:tcPr>
          <w:p w14:paraId="283C0AAA" w14:textId="77777777" w:rsidR="00A16A1D" w:rsidRPr="00EA556F" w:rsidRDefault="00A16A1D" w:rsidP="00A16A1D">
            <w:pPr>
              <w:rPr>
                <w:sz w:val="20"/>
                <w:szCs w:val="20"/>
              </w:rPr>
            </w:pPr>
          </w:p>
        </w:tc>
        <w:tc>
          <w:tcPr>
            <w:tcW w:w="4672" w:type="dxa"/>
          </w:tcPr>
          <w:p w14:paraId="2271E351" w14:textId="77777777" w:rsidR="00A16A1D" w:rsidRPr="00EA556F" w:rsidRDefault="00A16A1D" w:rsidP="00A16A1D">
            <w:pPr>
              <w:rPr>
                <w:sz w:val="20"/>
                <w:szCs w:val="20"/>
              </w:rPr>
            </w:pPr>
            <w:r w:rsidRPr="00EA556F">
              <w:rPr>
                <w:sz w:val="20"/>
                <w:szCs w:val="20"/>
              </w:rPr>
              <w:t>Filologia (angielska, germańska, rosyjska)</w:t>
            </w:r>
          </w:p>
        </w:tc>
      </w:tr>
      <w:tr w:rsidR="00A16A1D" w:rsidRPr="00ED4EDD" w14:paraId="1F811993" w14:textId="77777777" w:rsidTr="00A12C6F">
        <w:tc>
          <w:tcPr>
            <w:tcW w:w="4395" w:type="dxa"/>
            <w:vMerge/>
          </w:tcPr>
          <w:p w14:paraId="22AA69AF" w14:textId="77777777" w:rsidR="00A16A1D" w:rsidRPr="00EA556F" w:rsidRDefault="00A16A1D" w:rsidP="00A16A1D">
            <w:pPr>
              <w:rPr>
                <w:sz w:val="20"/>
                <w:szCs w:val="20"/>
              </w:rPr>
            </w:pPr>
          </w:p>
        </w:tc>
        <w:tc>
          <w:tcPr>
            <w:tcW w:w="4672" w:type="dxa"/>
          </w:tcPr>
          <w:p w14:paraId="7EA51E1C" w14:textId="77777777" w:rsidR="00A16A1D" w:rsidRPr="00EA556F" w:rsidRDefault="00A16A1D" w:rsidP="00A16A1D">
            <w:pPr>
              <w:rPr>
                <w:sz w:val="20"/>
                <w:szCs w:val="20"/>
              </w:rPr>
            </w:pPr>
            <w:r w:rsidRPr="00EA556F">
              <w:rPr>
                <w:sz w:val="20"/>
                <w:szCs w:val="20"/>
              </w:rPr>
              <w:t>Filologia polska</w:t>
            </w:r>
          </w:p>
        </w:tc>
      </w:tr>
      <w:tr w:rsidR="00A16A1D" w:rsidRPr="00ED4EDD" w14:paraId="08E9229D" w14:textId="77777777" w:rsidTr="00A12C6F">
        <w:tc>
          <w:tcPr>
            <w:tcW w:w="4395" w:type="dxa"/>
            <w:vMerge/>
          </w:tcPr>
          <w:p w14:paraId="36BEEA8E" w14:textId="77777777" w:rsidR="00A16A1D" w:rsidRPr="00EA556F" w:rsidRDefault="00A16A1D" w:rsidP="00A16A1D">
            <w:pPr>
              <w:rPr>
                <w:sz w:val="20"/>
                <w:szCs w:val="20"/>
              </w:rPr>
            </w:pPr>
          </w:p>
        </w:tc>
        <w:tc>
          <w:tcPr>
            <w:tcW w:w="4672" w:type="dxa"/>
          </w:tcPr>
          <w:p w14:paraId="55390E5F" w14:textId="77777777" w:rsidR="00A16A1D" w:rsidRPr="00EA556F" w:rsidRDefault="00A16A1D" w:rsidP="00A16A1D">
            <w:pPr>
              <w:rPr>
                <w:sz w:val="20"/>
                <w:szCs w:val="20"/>
              </w:rPr>
            </w:pPr>
            <w:r w:rsidRPr="00EA556F">
              <w:rPr>
                <w:sz w:val="20"/>
                <w:szCs w:val="20"/>
              </w:rPr>
              <w:t xml:space="preserve">Filozofia </w:t>
            </w:r>
          </w:p>
        </w:tc>
      </w:tr>
      <w:tr w:rsidR="00A16A1D" w:rsidRPr="00ED4EDD" w14:paraId="46CEAF13" w14:textId="77777777" w:rsidTr="00A12C6F">
        <w:tc>
          <w:tcPr>
            <w:tcW w:w="4395" w:type="dxa"/>
            <w:vMerge/>
          </w:tcPr>
          <w:p w14:paraId="72E19B2D" w14:textId="77777777" w:rsidR="00A16A1D" w:rsidRPr="00EA556F" w:rsidRDefault="00A16A1D" w:rsidP="00A16A1D">
            <w:pPr>
              <w:rPr>
                <w:sz w:val="20"/>
                <w:szCs w:val="20"/>
              </w:rPr>
            </w:pPr>
          </w:p>
        </w:tc>
        <w:tc>
          <w:tcPr>
            <w:tcW w:w="4672" w:type="dxa"/>
          </w:tcPr>
          <w:p w14:paraId="540B0BC0" w14:textId="77777777" w:rsidR="00A16A1D" w:rsidRPr="00EA556F" w:rsidRDefault="00A16A1D" w:rsidP="00A16A1D">
            <w:pPr>
              <w:rPr>
                <w:sz w:val="20"/>
                <w:szCs w:val="20"/>
              </w:rPr>
            </w:pPr>
            <w:r w:rsidRPr="00EA556F">
              <w:rPr>
                <w:sz w:val="20"/>
                <w:szCs w:val="20"/>
              </w:rPr>
              <w:t xml:space="preserve">Historia </w:t>
            </w:r>
          </w:p>
        </w:tc>
      </w:tr>
      <w:tr w:rsidR="00A16A1D" w:rsidRPr="00ED4EDD" w14:paraId="44263929" w14:textId="77777777" w:rsidTr="00A12C6F">
        <w:tc>
          <w:tcPr>
            <w:tcW w:w="4395" w:type="dxa"/>
            <w:vMerge/>
          </w:tcPr>
          <w:p w14:paraId="021F3C14" w14:textId="77777777" w:rsidR="00A16A1D" w:rsidRPr="00EA556F" w:rsidRDefault="00A16A1D" w:rsidP="00A16A1D">
            <w:pPr>
              <w:rPr>
                <w:sz w:val="20"/>
                <w:szCs w:val="20"/>
              </w:rPr>
            </w:pPr>
          </w:p>
        </w:tc>
        <w:tc>
          <w:tcPr>
            <w:tcW w:w="4672" w:type="dxa"/>
          </w:tcPr>
          <w:p w14:paraId="03508C62" w14:textId="77777777" w:rsidR="00A16A1D" w:rsidRPr="00EA556F" w:rsidRDefault="00A16A1D" w:rsidP="00A16A1D">
            <w:pPr>
              <w:rPr>
                <w:sz w:val="20"/>
                <w:szCs w:val="20"/>
              </w:rPr>
            </w:pPr>
            <w:r w:rsidRPr="00EA556F">
              <w:rPr>
                <w:sz w:val="20"/>
                <w:szCs w:val="20"/>
              </w:rPr>
              <w:t>Lingwistyka w biznesie</w:t>
            </w:r>
          </w:p>
        </w:tc>
      </w:tr>
      <w:tr w:rsidR="00A16A1D" w:rsidRPr="00ED4EDD" w14:paraId="2CAF62D0" w14:textId="77777777" w:rsidTr="00A12C6F">
        <w:tc>
          <w:tcPr>
            <w:tcW w:w="4395" w:type="dxa"/>
            <w:vMerge/>
          </w:tcPr>
          <w:p w14:paraId="096BB528" w14:textId="77777777" w:rsidR="00A16A1D" w:rsidRPr="00EA556F" w:rsidRDefault="00A16A1D" w:rsidP="00A16A1D">
            <w:pPr>
              <w:rPr>
                <w:sz w:val="20"/>
                <w:szCs w:val="20"/>
              </w:rPr>
            </w:pPr>
          </w:p>
        </w:tc>
        <w:tc>
          <w:tcPr>
            <w:tcW w:w="4672" w:type="dxa"/>
          </w:tcPr>
          <w:p w14:paraId="04117482" w14:textId="77777777" w:rsidR="00A16A1D" w:rsidRPr="00EA556F" w:rsidRDefault="00A16A1D" w:rsidP="00A16A1D">
            <w:pPr>
              <w:rPr>
                <w:sz w:val="20"/>
                <w:szCs w:val="20"/>
              </w:rPr>
            </w:pPr>
            <w:r w:rsidRPr="00EA556F">
              <w:rPr>
                <w:sz w:val="20"/>
                <w:szCs w:val="20"/>
              </w:rPr>
              <w:t xml:space="preserve">Logopedia </w:t>
            </w:r>
          </w:p>
        </w:tc>
      </w:tr>
      <w:tr w:rsidR="00A16A1D" w:rsidRPr="00ED4EDD" w14:paraId="0DA9D4B7" w14:textId="77777777" w:rsidTr="00A12C6F">
        <w:tc>
          <w:tcPr>
            <w:tcW w:w="4395" w:type="dxa"/>
            <w:vMerge/>
          </w:tcPr>
          <w:p w14:paraId="5F6E9941" w14:textId="77777777" w:rsidR="00A16A1D" w:rsidRPr="00EA556F" w:rsidRDefault="00A16A1D" w:rsidP="00A16A1D">
            <w:pPr>
              <w:rPr>
                <w:sz w:val="20"/>
                <w:szCs w:val="20"/>
              </w:rPr>
            </w:pPr>
          </w:p>
        </w:tc>
        <w:tc>
          <w:tcPr>
            <w:tcW w:w="4672" w:type="dxa"/>
          </w:tcPr>
          <w:p w14:paraId="30FA4EB2" w14:textId="77777777" w:rsidR="00A16A1D" w:rsidRPr="00EA556F" w:rsidRDefault="00A16A1D" w:rsidP="00A16A1D">
            <w:pPr>
              <w:rPr>
                <w:sz w:val="20"/>
                <w:szCs w:val="20"/>
              </w:rPr>
            </w:pPr>
            <w:r w:rsidRPr="00EA556F">
              <w:rPr>
                <w:sz w:val="20"/>
                <w:szCs w:val="20"/>
              </w:rPr>
              <w:t>Stosunki międzynarodowe</w:t>
            </w:r>
          </w:p>
        </w:tc>
      </w:tr>
      <w:tr w:rsidR="00A16A1D" w:rsidRPr="00ED4EDD" w14:paraId="4215BD08" w14:textId="77777777" w:rsidTr="00A12C6F">
        <w:tc>
          <w:tcPr>
            <w:tcW w:w="4395" w:type="dxa"/>
            <w:vMerge/>
          </w:tcPr>
          <w:p w14:paraId="47521FFC" w14:textId="77777777" w:rsidR="00A16A1D" w:rsidRPr="00EA556F" w:rsidRDefault="00A16A1D" w:rsidP="00A16A1D">
            <w:pPr>
              <w:rPr>
                <w:sz w:val="20"/>
                <w:szCs w:val="20"/>
              </w:rPr>
            </w:pPr>
          </w:p>
        </w:tc>
        <w:tc>
          <w:tcPr>
            <w:tcW w:w="4672" w:type="dxa"/>
          </w:tcPr>
          <w:p w14:paraId="34A1E688" w14:textId="77777777" w:rsidR="00A16A1D" w:rsidRPr="00EA556F" w:rsidRDefault="00A16A1D" w:rsidP="00A16A1D">
            <w:pPr>
              <w:rPr>
                <w:sz w:val="20"/>
                <w:szCs w:val="20"/>
              </w:rPr>
            </w:pPr>
            <w:r w:rsidRPr="00EA556F">
              <w:rPr>
                <w:sz w:val="20"/>
                <w:szCs w:val="20"/>
              </w:rPr>
              <w:t xml:space="preserve">Wojskoznawstwo </w:t>
            </w:r>
          </w:p>
        </w:tc>
      </w:tr>
      <w:tr w:rsidR="00A16A1D" w:rsidRPr="00ED4EDD" w14:paraId="5F2950C7" w14:textId="77777777" w:rsidTr="00A12C6F">
        <w:tc>
          <w:tcPr>
            <w:tcW w:w="4395" w:type="dxa"/>
            <w:vMerge w:val="restart"/>
          </w:tcPr>
          <w:p w14:paraId="5701BCA3" w14:textId="77777777" w:rsidR="00A16A1D" w:rsidRPr="00EA556F" w:rsidRDefault="00A16A1D" w:rsidP="00A16A1D">
            <w:pPr>
              <w:rPr>
                <w:sz w:val="20"/>
                <w:szCs w:val="20"/>
              </w:rPr>
            </w:pPr>
            <w:r w:rsidRPr="00EA556F">
              <w:rPr>
                <w:sz w:val="20"/>
                <w:szCs w:val="20"/>
              </w:rPr>
              <w:t>Wydział Kształtowania Środowiska i Rolnictwa</w:t>
            </w:r>
          </w:p>
        </w:tc>
        <w:tc>
          <w:tcPr>
            <w:tcW w:w="4672" w:type="dxa"/>
          </w:tcPr>
          <w:p w14:paraId="78AEA628" w14:textId="77777777" w:rsidR="00A16A1D" w:rsidRPr="00EA556F" w:rsidRDefault="00A16A1D" w:rsidP="00A16A1D">
            <w:pPr>
              <w:rPr>
                <w:sz w:val="20"/>
                <w:szCs w:val="20"/>
              </w:rPr>
            </w:pPr>
            <w:r w:rsidRPr="00EA556F">
              <w:rPr>
                <w:sz w:val="20"/>
                <w:szCs w:val="20"/>
              </w:rPr>
              <w:t xml:space="preserve">Rolnictwo </w:t>
            </w:r>
          </w:p>
        </w:tc>
      </w:tr>
      <w:tr w:rsidR="00A16A1D" w:rsidRPr="00ED4EDD" w14:paraId="2541F01D" w14:textId="77777777" w:rsidTr="00A12C6F">
        <w:tc>
          <w:tcPr>
            <w:tcW w:w="4395" w:type="dxa"/>
            <w:vMerge/>
          </w:tcPr>
          <w:p w14:paraId="4F0CD30F" w14:textId="77777777" w:rsidR="00A16A1D" w:rsidRPr="00EA556F" w:rsidRDefault="00A16A1D" w:rsidP="00A16A1D">
            <w:pPr>
              <w:rPr>
                <w:sz w:val="20"/>
                <w:szCs w:val="20"/>
              </w:rPr>
            </w:pPr>
          </w:p>
        </w:tc>
        <w:tc>
          <w:tcPr>
            <w:tcW w:w="4672" w:type="dxa"/>
          </w:tcPr>
          <w:p w14:paraId="3A09CE73" w14:textId="77777777" w:rsidR="00A16A1D" w:rsidRPr="00EA556F" w:rsidRDefault="00A16A1D" w:rsidP="00A16A1D">
            <w:pPr>
              <w:rPr>
                <w:sz w:val="20"/>
                <w:szCs w:val="20"/>
              </w:rPr>
            </w:pPr>
            <w:r w:rsidRPr="00EA556F">
              <w:rPr>
                <w:sz w:val="20"/>
                <w:szCs w:val="20"/>
              </w:rPr>
              <w:t>Architektura krajobrazu</w:t>
            </w:r>
          </w:p>
        </w:tc>
      </w:tr>
      <w:tr w:rsidR="00A16A1D" w:rsidRPr="00ED4EDD" w14:paraId="71A711ED" w14:textId="77777777" w:rsidTr="00A12C6F">
        <w:tc>
          <w:tcPr>
            <w:tcW w:w="4395" w:type="dxa"/>
            <w:vMerge/>
          </w:tcPr>
          <w:p w14:paraId="6DA5564F" w14:textId="77777777" w:rsidR="00A16A1D" w:rsidRPr="00EA556F" w:rsidRDefault="00A16A1D" w:rsidP="00A16A1D">
            <w:pPr>
              <w:rPr>
                <w:sz w:val="20"/>
                <w:szCs w:val="20"/>
              </w:rPr>
            </w:pPr>
          </w:p>
        </w:tc>
        <w:tc>
          <w:tcPr>
            <w:tcW w:w="4672" w:type="dxa"/>
          </w:tcPr>
          <w:p w14:paraId="7AED035D" w14:textId="77777777" w:rsidR="00A16A1D" w:rsidRPr="00EA556F" w:rsidRDefault="00A16A1D" w:rsidP="00A16A1D">
            <w:pPr>
              <w:rPr>
                <w:sz w:val="20"/>
                <w:szCs w:val="20"/>
              </w:rPr>
            </w:pPr>
            <w:r w:rsidRPr="00EA556F">
              <w:rPr>
                <w:sz w:val="20"/>
                <w:szCs w:val="20"/>
              </w:rPr>
              <w:t xml:space="preserve">Leśnictwo </w:t>
            </w:r>
          </w:p>
        </w:tc>
      </w:tr>
      <w:tr w:rsidR="00A16A1D" w:rsidRPr="00ED4EDD" w14:paraId="7A3C0DE7" w14:textId="77777777" w:rsidTr="00A12C6F">
        <w:tc>
          <w:tcPr>
            <w:tcW w:w="4395" w:type="dxa"/>
            <w:vMerge/>
          </w:tcPr>
          <w:p w14:paraId="316796C7" w14:textId="77777777" w:rsidR="00A16A1D" w:rsidRPr="00EA556F" w:rsidRDefault="00A16A1D" w:rsidP="00A16A1D">
            <w:pPr>
              <w:rPr>
                <w:sz w:val="20"/>
                <w:szCs w:val="20"/>
              </w:rPr>
            </w:pPr>
          </w:p>
        </w:tc>
        <w:tc>
          <w:tcPr>
            <w:tcW w:w="4672" w:type="dxa"/>
          </w:tcPr>
          <w:p w14:paraId="6E101680" w14:textId="77777777" w:rsidR="00A16A1D" w:rsidRPr="00EA556F" w:rsidRDefault="00A16A1D" w:rsidP="00A16A1D">
            <w:pPr>
              <w:rPr>
                <w:sz w:val="20"/>
                <w:szCs w:val="20"/>
              </w:rPr>
            </w:pPr>
            <w:r w:rsidRPr="00EA556F">
              <w:rPr>
                <w:sz w:val="20"/>
                <w:szCs w:val="20"/>
              </w:rPr>
              <w:t>Ochrona środowiska</w:t>
            </w:r>
          </w:p>
        </w:tc>
      </w:tr>
      <w:tr w:rsidR="00A16A1D" w:rsidRPr="00ED4EDD" w14:paraId="3920D7BA" w14:textId="77777777" w:rsidTr="00A12C6F">
        <w:tc>
          <w:tcPr>
            <w:tcW w:w="4395" w:type="dxa"/>
            <w:vMerge/>
          </w:tcPr>
          <w:p w14:paraId="6CEE5C37" w14:textId="77777777" w:rsidR="00A16A1D" w:rsidRPr="00EA556F" w:rsidRDefault="00A16A1D" w:rsidP="00A16A1D">
            <w:pPr>
              <w:rPr>
                <w:sz w:val="20"/>
                <w:szCs w:val="20"/>
              </w:rPr>
            </w:pPr>
          </w:p>
        </w:tc>
        <w:tc>
          <w:tcPr>
            <w:tcW w:w="4672" w:type="dxa"/>
          </w:tcPr>
          <w:p w14:paraId="0F548938" w14:textId="77777777" w:rsidR="00A16A1D" w:rsidRPr="00EA556F" w:rsidRDefault="00A16A1D" w:rsidP="00A16A1D">
            <w:pPr>
              <w:rPr>
                <w:sz w:val="20"/>
                <w:szCs w:val="20"/>
              </w:rPr>
            </w:pPr>
            <w:r w:rsidRPr="00EA556F">
              <w:rPr>
                <w:sz w:val="20"/>
                <w:szCs w:val="20"/>
              </w:rPr>
              <w:t xml:space="preserve">Ogrodnictwo </w:t>
            </w:r>
          </w:p>
        </w:tc>
      </w:tr>
      <w:tr w:rsidR="00A16A1D" w:rsidRPr="00ED4EDD" w14:paraId="19264DEB" w14:textId="77777777" w:rsidTr="00A12C6F">
        <w:tc>
          <w:tcPr>
            <w:tcW w:w="4395" w:type="dxa"/>
            <w:vMerge/>
          </w:tcPr>
          <w:p w14:paraId="3C00BEC1" w14:textId="77777777" w:rsidR="00A16A1D" w:rsidRPr="00EA556F" w:rsidRDefault="00A16A1D" w:rsidP="00A16A1D">
            <w:pPr>
              <w:rPr>
                <w:sz w:val="20"/>
                <w:szCs w:val="20"/>
              </w:rPr>
            </w:pPr>
          </w:p>
        </w:tc>
        <w:tc>
          <w:tcPr>
            <w:tcW w:w="4672" w:type="dxa"/>
          </w:tcPr>
          <w:p w14:paraId="03A2D732" w14:textId="77777777" w:rsidR="00A16A1D" w:rsidRPr="00EA556F" w:rsidRDefault="00A16A1D" w:rsidP="00A16A1D">
            <w:pPr>
              <w:rPr>
                <w:sz w:val="20"/>
                <w:szCs w:val="20"/>
              </w:rPr>
            </w:pPr>
            <w:r w:rsidRPr="00EA556F">
              <w:rPr>
                <w:sz w:val="20"/>
                <w:szCs w:val="20"/>
              </w:rPr>
              <w:t>Odnawialne źródła energii</w:t>
            </w:r>
          </w:p>
        </w:tc>
      </w:tr>
      <w:tr w:rsidR="00A16A1D" w:rsidRPr="00ED4EDD" w14:paraId="530A2E66" w14:textId="77777777" w:rsidTr="00A12C6F">
        <w:tc>
          <w:tcPr>
            <w:tcW w:w="4395" w:type="dxa"/>
            <w:vMerge/>
          </w:tcPr>
          <w:p w14:paraId="6D87DF0D" w14:textId="77777777" w:rsidR="00A16A1D" w:rsidRPr="00EA556F" w:rsidRDefault="00A16A1D" w:rsidP="00A16A1D">
            <w:pPr>
              <w:rPr>
                <w:sz w:val="20"/>
                <w:szCs w:val="20"/>
              </w:rPr>
            </w:pPr>
          </w:p>
        </w:tc>
        <w:tc>
          <w:tcPr>
            <w:tcW w:w="4672" w:type="dxa"/>
          </w:tcPr>
          <w:p w14:paraId="1084D5C9" w14:textId="77777777" w:rsidR="00A16A1D" w:rsidRPr="00EA556F" w:rsidRDefault="00A16A1D" w:rsidP="00A16A1D">
            <w:pPr>
              <w:rPr>
                <w:sz w:val="20"/>
                <w:szCs w:val="20"/>
              </w:rPr>
            </w:pPr>
            <w:r w:rsidRPr="00EA556F">
              <w:rPr>
                <w:sz w:val="20"/>
                <w:szCs w:val="20"/>
              </w:rPr>
              <w:t>Gospodarowanie surowcami odnawialnymi i mineralnymi</w:t>
            </w:r>
          </w:p>
        </w:tc>
      </w:tr>
      <w:tr w:rsidR="00A16A1D" w:rsidRPr="00ED4EDD" w14:paraId="7303274A" w14:textId="77777777" w:rsidTr="00A12C6F">
        <w:tc>
          <w:tcPr>
            <w:tcW w:w="4395" w:type="dxa"/>
            <w:vMerge w:val="restart"/>
          </w:tcPr>
          <w:p w14:paraId="48A2E99A" w14:textId="77777777" w:rsidR="00A16A1D" w:rsidRPr="00EA556F" w:rsidRDefault="00A16A1D" w:rsidP="00A16A1D">
            <w:pPr>
              <w:rPr>
                <w:sz w:val="20"/>
                <w:szCs w:val="20"/>
              </w:rPr>
            </w:pPr>
            <w:r w:rsidRPr="00EA556F">
              <w:rPr>
                <w:sz w:val="20"/>
                <w:szCs w:val="20"/>
              </w:rPr>
              <w:t>Wydział lekarski</w:t>
            </w:r>
          </w:p>
        </w:tc>
        <w:tc>
          <w:tcPr>
            <w:tcW w:w="4672" w:type="dxa"/>
          </w:tcPr>
          <w:p w14:paraId="2CE89E06" w14:textId="77777777" w:rsidR="00A16A1D" w:rsidRPr="00EA556F" w:rsidRDefault="00A16A1D" w:rsidP="00A16A1D">
            <w:pPr>
              <w:rPr>
                <w:sz w:val="20"/>
                <w:szCs w:val="20"/>
              </w:rPr>
            </w:pPr>
            <w:r w:rsidRPr="00EA556F">
              <w:rPr>
                <w:sz w:val="20"/>
                <w:szCs w:val="20"/>
              </w:rPr>
              <w:t>Kierunek Lekarski</w:t>
            </w:r>
          </w:p>
        </w:tc>
      </w:tr>
      <w:tr w:rsidR="00A16A1D" w:rsidRPr="00ED4EDD" w14:paraId="55241504" w14:textId="77777777" w:rsidTr="00A12C6F">
        <w:tc>
          <w:tcPr>
            <w:tcW w:w="4395" w:type="dxa"/>
            <w:vMerge/>
          </w:tcPr>
          <w:p w14:paraId="5B073D4A" w14:textId="77777777" w:rsidR="00A16A1D" w:rsidRPr="00EA556F" w:rsidRDefault="00A16A1D" w:rsidP="00A16A1D">
            <w:pPr>
              <w:rPr>
                <w:sz w:val="20"/>
                <w:szCs w:val="20"/>
              </w:rPr>
            </w:pPr>
          </w:p>
        </w:tc>
        <w:tc>
          <w:tcPr>
            <w:tcW w:w="4672" w:type="dxa"/>
          </w:tcPr>
          <w:p w14:paraId="3FC72004" w14:textId="77777777" w:rsidR="00A16A1D" w:rsidRPr="00EA556F" w:rsidRDefault="00A16A1D" w:rsidP="00A16A1D">
            <w:pPr>
              <w:rPr>
                <w:sz w:val="20"/>
                <w:szCs w:val="20"/>
              </w:rPr>
            </w:pPr>
            <w:r w:rsidRPr="00EA556F">
              <w:rPr>
                <w:sz w:val="20"/>
                <w:szCs w:val="20"/>
              </w:rPr>
              <w:t>Medicine in English</w:t>
            </w:r>
          </w:p>
        </w:tc>
      </w:tr>
      <w:tr w:rsidR="00A16A1D" w:rsidRPr="00ED4EDD" w14:paraId="65A068BA" w14:textId="77777777" w:rsidTr="00A12C6F">
        <w:tc>
          <w:tcPr>
            <w:tcW w:w="4395" w:type="dxa"/>
            <w:vMerge w:val="restart"/>
          </w:tcPr>
          <w:p w14:paraId="644712F1" w14:textId="77777777" w:rsidR="00A16A1D" w:rsidRPr="00EA556F" w:rsidRDefault="00A16A1D" w:rsidP="00A16A1D">
            <w:pPr>
              <w:rPr>
                <w:sz w:val="20"/>
                <w:szCs w:val="20"/>
              </w:rPr>
            </w:pPr>
            <w:r w:rsidRPr="00EA556F">
              <w:rPr>
                <w:sz w:val="20"/>
                <w:szCs w:val="20"/>
              </w:rPr>
              <w:t>Wydział Matematyki i Informatyki</w:t>
            </w:r>
          </w:p>
        </w:tc>
        <w:tc>
          <w:tcPr>
            <w:tcW w:w="4672" w:type="dxa"/>
          </w:tcPr>
          <w:p w14:paraId="15AE9540" w14:textId="77777777" w:rsidR="00A16A1D" w:rsidRPr="00EA556F" w:rsidRDefault="00A16A1D" w:rsidP="00A16A1D">
            <w:pPr>
              <w:rPr>
                <w:sz w:val="20"/>
                <w:szCs w:val="20"/>
              </w:rPr>
            </w:pPr>
            <w:r w:rsidRPr="00EA556F">
              <w:rPr>
                <w:sz w:val="20"/>
                <w:szCs w:val="20"/>
              </w:rPr>
              <w:t xml:space="preserve">Matematyka </w:t>
            </w:r>
          </w:p>
        </w:tc>
      </w:tr>
      <w:tr w:rsidR="00A16A1D" w:rsidRPr="00ED4EDD" w14:paraId="24DA1E20" w14:textId="77777777" w:rsidTr="00A12C6F">
        <w:tc>
          <w:tcPr>
            <w:tcW w:w="4395" w:type="dxa"/>
            <w:vMerge/>
          </w:tcPr>
          <w:p w14:paraId="55DE956A" w14:textId="77777777" w:rsidR="00A16A1D" w:rsidRPr="00EA556F" w:rsidRDefault="00A16A1D" w:rsidP="00A16A1D">
            <w:pPr>
              <w:rPr>
                <w:sz w:val="20"/>
                <w:szCs w:val="20"/>
              </w:rPr>
            </w:pPr>
          </w:p>
        </w:tc>
        <w:tc>
          <w:tcPr>
            <w:tcW w:w="4672" w:type="dxa"/>
          </w:tcPr>
          <w:p w14:paraId="5716E849" w14:textId="77777777" w:rsidR="00A16A1D" w:rsidRPr="00EA556F" w:rsidRDefault="00A16A1D" w:rsidP="00A16A1D">
            <w:pPr>
              <w:rPr>
                <w:sz w:val="20"/>
                <w:szCs w:val="20"/>
              </w:rPr>
            </w:pPr>
            <w:r w:rsidRPr="00EA556F">
              <w:rPr>
                <w:sz w:val="20"/>
                <w:szCs w:val="20"/>
              </w:rPr>
              <w:t xml:space="preserve">Informatyka </w:t>
            </w:r>
          </w:p>
        </w:tc>
      </w:tr>
      <w:tr w:rsidR="00A16A1D" w:rsidRPr="00ED4EDD" w14:paraId="6468A73B" w14:textId="77777777" w:rsidTr="00A12C6F">
        <w:tc>
          <w:tcPr>
            <w:tcW w:w="4395" w:type="dxa"/>
          </w:tcPr>
          <w:p w14:paraId="5EC270CA" w14:textId="77777777" w:rsidR="00A16A1D" w:rsidRPr="00EA556F" w:rsidRDefault="00A16A1D" w:rsidP="00A16A1D">
            <w:pPr>
              <w:rPr>
                <w:sz w:val="20"/>
                <w:szCs w:val="20"/>
              </w:rPr>
            </w:pPr>
            <w:r w:rsidRPr="00EA556F">
              <w:rPr>
                <w:sz w:val="20"/>
                <w:szCs w:val="20"/>
              </w:rPr>
              <w:t>Wydział Medycyny Weterynaryjnej</w:t>
            </w:r>
          </w:p>
        </w:tc>
        <w:tc>
          <w:tcPr>
            <w:tcW w:w="4672" w:type="dxa"/>
          </w:tcPr>
          <w:p w14:paraId="646DD3F1" w14:textId="77777777" w:rsidR="00A16A1D" w:rsidRPr="00EA556F" w:rsidRDefault="00A16A1D" w:rsidP="00A16A1D">
            <w:pPr>
              <w:rPr>
                <w:sz w:val="20"/>
                <w:szCs w:val="20"/>
              </w:rPr>
            </w:pPr>
            <w:r w:rsidRPr="00EA556F">
              <w:rPr>
                <w:sz w:val="20"/>
                <w:szCs w:val="20"/>
              </w:rPr>
              <w:t xml:space="preserve">Weterynaria </w:t>
            </w:r>
          </w:p>
        </w:tc>
      </w:tr>
      <w:tr w:rsidR="00A16A1D" w:rsidRPr="00ED4EDD" w14:paraId="498F6B7B" w14:textId="77777777" w:rsidTr="00A12C6F">
        <w:tc>
          <w:tcPr>
            <w:tcW w:w="4395" w:type="dxa"/>
            <w:vMerge w:val="restart"/>
          </w:tcPr>
          <w:p w14:paraId="1DE464BE" w14:textId="77777777" w:rsidR="00A16A1D" w:rsidRPr="00EA556F" w:rsidRDefault="00A16A1D" w:rsidP="00A16A1D">
            <w:pPr>
              <w:rPr>
                <w:sz w:val="20"/>
                <w:szCs w:val="20"/>
              </w:rPr>
            </w:pPr>
            <w:r w:rsidRPr="00EA556F">
              <w:rPr>
                <w:sz w:val="20"/>
                <w:szCs w:val="20"/>
              </w:rPr>
              <w:t>Wydział Nauk Ekonomicznych</w:t>
            </w:r>
          </w:p>
        </w:tc>
        <w:tc>
          <w:tcPr>
            <w:tcW w:w="4672" w:type="dxa"/>
          </w:tcPr>
          <w:p w14:paraId="5DF98C7C" w14:textId="77777777" w:rsidR="00A16A1D" w:rsidRPr="00EA556F" w:rsidRDefault="00A16A1D" w:rsidP="00A16A1D">
            <w:pPr>
              <w:rPr>
                <w:sz w:val="20"/>
                <w:szCs w:val="20"/>
              </w:rPr>
            </w:pPr>
            <w:r w:rsidRPr="00EA556F">
              <w:rPr>
                <w:sz w:val="20"/>
                <w:szCs w:val="20"/>
              </w:rPr>
              <w:t xml:space="preserve">Ekonomia </w:t>
            </w:r>
          </w:p>
        </w:tc>
      </w:tr>
      <w:tr w:rsidR="00A16A1D" w:rsidRPr="00ED4EDD" w14:paraId="3040523D" w14:textId="77777777" w:rsidTr="00A12C6F">
        <w:tc>
          <w:tcPr>
            <w:tcW w:w="4395" w:type="dxa"/>
            <w:vMerge/>
          </w:tcPr>
          <w:p w14:paraId="1E1B1FE2" w14:textId="77777777" w:rsidR="00A16A1D" w:rsidRPr="00EA556F" w:rsidRDefault="00A16A1D" w:rsidP="00A16A1D">
            <w:pPr>
              <w:rPr>
                <w:sz w:val="20"/>
                <w:szCs w:val="20"/>
              </w:rPr>
            </w:pPr>
          </w:p>
        </w:tc>
        <w:tc>
          <w:tcPr>
            <w:tcW w:w="4672" w:type="dxa"/>
          </w:tcPr>
          <w:p w14:paraId="11A2DE8C" w14:textId="77777777" w:rsidR="00A16A1D" w:rsidRPr="00EA556F" w:rsidRDefault="00A16A1D" w:rsidP="00A16A1D">
            <w:pPr>
              <w:rPr>
                <w:sz w:val="20"/>
                <w:szCs w:val="20"/>
              </w:rPr>
            </w:pPr>
            <w:r w:rsidRPr="00EA556F">
              <w:rPr>
                <w:sz w:val="20"/>
                <w:szCs w:val="20"/>
              </w:rPr>
              <w:t xml:space="preserve">Zarządzanie </w:t>
            </w:r>
          </w:p>
        </w:tc>
      </w:tr>
      <w:tr w:rsidR="00A16A1D" w:rsidRPr="00ED4EDD" w14:paraId="37DB4B9A" w14:textId="77777777" w:rsidTr="00A12C6F">
        <w:tc>
          <w:tcPr>
            <w:tcW w:w="4395" w:type="dxa"/>
            <w:vMerge/>
          </w:tcPr>
          <w:p w14:paraId="2E9FBC89" w14:textId="77777777" w:rsidR="00A16A1D" w:rsidRPr="00EA556F" w:rsidRDefault="00A16A1D" w:rsidP="00A16A1D">
            <w:pPr>
              <w:rPr>
                <w:sz w:val="20"/>
                <w:szCs w:val="20"/>
              </w:rPr>
            </w:pPr>
          </w:p>
        </w:tc>
        <w:tc>
          <w:tcPr>
            <w:tcW w:w="4672" w:type="dxa"/>
          </w:tcPr>
          <w:p w14:paraId="4110AD75" w14:textId="77777777" w:rsidR="00A16A1D" w:rsidRPr="00EA556F" w:rsidRDefault="00A16A1D" w:rsidP="00A16A1D">
            <w:pPr>
              <w:rPr>
                <w:sz w:val="20"/>
                <w:szCs w:val="20"/>
              </w:rPr>
            </w:pPr>
            <w:r w:rsidRPr="00EA556F">
              <w:rPr>
                <w:sz w:val="20"/>
                <w:szCs w:val="20"/>
              </w:rPr>
              <w:t>Zarządzanie i inżynieria produkcji</w:t>
            </w:r>
          </w:p>
        </w:tc>
      </w:tr>
      <w:tr w:rsidR="00A16A1D" w:rsidRPr="00ED4EDD" w14:paraId="090A2079" w14:textId="77777777" w:rsidTr="00A12C6F">
        <w:tc>
          <w:tcPr>
            <w:tcW w:w="4395" w:type="dxa"/>
            <w:vMerge w:val="restart"/>
          </w:tcPr>
          <w:p w14:paraId="72F03493" w14:textId="77777777" w:rsidR="00A16A1D" w:rsidRPr="00EA556F" w:rsidRDefault="00A16A1D" w:rsidP="00A16A1D">
            <w:pPr>
              <w:rPr>
                <w:sz w:val="20"/>
                <w:szCs w:val="20"/>
              </w:rPr>
            </w:pPr>
            <w:r w:rsidRPr="00EA556F">
              <w:rPr>
                <w:sz w:val="20"/>
                <w:szCs w:val="20"/>
              </w:rPr>
              <w:t>Wydział Nauk Społecznych</w:t>
            </w:r>
          </w:p>
        </w:tc>
        <w:tc>
          <w:tcPr>
            <w:tcW w:w="4672" w:type="dxa"/>
          </w:tcPr>
          <w:p w14:paraId="041DDF3F" w14:textId="77777777" w:rsidR="00A16A1D" w:rsidRPr="00EA556F" w:rsidRDefault="00A16A1D" w:rsidP="00A16A1D">
            <w:pPr>
              <w:rPr>
                <w:sz w:val="20"/>
                <w:szCs w:val="20"/>
              </w:rPr>
            </w:pPr>
            <w:r w:rsidRPr="00EA556F">
              <w:rPr>
                <w:sz w:val="20"/>
                <w:szCs w:val="20"/>
              </w:rPr>
              <w:t>Pedagogika</w:t>
            </w:r>
          </w:p>
        </w:tc>
      </w:tr>
      <w:tr w:rsidR="00A16A1D" w:rsidRPr="00ED4EDD" w14:paraId="105AD5C4" w14:textId="77777777" w:rsidTr="00A12C6F">
        <w:tc>
          <w:tcPr>
            <w:tcW w:w="4395" w:type="dxa"/>
            <w:vMerge/>
          </w:tcPr>
          <w:p w14:paraId="648C785A" w14:textId="77777777" w:rsidR="00A16A1D" w:rsidRPr="00EA556F" w:rsidRDefault="00A16A1D" w:rsidP="00A16A1D">
            <w:pPr>
              <w:rPr>
                <w:sz w:val="20"/>
                <w:szCs w:val="20"/>
              </w:rPr>
            </w:pPr>
          </w:p>
        </w:tc>
        <w:tc>
          <w:tcPr>
            <w:tcW w:w="4672" w:type="dxa"/>
          </w:tcPr>
          <w:p w14:paraId="7BF20FF3" w14:textId="77777777" w:rsidR="00A16A1D" w:rsidRPr="00EA556F" w:rsidRDefault="00A16A1D" w:rsidP="00A16A1D">
            <w:pPr>
              <w:rPr>
                <w:sz w:val="20"/>
                <w:szCs w:val="20"/>
              </w:rPr>
            </w:pPr>
            <w:r w:rsidRPr="00EA556F">
              <w:rPr>
                <w:sz w:val="20"/>
                <w:szCs w:val="20"/>
              </w:rPr>
              <w:t>Pedagogika specjalna</w:t>
            </w:r>
          </w:p>
        </w:tc>
      </w:tr>
      <w:tr w:rsidR="00A16A1D" w:rsidRPr="00ED4EDD" w14:paraId="21A8621F" w14:textId="77777777" w:rsidTr="00A12C6F">
        <w:tc>
          <w:tcPr>
            <w:tcW w:w="4395" w:type="dxa"/>
            <w:vMerge/>
          </w:tcPr>
          <w:p w14:paraId="07C776AE" w14:textId="77777777" w:rsidR="00A16A1D" w:rsidRPr="00EA556F" w:rsidRDefault="00A16A1D" w:rsidP="00A16A1D">
            <w:pPr>
              <w:rPr>
                <w:sz w:val="20"/>
                <w:szCs w:val="20"/>
              </w:rPr>
            </w:pPr>
          </w:p>
        </w:tc>
        <w:tc>
          <w:tcPr>
            <w:tcW w:w="4672" w:type="dxa"/>
          </w:tcPr>
          <w:p w14:paraId="0A20A6B7" w14:textId="77777777" w:rsidR="00A16A1D" w:rsidRPr="00EA556F" w:rsidRDefault="00A16A1D" w:rsidP="00A16A1D">
            <w:pPr>
              <w:rPr>
                <w:sz w:val="20"/>
                <w:szCs w:val="20"/>
              </w:rPr>
            </w:pPr>
            <w:r w:rsidRPr="00EA556F">
              <w:rPr>
                <w:sz w:val="20"/>
                <w:szCs w:val="20"/>
              </w:rPr>
              <w:t>Pedagogika przedszkolna i wczesnoszkolna</w:t>
            </w:r>
          </w:p>
        </w:tc>
      </w:tr>
      <w:tr w:rsidR="00A16A1D" w:rsidRPr="00ED4EDD" w14:paraId="2834495A" w14:textId="77777777" w:rsidTr="00A12C6F">
        <w:tc>
          <w:tcPr>
            <w:tcW w:w="4395" w:type="dxa"/>
            <w:vMerge/>
          </w:tcPr>
          <w:p w14:paraId="53C8F61C" w14:textId="77777777" w:rsidR="00A16A1D" w:rsidRPr="00EA556F" w:rsidRDefault="00A16A1D" w:rsidP="00A16A1D">
            <w:pPr>
              <w:rPr>
                <w:sz w:val="20"/>
                <w:szCs w:val="20"/>
              </w:rPr>
            </w:pPr>
          </w:p>
        </w:tc>
        <w:tc>
          <w:tcPr>
            <w:tcW w:w="4672" w:type="dxa"/>
          </w:tcPr>
          <w:p w14:paraId="5F966883" w14:textId="77777777" w:rsidR="00A16A1D" w:rsidRPr="00EA556F" w:rsidRDefault="00A16A1D" w:rsidP="00A16A1D">
            <w:pPr>
              <w:rPr>
                <w:sz w:val="20"/>
                <w:szCs w:val="20"/>
              </w:rPr>
            </w:pPr>
            <w:r w:rsidRPr="00EA556F">
              <w:rPr>
                <w:sz w:val="20"/>
                <w:szCs w:val="20"/>
              </w:rPr>
              <w:t>Pedagogika wczesnej edukacji</w:t>
            </w:r>
          </w:p>
        </w:tc>
      </w:tr>
      <w:tr w:rsidR="00A16A1D" w:rsidRPr="00ED4EDD" w14:paraId="34173CC5" w14:textId="77777777" w:rsidTr="00A12C6F">
        <w:tc>
          <w:tcPr>
            <w:tcW w:w="4395" w:type="dxa"/>
            <w:vMerge/>
          </w:tcPr>
          <w:p w14:paraId="78EEBA6A" w14:textId="77777777" w:rsidR="00A16A1D" w:rsidRPr="00EA556F" w:rsidRDefault="00A16A1D" w:rsidP="00A16A1D">
            <w:pPr>
              <w:rPr>
                <w:sz w:val="20"/>
                <w:szCs w:val="20"/>
              </w:rPr>
            </w:pPr>
          </w:p>
        </w:tc>
        <w:tc>
          <w:tcPr>
            <w:tcW w:w="4672" w:type="dxa"/>
          </w:tcPr>
          <w:p w14:paraId="7972619A" w14:textId="77777777" w:rsidR="00A16A1D" w:rsidRPr="00EA556F" w:rsidRDefault="00A16A1D" w:rsidP="00A16A1D">
            <w:pPr>
              <w:rPr>
                <w:sz w:val="20"/>
                <w:szCs w:val="20"/>
              </w:rPr>
            </w:pPr>
            <w:r w:rsidRPr="00EA556F">
              <w:rPr>
                <w:sz w:val="20"/>
                <w:szCs w:val="20"/>
              </w:rPr>
              <w:t xml:space="preserve">Politologia </w:t>
            </w:r>
          </w:p>
        </w:tc>
      </w:tr>
      <w:tr w:rsidR="00A16A1D" w:rsidRPr="00ED4EDD" w14:paraId="298AB43B" w14:textId="77777777" w:rsidTr="00A12C6F">
        <w:tc>
          <w:tcPr>
            <w:tcW w:w="4395" w:type="dxa"/>
            <w:vMerge/>
          </w:tcPr>
          <w:p w14:paraId="7A8313BA" w14:textId="77777777" w:rsidR="00A16A1D" w:rsidRPr="00EA556F" w:rsidRDefault="00A16A1D" w:rsidP="00A16A1D">
            <w:pPr>
              <w:rPr>
                <w:sz w:val="20"/>
                <w:szCs w:val="20"/>
              </w:rPr>
            </w:pPr>
          </w:p>
        </w:tc>
        <w:tc>
          <w:tcPr>
            <w:tcW w:w="4672" w:type="dxa"/>
          </w:tcPr>
          <w:p w14:paraId="1198AF53" w14:textId="77777777" w:rsidR="00A16A1D" w:rsidRPr="00EA556F" w:rsidRDefault="00A16A1D" w:rsidP="00A16A1D">
            <w:pPr>
              <w:rPr>
                <w:sz w:val="20"/>
                <w:szCs w:val="20"/>
              </w:rPr>
            </w:pPr>
            <w:r w:rsidRPr="00EA556F">
              <w:rPr>
                <w:sz w:val="20"/>
                <w:szCs w:val="20"/>
              </w:rPr>
              <w:t>Praca socjalna</w:t>
            </w:r>
          </w:p>
        </w:tc>
      </w:tr>
      <w:tr w:rsidR="00A16A1D" w:rsidRPr="00ED4EDD" w14:paraId="2DB98E42" w14:textId="77777777" w:rsidTr="00A12C6F">
        <w:tc>
          <w:tcPr>
            <w:tcW w:w="4395" w:type="dxa"/>
            <w:vMerge/>
          </w:tcPr>
          <w:p w14:paraId="4931144C" w14:textId="77777777" w:rsidR="00A16A1D" w:rsidRPr="00EA556F" w:rsidRDefault="00A16A1D" w:rsidP="00A16A1D">
            <w:pPr>
              <w:rPr>
                <w:sz w:val="20"/>
                <w:szCs w:val="20"/>
              </w:rPr>
            </w:pPr>
          </w:p>
        </w:tc>
        <w:tc>
          <w:tcPr>
            <w:tcW w:w="4672" w:type="dxa"/>
          </w:tcPr>
          <w:p w14:paraId="7AE491C8" w14:textId="77777777" w:rsidR="00A16A1D" w:rsidRPr="00EA556F" w:rsidRDefault="00A16A1D" w:rsidP="00A16A1D">
            <w:pPr>
              <w:rPr>
                <w:sz w:val="20"/>
                <w:szCs w:val="20"/>
              </w:rPr>
            </w:pPr>
            <w:r w:rsidRPr="00EA556F">
              <w:rPr>
                <w:sz w:val="20"/>
                <w:szCs w:val="20"/>
              </w:rPr>
              <w:t xml:space="preserve">Socjologia </w:t>
            </w:r>
          </w:p>
        </w:tc>
      </w:tr>
      <w:tr w:rsidR="00A16A1D" w:rsidRPr="00ED4EDD" w14:paraId="39CEA907" w14:textId="77777777" w:rsidTr="00A12C6F">
        <w:tc>
          <w:tcPr>
            <w:tcW w:w="4395" w:type="dxa"/>
            <w:vMerge/>
          </w:tcPr>
          <w:p w14:paraId="42934355" w14:textId="77777777" w:rsidR="00A16A1D" w:rsidRPr="00EA556F" w:rsidRDefault="00A16A1D" w:rsidP="00A16A1D">
            <w:pPr>
              <w:rPr>
                <w:sz w:val="20"/>
                <w:szCs w:val="20"/>
              </w:rPr>
            </w:pPr>
          </w:p>
        </w:tc>
        <w:tc>
          <w:tcPr>
            <w:tcW w:w="4672" w:type="dxa"/>
          </w:tcPr>
          <w:p w14:paraId="268AE70D" w14:textId="77777777" w:rsidR="00A16A1D" w:rsidRPr="00EA556F" w:rsidRDefault="00A16A1D" w:rsidP="00A16A1D">
            <w:pPr>
              <w:rPr>
                <w:sz w:val="20"/>
                <w:szCs w:val="20"/>
              </w:rPr>
            </w:pPr>
            <w:r w:rsidRPr="00EA556F">
              <w:rPr>
                <w:sz w:val="20"/>
                <w:szCs w:val="20"/>
              </w:rPr>
              <w:t>Bezpieczeństwo narodowe</w:t>
            </w:r>
          </w:p>
        </w:tc>
      </w:tr>
      <w:tr w:rsidR="00A16A1D" w:rsidRPr="00ED4EDD" w14:paraId="027A8A14" w14:textId="77777777" w:rsidTr="00A12C6F">
        <w:tc>
          <w:tcPr>
            <w:tcW w:w="4395" w:type="dxa"/>
            <w:vMerge w:val="restart"/>
          </w:tcPr>
          <w:p w14:paraId="48373A13" w14:textId="77777777" w:rsidR="00A16A1D" w:rsidRPr="00EA556F" w:rsidRDefault="00A16A1D" w:rsidP="00A16A1D">
            <w:pPr>
              <w:rPr>
                <w:sz w:val="20"/>
                <w:szCs w:val="20"/>
              </w:rPr>
            </w:pPr>
            <w:r w:rsidRPr="00EA556F">
              <w:rPr>
                <w:sz w:val="20"/>
                <w:szCs w:val="20"/>
              </w:rPr>
              <w:t>Wydział Nauk Technicznych</w:t>
            </w:r>
          </w:p>
        </w:tc>
        <w:tc>
          <w:tcPr>
            <w:tcW w:w="4672" w:type="dxa"/>
          </w:tcPr>
          <w:p w14:paraId="09BBBE27" w14:textId="77777777" w:rsidR="00A16A1D" w:rsidRPr="00EA556F" w:rsidRDefault="00A16A1D" w:rsidP="00A16A1D">
            <w:pPr>
              <w:rPr>
                <w:sz w:val="20"/>
                <w:szCs w:val="20"/>
              </w:rPr>
            </w:pPr>
            <w:r w:rsidRPr="00EA556F">
              <w:rPr>
                <w:sz w:val="20"/>
                <w:szCs w:val="20"/>
              </w:rPr>
              <w:t>Energetyka</w:t>
            </w:r>
          </w:p>
        </w:tc>
      </w:tr>
      <w:tr w:rsidR="00A16A1D" w:rsidRPr="00ED4EDD" w14:paraId="1E3E6E59" w14:textId="77777777" w:rsidTr="00A12C6F">
        <w:tc>
          <w:tcPr>
            <w:tcW w:w="4395" w:type="dxa"/>
            <w:vMerge/>
          </w:tcPr>
          <w:p w14:paraId="320FE5AD" w14:textId="77777777" w:rsidR="00A16A1D" w:rsidRPr="00EA556F" w:rsidRDefault="00A16A1D" w:rsidP="00A16A1D">
            <w:pPr>
              <w:rPr>
                <w:sz w:val="20"/>
                <w:szCs w:val="20"/>
              </w:rPr>
            </w:pPr>
          </w:p>
        </w:tc>
        <w:tc>
          <w:tcPr>
            <w:tcW w:w="4672" w:type="dxa"/>
          </w:tcPr>
          <w:p w14:paraId="26EAF179" w14:textId="77777777" w:rsidR="00A16A1D" w:rsidRPr="00EA556F" w:rsidRDefault="00A16A1D" w:rsidP="00A16A1D">
            <w:pPr>
              <w:rPr>
                <w:sz w:val="20"/>
                <w:szCs w:val="20"/>
              </w:rPr>
            </w:pPr>
            <w:r w:rsidRPr="00EA556F">
              <w:rPr>
                <w:sz w:val="20"/>
                <w:szCs w:val="20"/>
              </w:rPr>
              <w:t>Inżynieria bezpieczeństwa</w:t>
            </w:r>
          </w:p>
        </w:tc>
      </w:tr>
      <w:tr w:rsidR="00A16A1D" w:rsidRPr="00ED4EDD" w14:paraId="0C2EB003" w14:textId="77777777" w:rsidTr="00A12C6F">
        <w:tc>
          <w:tcPr>
            <w:tcW w:w="4395" w:type="dxa"/>
            <w:vMerge/>
          </w:tcPr>
          <w:p w14:paraId="5C1C196F" w14:textId="77777777" w:rsidR="00A16A1D" w:rsidRPr="00EA556F" w:rsidRDefault="00A16A1D" w:rsidP="00A16A1D">
            <w:pPr>
              <w:rPr>
                <w:sz w:val="20"/>
                <w:szCs w:val="20"/>
              </w:rPr>
            </w:pPr>
          </w:p>
        </w:tc>
        <w:tc>
          <w:tcPr>
            <w:tcW w:w="4672" w:type="dxa"/>
          </w:tcPr>
          <w:p w14:paraId="3D088DA4" w14:textId="77777777" w:rsidR="00A16A1D" w:rsidRPr="00EA556F" w:rsidRDefault="00A16A1D" w:rsidP="00A16A1D">
            <w:pPr>
              <w:rPr>
                <w:sz w:val="20"/>
                <w:szCs w:val="20"/>
              </w:rPr>
            </w:pPr>
            <w:r w:rsidRPr="00EA556F">
              <w:rPr>
                <w:sz w:val="20"/>
                <w:szCs w:val="20"/>
              </w:rPr>
              <w:t>Inżynieria maszyn rolniczych, spożywczych i leśnych</w:t>
            </w:r>
          </w:p>
        </w:tc>
      </w:tr>
      <w:tr w:rsidR="00A16A1D" w:rsidRPr="00ED4EDD" w14:paraId="59732DB8" w14:textId="77777777" w:rsidTr="00A12C6F">
        <w:tc>
          <w:tcPr>
            <w:tcW w:w="4395" w:type="dxa"/>
            <w:vMerge/>
          </w:tcPr>
          <w:p w14:paraId="762317FC" w14:textId="77777777" w:rsidR="00A16A1D" w:rsidRPr="00EA556F" w:rsidRDefault="00A16A1D" w:rsidP="00A16A1D">
            <w:pPr>
              <w:rPr>
                <w:sz w:val="20"/>
                <w:szCs w:val="20"/>
              </w:rPr>
            </w:pPr>
          </w:p>
        </w:tc>
        <w:tc>
          <w:tcPr>
            <w:tcW w:w="4672" w:type="dxa"/>
          </w:tcPr>
          <w:p w14:paraId="3B5C27E4" w14:textId="77777777" w:rsidR="00A16A1D" w:rsidRPr="00EA556F" w:rsidRDefault="00A16A1D" w:rsidP="00A16A1D">
            <w:pPr>
              <w:rPr>
                <w:sz w:val="20"/>
                <w:szCs w:val="20"/>
              </w:rPr>
            </w:pPr>
            <w:r w:rsidRPr="00EA556F">
              <w:rPr>
                <w:sz w:val="20"/>
                <w:szCs w:val="20"/>
              </w:rPr>
              <w:t>Mechanika i budowa maszyn</w:t>
            </w:r>
          </w:p>
        </w:tc>
      </w:tr>
      <w:tr w:rsidR="00A16A1D" w:rsidRPr="00ED4EDD" w14:paraId="0ADB9CAC" w14:textId="77777777" w:rsidTr="00A12C6F">
        <w:tc>
          <w:tcPr>
            <w:tcW w:w="4395" w:type="dxa"/>
            <w:vMerge/>
          </w:tcPr>
          <w:p w14:paraId="32ADC828" w14:textId="77777777" w:rsidR="00A16A1D" w:rsidRPr="00EA556F" w:rsidRDefault="00A16A1D" w:rsidP="00A16A1D">
            <w:pPr>
              <w:rPr>
                <w:sz w:val="20"/>
                <w:szCs w:val="20"/>
              </w:rPr>
            </w:pPr>
          </w:p>
        </w:tc>
        <w:tc>
          <w:tcPr>
            <w:tcW w:w="4672" w:type="dxa"/>
          </w:tcPr>
          <w:p w14:paraId="4FE477FA" w14:textId="77777777" w:rsidR="00A16A1D" w:rsidRPr="00EA556F" w:rsidRDefault="00A16A1D" w:rsidP="00A16A1D">
            <w:pPr>
              <w:rPr>
                <w:sz w:val="20"/>
                <w:szCs w:val="20"/>
              </w:rPr>
            </w:pPr>
            <w:r w:rsidRPr="00EA556F">
              <w:rPr>
                <w:sz w:val="20"/>
                <w:szCs w:val="20"/>
              </w:rPr>
              <w:t xml:space="preserve">Mechatronika </w:t>
            </w:r>
          </w:p>
        </w:tc>
      </w:tr>
      <w:tr w:rsidR="00A16A1D" w:rsidRPr="00ED4EDD" w14:paraId="06891BEF" w14:textId="77777777" w:rsidTr="00A12C6F">
        <w:tc>
          <w:tcPr>
            <w:tcW w:w="4395" w:type="dxa"/>
            <w:vMerge/>
          </w:tcPr>
          <w:p w14:paraId="261626B6" w14:textId="77777777" w:rsidR="00A16A1D" w:rsidRPr="00EA556F" w:rsidRDefault="00A16A1D" w:rsidP="00A16A1D">
            <w:pPr>
              <w:rPr>
                <w:sz w:val="20"/>
                <w:szCs w:val="20"/>
              </w:rPr>
            </w:pPr>
          </w:p>
        </w:tc>
        <w:tc>
          <w:tcPr>
            <w:tcW w:w="4672" w:type="dxa"/>
          </w:tcPr>
          <w:p w14:paraId="3AD7DEBF" w14:textId="77777777" w:rsidR="00A16A1D" w:rsidRPr="00EA556F" w:rsidRDefault="00A16A1D" w:rsidP="00A16A1D">
            <w:pPr>
              <w:rPr>
                <w:sz w:val="20"/>
                <w:szCs w:val="20"/>
              </w:rPr>
            </w:pPr>
            <w:r w:rsidRPr="00EA556F">
              <w:rPr>
                <w:sz w:val="20"/>
                <w:szCs w:val="20"/>
              </w:rPr>
              <w:t>Technika rolnicza i leśna</w:t>
            </w:r>
          </w:p>
        </w:tc>
      </w:tr>
      <w:tr w:rsidR="00A16A1D" w:rsidRPr="00ED4EDD" w14:paraId="7AF05ECF" w14:textId="77777777" w:rsidTr="00A12C6F">
        <w:tc>
          <w:tcPr>
            <w:tcW w:w="4395" w:type="dxa"/>
            <w:vMerge w:val="restart"/>
          </w:tcPr>
          <w:p w14:paraId="55014B6E" w14:textId="77777777" w:rsidR="00A16A1D" w:rsidRPr="00EA556F" w:rsidRDefault="00A16A1D" w:rsidP="00A16A1D">
            <w:pPr>
              <w:rPr>
                <w:sz w:val="20"/>
                <w:szCs w:val="20"/>
              </w:rPr>
            </w:pPr>
            <w:r w:rsidRPr="00EA556F">
              <w:rPr>
                <w:sz w:val="20"/>
                <w:szCs w:val="20"/>
              </w:rPr>
              <w:t>Szkoła Zdrowia Publicznego</w:t>
            </w:r>
          </w:p>
        </w:tc>
        <w:tc>
          <w:tcPr>
            <w:tcW w:w="4672" w:type="dxa"/>
          </w:tcPr>
          <w:p w14:paraId="2DB7B03A" w14:textId="77777777" w:rsidR="00A16A1D" w:rsidRPr="00EA556F" w:rsidRDefault="00A16A1D" w:rsidP="00A16A1D">
            <w:pPr>
              <w:rPr>
                <w:sz w:val="20"/>
                <w:szCs w:val="20"/>
              </w:rPr>
            </w:pPr>
            <w:r w:rsidRPr="00EA556F">
              <w:rPr>
                <w:sz w:val="20"/>
                <w:szCs w:val="20"/>
              </w:rPr>
              <w:t xml:space="preserve">Pielęgniarstwo </w:t>
            </w:r>
          </w:p>
        </w:tc>
      </w:tr>
      <w:tr w:rsidR="00A16A1D" w:rsidRPr="00ED4EDD" w14:paraId="022A0E10" w14:textId="77777777" w:rsidTr="00A12C6F">
        <w:tc>
          <w:tcPr>
            <w:tcW w:w="4395" w:type="dxa"/>
            <w:vMerge/>
          </w:tcPr>
          <w:p w14:paraId="72721ED0" w14:textId="77777777" w:rsidR="00A16A1D" w:rsidRPr="00EA556F" w:rsidRDefault="00A16A1D" w:rsidP="00A16A1D">
            <w:pPr>
              <w:rPr>
                <w:sz w:val="20"/>
                <w:szCs w:val="20"/>
              </w:rPr>
            </w:pPr>
          </w:p>
        </w:tc>
        <w:tc>
          <w:tcPr>
            <w:tcW w:w="4672" w:type="dxa"/>
          </w:tcPr>
          <w:p w14:paraId="1F14F5E5" w14:textId="77777777" w:rsidR="00A16A1D" w:rsidRPr="00EA556F" w:rsidRDefault="00A16A1D" w:rsidP="00A16A1D">
            <w:pPr>
              <w:rPr>
                <w:sz w:val="20"/>
                <w:szCs w:val="20"/>
              </w:rPr>
            </w:pPr>
            <w:r w:rsidRPr="00EA556F">
              <w:rPr>
                <w:sz w:val="20"/>
                <w:szCs w:val="20"/>
              </w:rPr>
              <w:t xml:space="preserve">Położnictwo </w:t>
            </w:r>
          </w:p>
        </w:tc>
      </w:tr>
      <w:tr w:rsidR="00A16A1D" w:rsidRPr="00ED4EDD" w14:paraId="56C11DA7" w14:textId="77777777" w:rsidTr="00A12C6F">
        <w:tc>
          <w:tcPr>
            <w:tcW w:w="4395" w:type="dxa"/>
            <w:vMerge/>
          </w:tcPr>
          <w:p w14:paraId="226A3450" w14:textId="77777777" w:rsidR="00A16A1D" w:rsidRPr="00EA556F" w:rsidRDefault="00A16A1D" w:rsidP="00A16A1D">
            <w:pPr>
              <w:rPr>
                <w:sz w:val="20"/>
                <w:szCs w:val="20"/>
              </w:rPr>
            </w:pPr>
          </w:p>
        </w:tc>
        <w:tc>
          <w:tcPr>
            <w:tcW w:w="4672" w:type="dxa"/>
          </w:tcPr>
          <w:p w14:paraId="5F6592E4" w14:textId="77777777" w:rsidR="00A16A1D" w:rsidRPr="00EA556F" w:rsidRDefault="00A16A1D" w:rsidP="00A16A1D">
            <w:pPr>
              <w:rPr>
                <w:sz w:val="20"/>
                <w:szCs w:val="20"/>
              </w:rPr>
            </w:pPr>
            <w:r w:rsidRPr="00EA556F">
              <w:rPr>
                <w:sz w:val="20"/>
                <w:szCs w:val="20"/>
              </w:rPr>
              <w:t>Ratownictwo medyczne</w:t>
            </w:r>
          </w:p>
        </w:tc>
      </w:tr>
      <w:tr w:rsidR="00A16A1D" w:rsidRPr="00ED4EDD" w14:paraId="09F7C57F" w14:textId="77777777" w:rsidTr="00A12C6F">
        <w:tc>
          <w:tcPr>
            <w:tcW w:w="4395" w:type="dxa"/>
            <w:vMerge/>
          </w:tcPr>
          <w:p w14:paraId="499B6DED" w14:textId="77777777" w:rsidR="00A16A1D" w:rsidRPr="00EA556F" w:rsidRDefault="00A16A1D" w:rsidP="00A16A1D">
            <w:pPr>
              <w:rPr>
                <w:sz w:val="20"/>
                <w:szCs w:val="20"/>
              </w:rPr>
            </w:pPr>
          </w:p>
        </w:tc>
        <w:tc>
          <w:tcPr>
            <w:tcW w:w="4672" w:type="dxa"/>
          </w:tcPr>
          <w:p w14:paraId="6AD50A44" w14:textId="77777777" w:rsidR="00A16A1D" w:rsidRPr="00EA556F" w:rsidRDefault="00A16A1D" w:rsidP="00A16A1D">
            <w:pPr>
              <w:rPr>
                <w:sz w:val="20"/>
                <w:szCs w:val="20"/>
              </w:rPr>
            </w:pPr>
            <w:r w:rsidRPr="00EA556F">
              <w:rPr>
                <w:sz w:val="20"/>
                <w:szCs w:val="20"/>
              </w:rPr>
              <w:t xml:space="preserve">Dietetyka </w:t>
            </w:r>
          </w:p>
        </w:tc>
      </w:tr>
      <w:tr w:rsidR="00A16A1D" w:rsidRPr="00ED4EDD" w14:paraId="0BA585D7" w14:textId="77777777" w:rsidTr="00A12C6F">
        <w:tc>
          <w:tcPr>
            <w:tcW w:w="4395" w:type="dxa"/>
            <w:vMerge w:val="restart"/>
          </w:tcPr>
          <w:p w14:paraId="0160571B" w14:textId="77777777" w:rsidR="00A16A1D" w:rsidRPr="00EA556F" w:rsidRDefault="00A16A1D" w:rsidP="00A16A1D">
            <w:pPr>
              <w:rPr>
                <w:sz w:val="20"/>
                <w:szCs w:val="20"/>
              </w:rPr>
            </w:pPr>
            <w:r w:rsidRPr="00EA556F">
              <w:rPr>
                <w:sz w:val="20"/>
                <w:szCs w:val="20"/>
              </w:rPr>
              <w:t>Wydział Nauki o Żywności</w:t>
            </w:r>
          </w:p>
        </w:tc>
        <w:tc>
          <w:tcPr>
            <w:tcW w:w="4672" w:type="dxa"/>
          </w:tcPr>
          <w:p w14:paraId="67FA6299" w14:textId="77777777" w:rsidR="00A16A1D" w:rsidRPr="00EA556F" w:rsidRDefault="00A16A1D" w:rsidP="00A16A1D">
            <w:pPr>
              <w:rPr>
                <w:sz w:val="20"/>
                <w:szCs w:val="20"/>
              </w:rPr>
            </w:pPr>
            <w:r w:rsidRPr="00EA556F">
              <w:rPr>
                <w:sz w:val="20"/>
                <w:szCs w:val="20"/>
              </w:rPr>
              <w:t>Broker innowacji w przemyśle spożywczym</w:t>
            </w:r>
          </w:p>
        </w:tc>
      </w:tr>
      <w:tr w:rsidR="00A16A1D" w:rsidRPr="00ED4EDD" w14:paraId="4B7E0E86" w14:textId="77777777" w:rsidTr="00A12C6F">
        <w:tc>
          <w:tcPr>
            <w:tcW w:w="4395" w:type="dxa"/>
            <w:vMerge/>
          </w:tcPr>
          <w:p w14:paraId="680C4A84" w14:textId="77777777" w:rsidR="00A16A1D" w:rsidRPr="00EA556F" w:rsidRDefault="00A16A1D" w:rsidP="00A16A1D">
            <w:pPr>
              <w:rPr>
                <w:sz w:val="20"/>
                <w:szCs w:val="20"/>
              </w:rPr>
            </w:pPr>
          </w:p>
        </w:tc>
        <w:tc>
          <w:tcPr>
            <w:tcW w:w="4672" w:type="dxa"/>
          </w:tcPr>
          <w:p w14:paraId="3A9399BF" w14:textId="77777777" w:rsidR="00A16A1D" w:rsidRPr="00EA556F" w:rsidRDefault="00A16A1D" w:rsidP="00A16A1D">
            <w:pPr>
              <w:rPr>
                <w:sz w:val="20"/>
                <w:szCs w:val="20"/>
              </w:rPr>
            </w:pPr>
            <w:r w:rsidRPr="00EA556F">
              <w:rPr>
                <w:sz w:val="20"/>
                <w:szCs w:val="20"/>
              </w:rPr>
              <w:t>Gastronomia – sztuka kulinarna</w:t>
            </w:r>
          </w:p>
        </w:tc>
      </w:tr>
      <w:tr w:rsidR="00A16A1D" w:rsidRPr="00ED4EDD" w14:paraId="49C0138B" w14:textId="77777777" w:rsidTr="00A12C6F">
        <w:tc>
          <w:tcPr>
            <w:tcW w:w="4395" w:type="dxa"/>
            <w:vMerge/>
          </w:tcPr>
          <w:p w14:paraId="3E00183A" w14:textId="77777777" w:rsidR="00A16A1D" w:rsidRPr="00EA556F" w:rsidRDefault="00A16A1D" w:rsidP="00A16A1D">
            <w:pPr>
              <w:rPr>
                <w:sz w:val="20"/>
                <w:szCs w:val="20"/>
              </w:rPr>
            </w:pPr>
          </w:p>
        </w:tc>
        <w:tc>
          <w:tcPr>
            <w:tcW w:w="4672" w:type="dxa"/>
          </w:tcPr>
          <w:p w14:paraId="24AE31FA" w14:textId="77777777" w:rsidR="00A16A1D" w:rsidRPr="00EA556F" w:rsidRDefault="00A16A1D" w:rsidP="00A16A1D">
            <w:pPr>
              <w:rPr>
                <w:sz w:val="20"/>
                <w:szCs w:val="20"/>
              </w:rPr>
            </w:pPr>
            <w:r w:rsidRPr="00EA556F">
              <w:rPr>
                <w:sz w:val="20"/>
                <w:szCs w:val="20"/>
              </w:rPr>
              <w:t>Inżynieria przetwórstwa żywności</w:t>
            </w:r>
          </w:p>
        </w:tc>
      </w:tr>
      <w:tr w:rsidR="00A16A1D" w:rsidRPr="00ED4EDD" w14:paraId="7F268C86" w14:textId="77777777" w:rsidTr="00A12C6F">
        <w:tc>
          <w:tcPr>
            <w:tcW w:w="4395" w:type="dxa"/>
            <w:vMerge/>
          </w:tcPr>
          <w:p w14:paraId="68BA9F86" w14:textId="77777777" w:rsidR="00A16A1D" w:rsidRPr="00EA556F" w:rsidRDefault="00A16A1D" w:rsidP="00A16A1D">
            <w:pPr>
              <w:rPr>
                <w:sz w:val="20"/>
                <w:szCs w:val="20"/>
              </w:rPr>
            </w:pPr>
          </w:p>
        </w:tc>
        <w:tc>
          <w:tcPr>
            <w:tcW w:w="4672" w:type="dxa"/>
          </w:tcPr>
          <w:p w14:paraId="5A86C453" w14:textId="77777777" w:rsidR="00A16A1D" w:rsidRPr="00EA556F" w:rsidRDefault="00A16A1D" w:rsidP="00A16A1D">
            <w:pPr>
              <w:rPr>
                <w:sz w:val="20"/>
                <w:szCs w:val="20"/>
              </w:rPr>
            </w:pPr>
            <w:r w:rsidRPr="00EA556F">
              <w:rPr>
                <w:sz w:val="20"/>
                <w:szCs w:val="20"/>
              </w:rPr>
              <w:t>Technologia żywności i żywienie człowieka</w:t>
            </w:r>
          </w:p>
        </w:tc>
      </w:tr>
      <w:tr w:rsidR="00A16A1D" w:rsidRPr="00ED4EDD" w14:paraId="248AE8E6" w14:textId="77777777" w:rsidTr="00A12C6F">
        <w:tc>
          <w:tcPr>
            <w:tcW w:w="4395" w:type="dxa"/>
            <w:vMerge/>
          </w:tcPr>
          <w:p w14:paraId="04E9F1DC" w14:textId="77777777" w:rsidR="00A16A1D" w:rsidRPr="00EA556F" w:rsidRDefault="00A16A1D" w:rsidP="00A16A1D">
            <w:pPr>
              <w:rPr>
                <w:sz w:val="20"/>
                <w:szCs w:val="20"/>
              </w:rPr>
            </w:pPr>
          </w:p>
        </w:tc>
        <w:tc>
          <w:tcPr>
            <w:tcW w:w="4672" w:type="dxa"/>
          </w:tcPr>
          <w:p w14:paraId="1DF03E18" w14:textId="3D86DB8F" w:rsidR="008D44B7" w:rsidRPr="00EA556F" w:rsidRDefault="00A16A1D" w:rsidP="00A16A1D">
            <w:pPr>
              <w:rPr>
                <w:sz w:val="20"/>
                <w:szCs w:val="20"/>
              </w:rPr>
            </w:pPr>
            <w:r w:rsidRPr="00EA556F">
              <w:rPr>
                <w:sz w:val="20"/>
                <w:szCs w:val="20"/>
              </w:rPr>
              <w:t xml:space="preserve">Towaroznawstwo </w:t>
            </w:r>
          </w:p>
        </w:tc>
      </w:tr>
      <w:tr w:rsidR="00A16A1D" w:rsidRPr="00ED4EDD" w14:paraId="7FA35403" w14:textId="77777777" w:rsidTr="00A12C6F">
        <w:tc>
          <w:tcPr>
            <w:tcW w:w="4395" w:type="dxa"/>
            <w:vMerge w:val="restart"/>
          </w:tcPr>
          <w:p w14:paraId="001592A8" w14:textId="77777777" w:rsidR="00A16A1D" w:rsidRPr="00EA556F" w:rsidRDefault="00A16A1D" w:rsidP="00A16A1D">
            <w:pPr>
              <w:rPr>
                <w:sz w:val="20"/>
                <w:szCs w:val="20"/>
              </w:rPr>
            </w:pPr>
            <w:r w:rsidRPr="00EA556F">
              <w:rPr>
                <w:sz w:val="20"/>
                <w:szCs w:val="20"/>
              </w:rPr>
              <w:t>Wydział Prawa i Administracji</w:t>
            </w:r>
          </w:p>
        </w:tc>
        <w:tc>
          <w:tcPr>
            <w:tcW w:w="4672" w:type="dxa"/>
          </w:tcPr>
          <w:p w14:paraId="56A7D500" w14:textId="77777777" w:rsidR="00A16A1D" w:rsidRPr="00EA556F" w:rsidRDefault="00A16A1D" w:rsidP="00A16A1D">
            <w:pPr>
              <w:rPr>
                <w:sz w:val="20"/>
                <w:szCs w:val="20"/>
              </w:rPr>
            </w:pPr>
            <w:r w:rsidRPr="00EA556F">
              <w:rPr>
                <w:sz w:val="20"/>
                <w:szCs w:val="20"/>
              </w:rPr>
              <w:t xml:space="preserve">Prawo </w:t>
            </w:r>
          </w:p>
        </w:tc>
      </w:tr>
      <w:tr w:rsidR="00A16A1D" w:rsidRPr="00ED4EDD" w14:paraId="27C2E608" w14:textId="77777777" w:rsidTr="00A12C6F">
        <w:tc>
          <w:tcPr>
            <w:tcW w:w="4395" w:type="dxa"/>
            <w:vMerge/>
          </w:tcPr>
          <w:p w14:paraId="37DAFDF6" w14:textId="77777777" w:rsidR="00A16A1D" w:rsidRPr="00EA556F" w:rsidRDefault="00A16A1D" w:rsidP="00A16A1D">
            <w:pPr>
              <w:rPr>
                <w:sz w:val="20"/>
                <w:szCs w:val="20"/>
              </w:rPr>
            </w:pPr>
          </w:p>
        </w:tc>
        <w:tc>
          <w:tcPr>
            <w:tcW w:w="4672" w:type="dxa"/>
          </w:tcPr>
          <w:p w14:paraId="674D9E68" w14:textId="77777777" w:rsidR="00A16A1D" w:rsidRPr="00EA556F" w:rsidRDefault="00A16A1D" w:rsidP="00A16A1D">
            <w:pPr>
              <w:rPr>
                <w:sz w:val="20"/>
                <w:szCs w:val="20"/>
              </w:rPr>
            </w:pPr>
            <w:r w:rsidRPr="00EA556F">
              <w:rPr>
                <w:sz w:val="20"/>
                <w:szCs w:val="20"/>
              </w:rPr>
              <w:t xml:space="preserve">Administracja </w:t>
            </w:r>
          </w:p>
        </w:tc>
      </w:tr>
      <w:tr w:rsidR="00A16A1D" w:rsidRPr="00ED4EDD" w14:paraId="2C353C1D" w14:textId="77777777" w:rsidTr="00A12C6F">
        <w:tc>
          <w:tcPr>
            <w:tcW w:w="4395" w:type="dxa"/>
            <w:vMerge/>
          </w:tcPr>
          <w:p w14:paraId="7AFF8A1C" w14:textId="77777777" w:rsidR="00A16A1D" w:rsidRPr="00EA556F" w:rsidRDefault="00A16A1D" w:rsidP="00A16A1D">
            <w:pPr>
              <w:rPr>
                <w:sz w:val="20"/>
                <w:szCs w:val="20"/>
              </w:rPr>
            </w:pPr>
          </w:p>
        </w:tc>
        <w:tc>
          <w:tcPr>
            <w:tcW w:w="4672" w:type="dxa"/>
          </w:tcPr>
          <w:p w14:paraId="38623FC5" w14:textId="77777777" w:rsidR="00A16A1D" w:rsidRPr="00EA556F" w:rsidRDefault="00A16A1D" w:rsidP="00A16A1D">
            <w:pPr>
              <w:rPr>
                <w:sz w:val="20"/>
                <w:szCs w:val="20"/>
              </w:rPr>
            </w:pPr>
            <w:r w:rsidRPr="00EA556F">
              <w:rPr>
                <w:sz w:val="20"/>
                <w:szCs w:val="20"/>
              </w:rPr>
              <w:t>Bezpieczeństwo wewnętrzne</w:t>
            </w:r>
          </w:p>
        </w:tc>
      </w:tr>
      <w:tr w:rsidR="00A16A1D" w:rsidRPr="00ED4EDD" w14:paraId="55C67699" w14:textId="77777777" w:rsidTr="00A12C6F">
        <w:tc>
          <w:tcPr>
            <w:tcW w:w="4395" w:type="dxa"/>
            <w:vMerge/>
          </w:tcPr>
          <w:p w14:paraId="114FEC52" w14:textId="77777777" w:rsidR="00A16A1D" w:rsidRPr="00EA556F" w:rsidRDefault="00A16A1D" w:rsidP="00A16A1D">
            <w:pPr>
              <w:rPr>
                <w:sz w:val="20"/>
                <w:szCs w:val="20"/>
              </w:rPr>
            </w:pPr>
          </w:p>
        </w:tc>
        <w:tc>
          <w:tcPr>
            <w:tcW w:w="4672" w:type="dxa"/>
          </w:tcPr>
          <w:p w14:paraId="4229B9B7" w14:textId="77777777" w:rsidR="00A16A1D" w:rsidRPr="00EA556F" w:rsidRDefault="00A16A1D" w:rsidP="00A16A1D">
            <w:pPr>
              <w:rPr>
                <w:sz w:val="20"/>
                <w:szCs w:val="20"/>
              </w:rPr>
            </w:pPr>
            <w:r w:rsidRPr="00EA556F">
              <w:rPr>
                <w:sz w:val="20"/>
                <w:szCs w:val="20"/>
              </w:rPr>
              <w:t>Administracja i cyfryzacja</w:t>
            </w:r>
          </w:p>
        </w:tc>
      </w:tr>
      <w:tr w:rsidR="00A16A1D" w:rsidRPr="00ED4EDD" w14:paraId="4033F76D" w14:textId="77777777" w:rsidTr="00A12C6F">
        <w:tc>
          <w:tcPr>
            <w:tcW w:w="4395" w:type="dxa"/>
            <w:vMerge w:val="restart"/>
          </w:tcPr>
          <w:p w14:paraId="39C0B29C" w14:textId="77777777" w:rsidR="00A16A1D" w:rsidRPr="00EA556F" w:rsidRDefault="00A16A1D" w:rsidP="00A16A1D">
            <w:pPr>
              <w:rPr>
                <w:sz w:val="20"/>
                <w:szCs w:val="20"/>
              </w:rPr>
            </w:pPr>
            <w:r w:rsidRPr="00EA556F">
              <w:rPr>
                <w:sz w:val="20"/>
                <w:szCs w:val="20"/>
              </w:rPr>
              <w:t>Wydział Sztuki</w:t>
            </w:r>
          </w:p>
        </w:tc>
        <w:tc>
          <w:tcPr>
            <w:tcW w:w="4672" w:type="dxa"/>
          </w:tcPr>
          <w:p w14:paraId="3090DB25" w14:textId="77777777" w:rsidR="00A16A1D" w:rsidRPr="00EA556F" w:rsidRDefault="00A16A1D" w:rsidP="00A16A1D">
            <w:pPr>
              <w:rPr>
                <w:sz w:val="20"/>
                <w:szCs w:val="20"/>
              </w:rPr>
            </w:pPr>
            <w:r w:rsidRPr="00EA556F">
              <w:rPr>
                <w:sz w:val="20"/>
                <w:szCs w:val="20"/>
              </w:rPr>
              <w:t>Edukacja artystyczna w zakresie sztuk plastycznych</w:t>
            </w:r>
          </w:p>
        </w:tc>
      </w:tr>
      <w:tr w:rsidR="00A16A1D" w:rsidRPr="00ED4EDD" w14:paraId="6FE66985" w14:textId="77777777" w:rsidTr="00A12C6F">
        <w:tc>
          <w:tcPr>
            <w:tcW w:w="4395" w:type="dxa"/>
            <w:vMerge/>
          </w:tcPr>
          <w:p w14:paraId="24A7FA66" w14:textId="77777777" w:rsidR="00A16A1D" w:rsidRPr="00EA556F" w:rsidRDefault="00A16A1D" w:rsidP="00A16A1D">
            <w:pPr>
              <w:rPr>
                <w:sz w:val="20"/>
                <w:szCs w:val="20"/>
              </w:rPr>
            </w:pPr>
          </w:p>
        </w:tc>
        <w:tc>
          <w:tcPr>
            <w:tcW w:w="4672" w:type="dxa"/>
          </w:tcPr>
          <w:p w14:paraId="5B3DE0D0" w14:textId="77777777" w:rsidR="00A16A1D" w:rsidRPr="00EA556F" w:rsidRDefault="00A16A1D" w:rsidP="00A16A1D">
            <w:pPr>
              <w:rPr>
                <w:sz w:val="20"/>
                <w:szCs w:val="20"/>
              </w:rPr>
            </w:pPr>
            <w:r w:rsidRPr="00EA556F">
              <w:rPr>
                <w:sz w:val="20"/>
                <w:szCs w:val="20"/>
              </w:rPr>
              <w:t>Edukacja artystyczna w zakresie sztuki muzycznej</w:t>
            </w:r>
          </w:p>
        </w:tc>
      </w:tr>
      <w:tr w:rsidR="00A16A1D" w:rsidRPr="00ED4EDD" w14:paraId="2232C9B6" w14:textId="77777777" w:rsidTr="00A12C6F">
        <w:tc>
          <w:tcPr>
            <w:tcW w:w="4395" w:type="dxa"/>
            <w:vMerge w:val="restart"/>
          </w:tcPr>
          <w:p w14:paraId="756B0AF9" w14:textId="77777777" w:rsidR="00A16A1D" w:rsidRPr="00EA556F" w:rsidRDefault="00A16A1D" w:rsidP="00A16A1D">
            <w:pPr>
              <w:rPr>
                <w:sz w:val="20"/>
                <w:szCs w:val="20"/>
              </w:rPr>
            </w:pPr>
            <w:r w:rsidRPr="00EA556F">
              <w:rPr>
                <w:sz w:val="20"/>
                <w:szCs w:val="20"/>
              </w:rPr>
              <w:t>Wydział Teologii</w:t>
            </w:r>
          </w:p>
        </w:tc>
        <w:tc>
          <w:tcPr>
            <w:tcW w:w="4672" w:type="dxa"/>
          </w:tcPr>
          <w:p w14:paraId="2690F5CF" w14:textId="77777777" w:rsidR="00A16A1D" w:rsidRPr="00EA556F" w:rsidRDefault="00A16A1D" w:rsidP="00A16A1D">
            <w:pPr>
              <w:rPr>
                <w:sz w:val="20"/>
                <w:szCs w:val="20"/>
              </w:rPr>
            </w:pPr>
            <w:r w:rsidRPr="00EA556F">
              <w:rPr>
                <w:sz w:val="20"/>
                <w:szCs w:val="20"/>
              </w:rPr>
              <w:t>Studia: nauki o rodzinie</w:t>
            </w:r>
          </w:p>
        </w:tc>
      </w:tr>
      <w:tr w:rsidR="00A16A1D" w:rsidRPr="00ED4EDD" w14:paraId="099C0F60" w14:textId="77777777" w:rsidTr="00A12C6F">
        <w:tc>
          <w:tcPr>
            <w:tcW w:w="4395" w:type="dxa"/>
            <w:vMerge/>
          </w:tcPr>
          <w:p w14:paraId="117117D9" w14:textId="77777777" w:rsidR="00A16A1D" w:rsidRPr="00EA556F" w:rsidRDefault="00A16A1D" w:rsidP="00A16A1D">
            <w:pPr>
              <w:rPr>
                <w:sz w:val="20"/>
                <w:szCs w:val="20"/>
              </w:rPr>
            </w:pPr>
          </w:p>
        </w:tc>
        <w:tc>
          <w:tcPr>
            <w:tcW w:w="4672" w:type="dxa"/>
          </w:tcPr>
          <w:p w14:paraId="3AAC934F" w14:textId="77777777" w:rsidR="00A16A1D" w:rsidRPr="00EA556F" w:rsidRDefault="00A16A1D" w:rsidP="00A16A1D">
            <w:pPr>
              <w:rPr>
                <w:sz w:val="20"/>
                <w:szCs w:val="20"/>
              </w:rPr>
            </w:pPr>
            <w:r w:rsidRPr="00EA556F">
              <w:rPr>
                <w:sz w:val="20"/>
                <w:szCs w:val="20"/>
              </w:rPr>
              <w:t xml:space="preserve">Teologia </w:t>
            </w:r>
          </w:p>
        </w:tc>
      </w:tr>
    </w:tbl>
    <w:p w14:paraId="430688E7" w14:textId="77777777" w:rsidR="00A16A1D" w:rsidRPr="00EA556F" w:rsidRDefault="00EA556F" w:rsidP="00EA556F">
      <w:pPr>
        <w:jc w:val="center"/>
        <w:rPr>
          <w:sz w:val="20"/>
          <w:szCs w:val="20"/>
        </w:rPr>
      </w:pPr>
      <w:r>
        <w:rPr>
          <w:i/>
          <w:sz w:val="20"/>
          <w:szCs w:val="20"/>
        </w:rPr>
        <w:t>ź</w:t>
      </w:r>
      <w:r w:rsidR="00A16A1D" w:rsidRPr="00EA556F">
        <w:rPr>
          <w:i/>
          <w:sz w:val="20"/>
          <w:szCs w:val="20"/>
        </w:rPr>
        <w:t xml:space="preserve">ródło: </w:t>
      </w:r>
      <w:r>
        <w:rPr>
          <w:i/>
          <w:sz w:val="20"/>
          <w:szCs w:val="20"/>
        </w:rPr>
        <w:t>o</w:t>
      </w:r>
      <w:r w:rsidR="00A16A1D" w:rsidRPr="00EA556F">
        <w:rPr>
          <w:i/>
          <w:sz w:val="20"/>
          <w:szCs w:val="20"/>
        </w:rPr>
        <w:t>pracowanie własne na podstawie http://www.uwm.edu.pl/uniwersytet/wydzialy</w:t>
      </w:r>
    </w:p>
    <w:p w14:paraId="5620A955" w14:textId="6662C912" w:rsidR="0022618D" w:rsidRDefault="00A16A1D" w:rsidP="0022618D">
      <w:pPr>
        <w:jc w:val="both"/>
      </w:pPr>
      <w:r w:rsidRPr="00ED4EDD">
        <w:t>Podane kierunki dotyczą studiów jednolitych magisterskich oraz studiów I stopnia</w:t>
      </w:r>
      <w:r w:rsidR="00981854">
        <w:t xml:space="preserve"> (tj. </w:t>
      </w:r>
      <w:r w:rsidRPr="00ED4EDD">
        <w:t>studiów licencjackich lub inżynierskich</w:t>
      </w:r>
      <w:r w:rsidR="00981854">
        <w:t>)</w:t>
      </w:r>
      <w:r w:rsidRPr="00ED4EDD">
        <w:t>. Poszczególne wydziały prowadzą również studia II stopnia na wybranych kierunkach, a część z nich także stu</w:t>
      </w:r>
      <w:bookmarkStart w:id="227" w:name="_Toc49504791"/>
      <w:r w:rsidR="0022618D">
        <w:t>dia doktoranckie i podyplomowe.</w:t>
      </w:r>
    </w:p>
    <w:p w14:paraId="6FD260F9" w14:textId="77777777" w:rsidR="00F00985" w:rsidRPr="00F00985" w:rsidRDefault="00F00985" w:rsidP="00F00985">
      <w:pPr>
        <w:jc w:val="both"/>
      </w:pPr>
      <w:r w:rsidRPr="00F00985">
        <w:t>Jednostki szkół wyższych w Olsztynie są rozproszone. Dwie szkoły zlokalizowane są w osiedlu Podleśna, jedna w osiedlu Nagórki, a jeden wydział UWM na terenie Redykajny. Najwięcej jednostek nietworzących zwartego kampusu jest skupionych przy centrum miasta. Jednakże najwięcej jednostek (wydziałów UWM) – 11, znajduje się w miasteczku uniwersyteckim na terenie Kortowa.</w:t>
      </w:r>
    </w:p>
    <w:p w14:paraId="678F290E" w14:textId="698A8723" w:rsidR="008D44B7" w:rsidRPr="008D44B7" w:rsidRDefault="008D44B7" w:rsidP="008D44B7">
      <w:pPr>
        <w:pStyle w:val="Legenda"/>
        <w:rPr>
          <w:sz w:val="22"/>
          <w:szCs w:val="22"/>
          <w:lang w:val="pl-PL"/>
        </w:rPr>
      </w:pPr>
      <w:bookmarkStart w:id="228" w:name="_Toc73516179"/>
      <w:r w:rsidRPr="008D44B7">
        <w:rPr>
          <w:sz w:val="22"/>
          <w:szCs w:val="22"/>
          <w:lang w:val="pl-PL"/>
        </w:rPr>
        <w:t xml:space="preserve">Rysunek </w:t>
      </w:r>
      <w:r w:rsidRPr="008D44B7">
        <w:rPr>
          <w:sz w:val="22"/>
          <w:szCs w:val="22"/>
        </w:rPr>
        <w:fldChar w:fldCharType="begin"/>
      </w:r>
      <w:r w:rsidRPr="008D44B7">
        <w:rPr>
          <w:sz w:val="22"/>
          <w:szCs w:val="22"/>
          <w:lang w:val="pl-PL"/>
        </w:rPr>
        <w:instrText xml:space="preserve"> SEQ Rysunek \* ARABIC </w:instrText>
      </w:r>
      <w:r w:rsidRPr="008D44B7">
        <w:rPr>
          <w:sz w:val="22"/>
          <w:szCs w:val="22"/>
        </w:rPr>
        <w:fldChar w:fldCharType="separate"/>
      </w:r>
      <w:r w:rsidR="00AD58C3">
        <w:rPr>
          <w:noProof/>
          <w:sz w:val="22"/>
          <w:szCs w:val="22"/>
          <w:lang w:val="pl-PL"/>
        </w:rPr>
        <w:t>14</w:t>
      </w:r>
      <w:r w:rsidRPr="008D44B7">
        <w:rPr>
          <w:sz w:val="22"/>
          <w:szCs w:val="22"/>
        </w:rPr>
        <w:fldChar w:fldCharType="end"/>
      </w:r>
      <w:r w:rsidRPr="008D44B7">
        <w:rPr>
          <w:sz w:val="22"/>
          <w:szCs w:val="22"/>
          <w:lang w:val="pl-PL"/>
        </w:rPr>
        <w:t>. Lokalizacja jednostek szkół wyższych w Olsztynie</w:t>
      </w:r>
      <w:bookmarkEnd w:id="228"/>
      <w:r w:rsidRPr="008D44B7">
        <w:rPr>
          <w:sz w:val="22"/>
          <w:szCs w:val="22"/>
          <w:lang w:val="pl-PL"/>
        </w:rPr>
        <w:t xml:space="preserve"> </w:t>
      </w:r>
    </w:p>
    <w:p w14:paraId="4D1D6992" w14:textId="77777777" w:rsidR="00AA5E33" w:rsidRDefault="00F00985" w:rsidP="00AA5E33">
      <w:pPr>
        <w:keepNext/>
        <w:jc w:val="center"/>
      </w:pPr>
      <w:r w:rsidRPr="00F00985">
        <w:rPr>
          <w:noProof/>
          <w:lang w:eastAsia="pl-PL"/>
        </w:rPr>
        <w:drawing>
          <wp:inline distT="0" distB="0" distL="0" distR="0" wp14:anchorId="3764E4AF" wp14:editId="34A5DD00">
            <wp:extent cx="5760720" cy="4766945"/>
            <wp:effectExtent l="0" t="0" r="0" b="0"/>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720" cy="4766945"/>
                    </a:xfrm>
                    <a:prstGeom prst="rect">
                      <a:avLst/>
                    </a:prstGeom>
                  </pic:spPr>
                </pic:pic>
              </a:graphicData>
            </a:graphic>
          </wp:inline>
        </w:drawing>
      </w:r>
    </w:p>
    <w:p w14:paraId="2EC819FA" w14:textId="1D2BA28A" w:rsidR="008D44B7" w:rsidRPr="00CC1906" w:rsidRDefault="008D44B7" w:rsidP="008D44B7">
      <w:pPr>
        <w:spacing w:after="0" w:line="240" w:lineRule="auto"/>
        <w:jc w:val="center"/>
        <w:rPr>
          <w:i/>
          <w:sz w:val="20"/>
          <w:szCs w:val="20"/>
        </w:rPr>
      </w:pPr>
      <w:r w:rsidRPr="00CC1906">
        <w:rPr>
          <w:i/>
          <w:sz w:val="20"/>
          <w:szCs w:val="20"/>
        </w:rPr>
        <w:t>ź</w:t>
      </w:r>
      <w:r w:rsidR="00AA5E33" w:rsidRPr="00CC1906">
        <w:rPr>
          <w:i/>
          <w:sz w:val="20"/>
          <w:szCs w:val="20"/>
        </w:rPr>
        <w:t>ródło danych: str</w:t>
      </w:r>
      <w:r w:rsidRPr="00CC1906">
        <w:rPr>
          <w:i/>
          <w:sz w:val="20"/>
          <w:szCs w:val="20"/>
        </w:rPr>
        <w:t>ony internetowe szkół wyższych</w:t>
      </w:r>
    </w:p>
    <w:p w14:paraId="30DC1AD5" w14:textId="1A75A859" w:rsidR="00F00985" w:rsidRPr="00CC1906" w:rsidRDefault="00AA5E33" w:rsidP="008D44B7">
      <w:pPr>
        <w:spacing w:after="0" w:line="240" w:lineRule="auto"/>
        <w:jc w:val="center"/>
        <w:rPr>
          <w:i/>
          <w:sz w:val="20"/>
          <w:szCs w:val="20"/>
        </w:rPr>
      </w:pPr>
      <w:r w:rsidRPr="00CC1906">
        <w:rPr>
          <w:i/>
          <w:sz w:val="20"/>
          <w:szCs w:val="20"/>
        </w:rPr>
        <w:t>Podkład: Mapa Akustyczna Olsztyna; str. 10</w:t>
      </w:r>
    </w:p>
    <w:p w14:paraId="6103B7BD" w14:textId="77777777" w:rsidR="00F00985" w:rsidRPr="00F00985" w:rsidRDefault="00F00985" w:rsidP="00F00985">
      <w:pPr>
        <w:jc w:val="both"/>
      </w:pPr>
    </w:p>
    <w:p w14:paraId="66ACBD87" w14:textId="02AD20D7" w:rsidR="00F00985" w:rsidRPr="00F00985" w:rsidRDefault="00F00985" w:rsidP="00F00985">
      <w:pPr>
        <w:jc w:val="both"/>
      </w:pPr>
      <w:r w:rsidRPr="00F00985">
        <w:lastRenderedPageBreak/>
        <w:t>Kampus Kortowo jest ulokowany na południu miasta, przy dwóch jeziorach – Kortowskim i Starodworskim. Oprócz wydziałów i siedziby władz uczelni kampus zawiera także infrastrukturę zapewniającą funkcje inne niż tylko dydaktyczna i organizacyjna. Na terenie Kortowa zlokalizowane są liczne domy studenckie</w:t>
      </w:r>
      <w:r w:rsidRPr="00F00985">
        <w:rPr>
          <w:vertAlign w:val="superscript"/>
        </w:rPr>
        <w:footnoteReference w:id="68"/>
      </w:r>
      <w:r w:rsidRPr="00F00985">
        <w:t>, obiekty sportowe i rekreacyjne, tereny zielone (w tym pomniki przyrody). Dostępne są takie obiekty jak: Centrum Konferencyjne, Biblioteka Uniwersytecka, Centrum Akwakultury i Inżynierii Ekologicznej. Miasteczko studenckie w Olsztynie było wyróżniane m.in. przez miesięcznik National Geographic Traveler i Parlament Studentów RP</w:t>
      </w:r>
      <w:r w:rsidRPr="00F00985">
        <w:rPr>
          <w:vertAlign w:val="superscript"/>
        </w:rPr>
        <w:footnoteReference w:id="69"/>
      </w:r>
      <w:r w:rsidRPr="00F00985">
        <w:t xml:space="preserve"> </w:t>
      </w:r>
      <w:r w:rsidRPr="00F00985">
        <w:rPr>
          <w:vertAlign w:val="superscript"/>
        </w:rPr>
        <w:footnoteReference w:id="70"/>
      </w:r>
      <w:r w:rsidRPr="00F00985">
        <w:t>.</w:t>
      </w:r>
    </w:p>
    <w:p w14:paraId="736C47C2" w14:textId="7A5AD000" w:rsidR="005055FD" w:rsidRPr="005055FD" w:rsidRDefault="005055FD" w:rsidP="005055FD">
      <w:pPr>
        <w:pStyle w:val="Legenda"/>
        <w:rPr>
          <w:sz w:val="22"/>
          <w:szCs w:val="22"/>
          <w:lang w:val="pl-PL"/>
        </w:rPr>
      </w:pPr>
      <w:bookmarkStart w:id="229" w:name="_Toc73516180"/>
      <w:r w:rsidRPr="005055FD">
        <w:rPr>
          <w:sz w:val="22"/>
          <w:szCs w:val="22"/>
          <w:lang w:val="pl-PL"/>
        </w:rPr>
        <w:t xml:space="preserve">Rysunek </w:t>
      </w:r>
      <w:r w:rsidRPr="005055FD">
        <w:rPr>
          <w:sz w:val="22"/>
          <w:szCs w:val="22"/>
        </w:rPr>
        <w:fldChar w:fldCharType="begin"/>
      </w:r>
      <w:r w:rsidRPr="005055FD">
        <w:rPr>
          <w:sz w:val="22"/>
          <w:szCs w:val="22"/>
          <w:lang w:val="pl-PL"/>
        </w:rPr>
        <w:instrText xml:space="preserve"> SEQ Rysunek \* ARABIC </w:instrText>
      </w:r>
      <w:r w:rsidRPr="005055FD">
        <w:rPr>
          <w:sz w:val="22"/>
          <w:szCs w:val="22"/>
        </w:rPr>
        <w:fldChar w:fldCharType="separate"/>
      </w:r>
      <w:r w:rsidR="00AD58C3">
        <w:rPr>
          <w:noProof/>
          <w:sz w:val="22"/>
          <w:szCs w:val="22"/>
          <w:lang w:val="pl-PL"/>
        </w:rPr>
        <w:t>15</w:t>
      </w:r>
      <w:r w:rsidRPr="005055FD">
        <w:rPr>
          <w:sz w:val="22"/>
          <w:szCs w:val="22"/>
        </w:rPr>
        <w:fldChar w:fldCharType="end"/>
      </w:r>
      <w:r w:rsidRPr="005055FD">
        <w:rPr>
          <w:sz w:val="22"/>
          <w:szCs w:val="22"/>
          <w:lang w:val="pl-PL"/>
        </w:rPr>
        <w:t>. Plan kampusu Kortowo UWM</w:t>
      </w:r>
      <w:bookmarkEnd w:id="229"/>
    </w:p>
    <w:p w14:paraId="57C7D9F8" w14:textId="77777777" w:rsidR="00AA5E33" w:rsidRDefault="00F00985" w:rsidP="00AA5E33">
      <w:pPr>
        <w:keepNext/>
        <w:jc w:val="center"/>
      </w:pPr>
      <w:r w:rsidRPr="00F00985">
        <w:rPr>
          <w:noProof/>
          <w:lang w:eastAsia="pl-PL"/>
        </w:rPr>
        <w:drawing>
          <wp:inline distT="0" distB="0" distL="0" distR="0" wp14:anchorId="5A1C1128" wp14:editId="01CB024D">
            <wp:extent cx="5848350" cy="3285895"/>
            <wp:effectExtent l="0" t="0" r="0" b="0"/>
            <wp:docPr id="201" name="Obraz 201" descr="C:\GEOPROFIT praca\Olsztyn\materiały\mapa_korto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GEOPROFIT praca\Olsztyn\materiały\mapa_kortowa.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157" r="2603" b="15562"/>
                    <a:stretch/>
                  </pic:blipFill>
                  <pic:spPr bwMode="auto">
                    <a:xfrm>
                      <a:off x="0" y="0"/>
                      <a:ext cx="5854605" cy="3289409"/>
                    </a:xfrm>
                    <a:prstGeom prst="rect">
                      <a:avLst/>
                    </a:prstGeom>
                    <a:noFill/>
                    <a:ln>
                      <a:noFill/>
                    </a:ln>
                    <a:extLst>
                      <a:ext uri="{53640926-AAD7-44D8-BBD7-CCE9431645EC}">
                        <a14:shadowObscured xmlns:a14="http://schemas.microsoft.com/office/drawing/2010/main"/>
                      </a:ext>
                    </a:extLst>
                  </pic:spPr>
                </pic:pic>
              </a:graphicData>
            </a:graphic>
          </wp:inline>
        </w:drawing>
      </w:r>
    </w:p>
    <w:p w14:paraId="086B2C3C" w14:textId="2CAF5EE3" w:rsidR="00F00985" w:rsidRPr="005055FD" w:rsidRDefault="005055FD" w:rsidP="005055FD">
      <w:pPr>
        <w:jc w:val="center"/>
        <w:rPr>
          <w:i/>
          <w:sz w:val="20"/>
          <w:szCs w:val="20"/>
        </w:rPr>
      </w:pPr>
      <w:r>
        <w:rPr>
          <w:i/>
          <w:sz w:val="20"/>
          <w:szCs w:val="20"/>
        </w:rPr>
        <w:t>ź</w:t>
      </w:r>
      <w:r w:rsidR="00AA5E33" w:rsidRPr="005055FD">
        <w:rPr>
          <w:i/>
          <w:sz w:val="20"/>
          <w:szCs w:val="20"/>
        </w:rPr>
        <w:t>ródło: http://www.uwm.edu.pl/cks/dokumenty.htm</w:t>
      </w:r>
    </w:p>
    <w:p w14:paraId="0654F002" w14:textId="77777777" w:rsidR="00F00985" w:rsidRDefault="00F00985" w:rsidP="0022618D">
      <w:pPr>
        <w:jc w:val="both"/>
      </w:pPr>
    </w:p>
    <w:p w14:paraId="6FDD5B31" w14:textId="63F5573D" w:rsidR="00A16A1D" w:rsidRPr="00ED4EDD" w:rsidRDefault="0022618D" w:rsidP="00A16A1D">
      <w:pPr>
        <w:pStyle w:val="Nagwek3"/>
        <w:rPr>
          <w:sz w:val="22"/>
          <w:szCs w:val="22"/>
        </w:rPr>
      </w:pPr>
      <w:bookmarkStart w:id="230" w:name="_Toc73534931"/>
      <w:r>
        <w:rPr>
          <w:sz w:val="22"/>
          <w:szCs w:val="22"/>
        </w:rPr>
        <w:t xml:space="preserve">3.4.4 </w:t>
      </w:r>
      <w:r w:rsidR="00A16A1D" w:rsidRPr="00ED4EDD">
        <w:rPr>
          <w:sz w:val="22"/>
          <w:szCs w:val="22"/>
        </w:rPr>
        <w:t>Kierunki studiów a inteligentne specjalizacje</w:t>
      </w:r>
      <w:bookmarkEnd w:id="227"/>
      <w:bookmarkEnd w:id="230"/>
    </w:p>
    <w:p w14:paraId="1A005938" w14:textId="77777777" w:rsidR="00A16A1D" w:rsidRPr="00ED4EDD" w:rsidRDefault="00A16A1D" w:rsidP="00A16A1D">
      <w:r w:rsidRPr="00ED4EDD">
        <w:t>W województwie warmińsko-mazurskim zostały określone 3 główne regionalne specjalizacje, tj.:</w:t>
      </w:r>
    </w:p>
    <w:p w14:paraId="1A6B7AE9" w14:textId="77777777" w:rsidR="00A16A1D" w:rsidRPr="00ED4EDD" w:rsidRDefault="00A16A1D" w:rsidP="00A16A1D">
      <w:pPr>
        <w:pStyle w:val="Akapitzlist"/>
        <w:numPr>
          <w:ilvl w:val="0"/>
          <w:numId w:val="22"/>
        </w:numPr>
      </w:pPr>
      <w:r w:rsidRPr="00ED4EDD">
        <w:t>ekonomia wody;</w:t>
      </w:r>
    </w:p>
    <w:p w14:paraId="2856EDA6" w14:textId="77777777" w:rsidR="00A16A1D" w:rsidRPr="00ED4EDD" w:rsidRDefault="00A16A1D" w:rsidP="00A16A1D">
      <w:pPr>
        <w:pStyle w:val="Akapitzlist"/>
        <w:numPr>
          <w:ilvl w:val="0"/>
          <w:numId w:val="22"/>
        </w:numPr>
      </w:pPr>
      <w:r w:rsidRPr="00ED4EDD">
        <w:t>drewno i meblarstwo;</w:t>
      </w:r>
    </w:p>
    <w:p w14:paraId="29E7CB34" w14:textId="77777777" w:rsidR="00A16A1D" w:rsidRPr="00ED4EDD" w:rsidRDefault="00A16A1D" w:rsidP="00A16A1D">
      <w:pPr>
        <w:pStyle w:val="Akapitzlist"/>
        <w:numPr>
          <w:ilvl w:val="0"/>
          <w:numId w:val="22"/>
        </w:numPr>
      </w:pPr>
      <w:r w:rsidRPr="00ED4EDD">
        <w:t>żywność wysokiej jakości.</w:t>
      </w:r>
    </w:p>
    <w:p w14:paraId="3C6B51D3" w14:textId="41FD56C0" w:rsidR="00A16A1D" w:rsidRDefault="00A16A1D" w:rsidP="00A16A1D">
      <w:pPr>
        <w:jc w:val="both"/>
      </w:pPr>
      <w:r w:rsidRPr="00ED4EDD">
        <w:t xml:space="preserve">Uniwersytet Warmińsko-Mazurski w Olsztynie na różnych wydziałach prowadzi kilka kierunków, które mogą się wpisać w realizację inteligentnych specjalizacji. Są to w szczególności kierunki związane </w:t>
      </w:r>
      <w:r>
        <w:br/>
      </w:r>
      <w:r w:rsidRPr="00ED4EDD">
        <w:t>z bioinżynierią produkcji żywności, biotechnologią, rolnictwem, rybactwem, inżynierią maszyn rolniczych, spożywczych i leśnych, leśnictwem czy technologią żywności i żywieniem człowieka. Ekonomia wody jest specjalizacją związaną w szczególności z wypoczynkiem w połączeniu z odnową biologiczną. Kierunki w tym zakresie realizowane są w głównej mierze przez Olsztyńską Szkołę Wyższą  (fizjoterapia, kosmetologia).</w:t>
      </w:r>
    </w:p>
    <w:p w14:paraId="2EF5DD84" w14:textId="77777777" w:rsidR="0022618D" w:rsidRPr="00ED4EDD" w:rsidRDefault="0022618D" w:rsidP="00A16A1D">
      <w:pPr>
        <w:jc w:val="both"/>
      </w:pPr>
    </w:p>
    <w:p w14:paraId="7C2ECD83" w14:textId="5F12FD00" w:rsidR="00A16A1D" w:rsidRPr="00ED4EDD" w:rsidRDefault="0022618D" w:rsidP="00A16A1D">
      <w:pPr>
        <w:pStyle w:val="Nagwek3"/>
        <w:rPr>
          <w:sz w:val="22"/>
          <w:szCs w:val="22"/>
        </w:rPr>
      </w:pPr>
      <w:bookmarkStart w:id="231" w:name="_Toc49504792"/>
      <w:bookmarkStart w:id="232" w:name="_Toc73534932"/>
      <w:r>
        <w:rPr>
          <w:sz w:val="22"/>
          <w:szCs w:val="22"/>
        </w:rPr>
        <w:t xml:space="preserve">3.4.5 </w:t>
      </w:r>
      <w:r w:rsidR="00A16A1D" w:rsidRPr="00ED4EDD">
        <w:rPr>
          <w:sz w:val="22"/>
          <w:szCs w:val="22"/>
        </w:rPr>
        <w:t>Jednostki naukowe i badawczo-rozwojowe</w:t>
      </w:r>
      <w:bookmarkEnd w:id="231"/>
      <w:bookmarkEnd w:id="232"/>
    </w:p>
    <w:p w14:paraId="2A8F0DD5" w14:textId="1C0BC4B2" w:rsidR="00A16A1D" w:rsidRPr="00823710" w:rsidRDefault="00A16A1D" w:rsidP="00A16A1D">
      <w:pPr>
        <w:jc w:val="both"/>
      </w:pPr>
      <w:r w:rsidRPr="00ED4EDD">
        <w:t>Jednostki naukowe i badawczo-rozwojowe w Olsztynie to przede wszystkim Instytut Rozrodu Zwierząt i Badań Żywności Polskiej Akademii Nauk w Olsztynie, Instytut Rybactwa Śródlądowego im. Stanisława Sakowicza w Olsztynie oraz Instytut Północny im. Wojciecha Kętrzyńskiego w Olsztynie</w:t>
      </w:r>
      <w:r w:rsidR="000A6596">
        <w:t>,</w:t>
      </w:r>
      <w:r w:rsidRPr="00ED4EDD">
        <w:t xml:space="preserve"> powstały </w:t>
      </w:r>
      <w:r>
        <w:br/>
      </w:r>
      <w:r w:rsidRPr="00ED4EDD">
        <w:t xml:space="preserve">z przekształcenia Ośrodka Badań Naukowych im. Wojciecha Kętrzyńskiego na mocy ustawy z dnia </w:t>
      </w:r>
      <w:r w:rsidR="003B6C11">
        <w:br/>
      </w:r>
      <w:r w:rsidRPr="00ED4EDD">
        <w:t xml:space="preserve">6 </w:t>
      </w:r>
      <w:r w:rsidRPr="00823710">
        <w:t>grudnia 2018 r. o zmianie ustawy o organizowaniu i prowadzeniu działalności kulturalnej.</w:t>
      </w:r>
    </w:p>
    <w:p w14:paraId="4D1265F1" w14:textId="77777777" w:rsidR="00A16A1D" w:rsidRPr="00823710" w:rsidRDefault="00A16A1D" w:rsidP="00A16A1D">
      <w:pPr>
        <w:jc w:val="both"/>
      </w:pPr>
      <w:r w:rsidRPr="00823710">
        <w:rPr>
          <w:b/>
        </w:rPr>
        <w:t>Instytut Rozrodu Zwierząt i Badań Żywności w Olsztynie</w:t>
      </w:r>
      <w:r w:rsidRPr="00823710">
        <w:t xml:space="preserve"> prowadzi badania wyjaśniające mechanizmy oddziaływania środowiska na jakość życia człowieka i dobrostan zwierząt. Nawiązuje również współpracę z jednostkami badawczymi w Europie i kraju w celu realizacji wspólnych przedsięwzięć badawczych.</w:t>
      </w:r>
      <w:r w:rsidRPr="00823710">
        <w:rPr>
          <w:rFonts w:ascii="Times New Roman" w:eastAsia="Times New Roman" w:hAnsi="Times New Roman" w:cs="Times New Roman"/>
          <w:b/>
          <w:bCs/>
          <w:sz w:val="27"/>
          <w:szCs w:val="27"/>
          <w:lang w:eastAsia="pl-PL"/>
        </w:rPr>
        <w:t xml:space="preserve"> </w:t>
      </w:r>
    </w:p>
    <w:p w14:paraId="55DDA5EB" w14:textId="77777777" w:rsidR="00A16A1D" w:rsidRPr="00823710" w:rsidRDefault="00A16A1D" w:rsidP="00A16A1D">
      <w:pPr>
        <w:jc w:val="both"/>
        <w:rPr>
          <w:bCs/>
        </w:rPr>
      </w:pPr>
      <w:r w:rsidRPr="00823710">
        <w:rPr>
          <w:bCs/>
        </w:rPr>
        <w:t xml:space="preserve">W Instytucie funkcjonuje 13 Zakładów, m.in. Zakład Biologii Gamet i Zarodka, Zakład Immunologii </w:t>
      </w:r>
      <w:r>
        <w:rPr>
          <w:bCs/>
        </w:rPr>
        <w:br/>
      </w:r>
      <w:r w:rsidRPr="00823710">
        <w:rPr>
          <w:bCs/>
        </w:rPr>
        <w:t xml:space="preserve">i Mikrobiologii Żywności, Zakład Profilaktyki Chorób Metabolicznych, Zakład Biologii i Patologii Rozrodu Człowieka czy Zakład Ochrony Bioróżnorodności. </w:t>
      </w:r>
      <w:r w:rsidR="00981854">
        <w:rPr>
          <w:bCs/>
        </w:rPr>
        <w:t>Ponadto</w:t>
      </w:r>
      <w:r w:rsidRPr="00823710">
        <w:rPr>
          <w:bCs/>
        </w:rPr>
        <w:t xml:space="preserve"> w placówce działają 4 laboratoria prowadzące badania i analizy oraz zwierzętarnię składającą się z dwóch niezależnych podjednostek – zwierzętarni</w:t>
      </w:r>
      <w:r w:rsidR="00981854">
        <w:rPr>
          <w:bCs/>
        </w:rPr>
        <w:t>ę</w:t>
      </w:r>
      <w:r w:rsidRPr="00823710">
        <w:rPr>
          <w:bCs/>
        </w:rPr>
        <w:t xml:space="preserve"> prowadzącą badania na zwierzętach la</w:t>
      </w:r>
      <w:r w:rsidR="00981854">
        <w:rPr>
          <w:bCs/>
        </w:rPr>
        <w:t>boratoryjnych oraz zwierzętarnię</w:t>
      </w:r>
      <w:r w:rsidRPr="00823710">
        <w:rPr>
          <w:bCs/>
        </w:rPr>
        <w:t xml:space="preserve"> zwierząt gospodarskich.</w:t>
      </w:r>
    </w:p>
    <w:p w14:paraId="3332FA45" w14:textId="77777777" w:rsidR="00A16A1D" w:rsidRPr="00823710" w:rsidRDefault="00A16A1D" w:rsidP="00A16A1D">
      <w:pPr>
        <w:jc w:val="both"/>
      </w:pPr>
      <w:r w:rsidRPr="00823710">
        <w:t xml:space="preserve">Instytut oferuje </w:t>
      </w:r>
      <w:r w:rsidRPr="00823710">
        <w:rPr>
          <w:bCs/>
        </w:rPr>
        <w:t>4-letnie dzienne studia doktoranckie</w:t>
      </w:r>
      <w:r w:rsidRPr="00823710">
        <w:t xml:space="preserve">. Słuchacze studiów są włączeni w realizację kierunków badawczych aktualnie rozwijanych w obu oddziałach Instytutu. Należą do nich między innymi: molekularne, biochemiczne i fizjologiczne podstawy rozrodu zwierząt domowych i ryb, biotechnika i biotechnologia rozrodu, właściwości biochemiczne i immunochemiczne glikoprotein żywności, fitozwiązki o istotnym znaczeniu dla zdrowia konsumentów, zastosowanie metod in vivo </w:t>
      </w:r>
      <w:r>
        <w:br/>
      </w:r>
      <w:r w:rsidRPr="00823710">
        <w:t xml:space="preserve">w ocenie biologicznych właściwości i bezpieczeństwa żywności. </w:t>
      </w:r>
    </w:p>
    <w:p w14:paraId="45B7F0FF" w14:textId="77777777" w:rsidR="00A16A1D" w:rsidRPr="00823710" w:rsidRDefault="00A16A1D" w:rsidP="00A16A1D">
      <w:pPr>
        <w:jc w:val="both"/>
      </w:pPr>
      <w:r w:rsidRPr="00823710">
        <w:t xml:space="preserve">W Instytucie od roku 1991 wydawane jest czasopismo o zasięgu międzynarodowym – </w:t>
      </w:r>
      <w:hyperlink r:id="rId102" w:tgtFrame="_blank" w:history="1">
        <w:r w:rsidRPr="00823710">
          <w:rPr>
            <w:rStyle w:val="Hipercze"/>
            <w:bCs/>
            <w:i/>
            <w:color w:val="auto"/>
          </w:rPr>
          <w:t>Polish Journal of Food and Nutrition Sciences</w:t>
        </w:r>
      </w:hyperlink>
      <w:r w:rsidRPr="00823710">
        <w:t xml:space="preserve">. </w:t>
      </w:r>
      <w:r w:rsidR="0057355A">
        <w:t>K</w:t>
      </w:r>
      <w:r w:rsidRPr="00823710">
        <w:t>wartalnik</w:t>
      </w:r>
      <w:r w:rsidR="0057355A">
        <w:t xml:space="preserve"> ten</w:t>
      </w:r>
      <w:r w:rsidRPr="00823710">
        <w:t xml:space="preserve">, </w:t>
      </w:r>
      <w:r w:rsidR="0057355A">
        <w:t>poprzez</w:t>
      </w:r>
      <w:r w:rsidRPr="00823710">
        <w:t xml:space="preserve"> publik</w:t>
      </w:r>
      <w:r w:rsidR="0057355A">
        <w:t>ację w</w:t>
      </w:r>
      <w:r w:rsidRPr="00823710">
        <w:t xml:space="preserve"> języku angielskim oryginaln</w:t>
      </w:r>
      <w:r w:rsidR="0057355A">
        <w:t>ych</w:t>
      </w:r>
      <w:r w:rsidRPr="00823710">
        <w:t xml:space="preserve"> prac z zakresu nauki o żywności i żywieniu, promuj</w:t>
      </w:r>
      <w:r w:rsidR="0057355A">
        <w:t>e</w:t>
      </w:r>
      <w:r w:rsidRPr="00823710">
        <w:t xml:space="preserve"> w świecie dokonania polskich ośrodków naukowych oraz propaguj</w:t>
      </w:r>
      <w:r w:rsidR="0057355A">
        <w:t>e</w:t>
      </w:r>
      <w:r w:rsidRPr="00823710">
        <w:t xml:space="preserve"> współpracę międzynarodową. </w:t>
      </w:r>
      <w:r w:rsidRPr="00823710">
        <w:rPr>
          <w:rStyle w:val="Odwoanieprzypisudolnego"/>
        </w:rPr>
        <w:footnoteReference w:id="71"/>
      </w:r>
    </w:p>
    <w:p w14:paraId="3CA54EDD" w14:textId="77777777" w:rsidR="00A16A1D" w:rsidRPr="00823710" w:rsidRDefault="00A16A1D" w:rsidP="00A16A1D">
      <w:pPr>
        <w:tabs>
          <w:tab w:val="num" w:pos="720"/>
        </w:tabs>
        <w:jc w:val="both"/>
      </w:pPr>
      <w:r w:rsidRPr="00823710">
        <w:rPr>
          <w:b/>
        </w:rPr>
        <w:t>Instytut Rybactwa Śródlądowego im. Stanisława Sakowicza w Olsztynie</w:t>
      </w:r>
      <w:r w:rsidRPr="00823710">
        <w:rPr>
          <w:rFonts w:eastAsia="Times New Roman" w:cs="Times New Roman"/>
          <w:lang w:eastAsia="pl-PL"/>
        </w:rPr>
        <w:t xml:space="preserve"> p</w:t>
      </w:r>
      <w:r w:rsidRPr="00823710">
        <w:t>rowadzi działalność naukowo-badawczą dotyczącą śródlądowej gospodarki rybackiej.</w:t>
      </w:r>
      <w:r w:rsidRPr="00823710">
        <w:rPr>
          <w:rFonts w:ascii="Times New Roman" w:eastAsia="Times New Roman" w:hAnsi="Times New Roman" w:cs="Times New Roman"/>
          <w:sz w:val="24"/>
          <w:szCs w:val="24"/>
          <w:lang w:eastAsia="pl-PL"/>
        </w:rPr>
        <w:t xml:space="preserve"> </w:t>
      </w:r>
      <w:r w:rsidRPr="00823710">
        <w:t>Istnieje od 1 stycznia 1951 roku,</w:t>
      </w:r>
      <w:r>
        <w:br/>
      </w:r>
      <w:r w:rsidRPr="00823710">
        <w:t xml:space="preserve"> a w 1987 przyjął imię swego założyciela – Stanisława Sakowicza.</w:t>
      </w:r>
    </w:p>
    <w:p w14:paraId="2CCF412A" w14:textId="122737DC" w:rsidR="00A16A1D" w:rsidRPr="00823710" w:rsidRDefault="00A16A1D" w:rsidP="00A16A1D">
      <w:pPr>
        <w:tabs>
          <w:tab w:val="num" w:pos="720"/>
        </w:tabs>
        <w:jc w:val="both"/>
      </w:pPr>
      <w:r w:rsidRPr="00823710">
        <w:t>Instytut prowadzi wielozadaniowy program naukowo-badawczy „Racjonalizacja śródlądowej gospodarki rybackiej w powiązaniu z ochroną środowiska wodnego” w kierunku opracowania metod optymalizacji produkcji rybackiej w warunkach ograniczeń ekologicznych i ekonomicznych, kształtowania gospodarki jako narzędzia ochrony i zagospodarowania ekosystemów wodnych oraz poznaw</w:t>
      </w:r>
      <w:r w:rsidR="00F3455B">
        <w:t>ania uwarunkowań i projektowania</w:t>
      </w:r>
      <w:r w:rsidRPr="00823710">
        <w:t xml:space="preserve"> gospodarki rybackiej w systemie wielorakiego użytkowania zbiorników wodnych.</w:t>
      </w:r>
    </w:p>
    <w:p w14:paraId="2603A9AC" w14:textId="13B77F4E" w:rsidR="00A16A1D" w:rsidRPr="00823710" w:rsidRDefault="00A16A1D" w:rsidP="00A16A1D">
      <w:pPr>
        <w:tabs>
          <w:tab w:val="num" w:pos="720"/>
        </w:tabs>
        <w:jc w:val="both"/>
      </w:pPr>
      <w:r w:rsidRPr="00823710">
        <w:t>Jednostka dysponuje zapleczem ekspery</w:t>
      </w:r>
      <w:r>
        <w:t>mentalno-doświ</w:t>
      </w:r>
      <w:r w:rsidR="00370462">
        <w:t>adczalnym, m.in. laboratoriami</w:t>
      </w:r>
      <w:r w:rsidR="00CC1906">
        <w:t xml:space="preserve"> </w:t>
      </w:r>
      <w:r w:rsidR="00CC1906">
        <w:br/>
      </w:r>
      <w:r>
        <w:t xml:space="preserve">i </w:t>
      </w:r>
      <w:r w:rsidRPr="00823710">
        <w:t>wylęgarniami. Podlegają jej dwa samodzielne rybackie zakłady doświadczalne, prowadzące również działalność produkcyjną.</w:t>
      </w:r>
    </w:p>
    <w:p w14:paraId="7590F4E9" w14:textId="77777777" w:rsidR="00A16A1D" w:rsidRPr="00823710" w:rsidRDefault="00A16A1D" w:rsidP="00A16A1D">
      <w:pPr>
        <w:tabs>
          <w:tab w:val="num" w:pos="720"/>
        </w:tabs>
        <w:jc w:val="both"/>
      </w:pPr>
      <w:r w:rsidRPr="00823710">
        <w:lastRenderedPageBreak/>
        <w:t xml:space="preserve">Rada Naukowa </w:t>
      </w:r>
      <w:r w:rsidR="0057355A">
        <w:t xml:space="preserve">Instytutu </w:t>
      </w:r>
      <w:r w:rsidRPr="00823710">
        <w:t>posiada</w:t>
      </w:r>
      <w:r w:rsidR="0057355A">
        <w:t xml:space="preserve"> </w:t>
      </w:r>
      <w:r w:rsidRPr="00823710">
        <w:t>uprawnienia do nadawania stopnia naukowego doktora i doktora habilitowanego nauk rolniczych w zakresie rybactwa.</w:t>
      </w:r>
    </w:p>
    <w:p w14:paraId="55108F25" w14:textId="77777777" w:rsidR="00A16A1D" w:rsidRPr="00823710" w:rsidRDefault="00A16A1D" w:rsidP="00A16A1D">
      <w:pPr>
        <w:tabs>
          <w:tab w:val="num" w:pos="720"/>
        </w:tabs>
        <w:jc w:val="both"/>
      </w:pPr>
      <w:r w:rsidRPr="00823710">
        <w:t xml:space="preserve">Instytut wypełniając zadania statutowe współpracuje z praktyką rybacką (konsultacje, doradztwo, szkolenia, upowszechnianie i wdrażanie różnych rozwiązań) oraz administracją państwową </w:t>
      </w:r>
      <w:r>
        <w:br/>
      </w:r>
      <w:r w:rsidRPr="00823710">
        <w:t xml:space="preserve">i samorządową, a także współdziała z wieloma placówkami i organizacjami naukowymi krajowymi </w:t>
      </w:r>
      <w:r>
        <w:br/>
      </w:r>
      <w:r w:rsidRPr="00823710">
        <w:t xml:space="preserve">i zagranicznymi. </w:t>
      </w:r>
      <w:r w:rsidRPr="00823710">
        <w:rPr>
          <w:rStyle w:val="Odwoanieprzypisudolnego"/>
        </w:rPr>
        <w:footnoteReference w:id="72"/>
      </w:r>
    </w:p>
    <w:p w14:paraId="77506C0F" w14:textId="77777777" w:rsidR="00A16A1D" w:rsidRPr="00823710" w:rsidRDefault="00A16A1D" w:rsidP="00A16A1D">
      <w:pPr>
        <w:tabs>
          <w:tab w:val="num" w:pos="720"/>
        </w:tabs>
        <w:jc w:val="both"/>
        <w:rPr>
          <w:bCs/>
        </w:rPr>
      </w:pPr>
      <w:r w:rsidRPr="00823710">
        <w:rPr>
          <w:b/>
        </w:rPr>
        <w:t>Instytut Północny im. Wojciecha Kętrzyńskiego</w:t>
      </w:r>
      <w:r w:rsidRPr="00823710">
        <w:t xml:space="preserve"> prowadzi badania oraz upowszechnia wiedzę o historii i dziedzictwie ziem dawnych Prus, w szczególności obszaru</w:t>
      </w:r>
      <w:r w:rsidR="0057355A">
        <w:t xml:space="preserve"> Polski północno-wschodniej</w:t>
      </w:r>
      <w:r w:rsidRPr="00823710">
        <w:t>.</w:t>
      </w:r>
      <w:r w:rsidRPr="00823710">
        <w:rPr>
          <w:rFonts w:ascii="Times New Roman" w:eastAsia="Times New Roman" w:hAnsi="Times New Roman" w:cs="Times New Roman"/>
          <w:b/>
          <w:bCs/>
          <w:sz w:val="24"/>
          <w:szCs w:val="24"/>
          <w:lang w:eastAsia="pl-PL"/>
        </w:rPr>
        <w:t xml:space="preserve"> </w:t>
      </w:r>
    </w:p>
    <w:p w14:paraId="634E71AF" w14:textId="77777777" w:rsidR="00A16A1D" w:rsidRPr="00823710" w:rsidRDefault="00A16A1D" w:rsidP="00A16A1D">
      <w:pPr>
        <w:tabs>
          <w:tab w:val="num" w:pos="720"/>
        </w:tabs>
        <w:jc w:val="both"/>
      </w:pPr>
      <w:r w:rsidRPr="00823710">
        <w:rPr>
          <w:bCs/>
        </w:rPr>
        <w:t>Instytut p</w:t>
      </w:r>
      <w:r w:rsidRPr="00823710">
        <w:t xml:space="preserve">rowadzi badania naukowe dotyczące przeszłości i dziedzictwa regionu we współpracy </w:t>
      </w:r>
      <w:r>
        <w:br/>
      </w:r>
      <w:r w:rsidRPr="00823710">
        <w:t xml:space="preserve">z instytucjami krajowymi i zagranicznymi, gromadzi, przechowuje i sprawuje wszechstronną opiekę nad zbiorami naukowymi dotyczącymi historii i dziedzictwa Warmii i Mazur, prowadzi działalność dokumentacyjną, informacyjną oraz wydawniczą, realizuje projekty edukacyjne, organizuje konferencje, spotkania i wystawy, a także realizuje programy stypendialne i dotacyjne. </w:t>
      </w:r>
      <w:r w:rsidRPr="00823710">
        <w:rPr>
          <w:rStyle w:val="Odwoanieprzypisudolnego"/>
        </w:rPr>
        <w:footnoteReference w:id="73"/>
      </w:r>
    </w:p>
    <w:p w14:paraId="536C38B0" w14:textId="77777777" w:rsidR="00A16A1D" w:rsidRPr="00ED4EDD" w:rsidRDefault="00A16A1D" w:rsidP="00A16A1D">
      <w:pPr>
        <w:tabs>
          <w:tab w:val="num" w:pos="720"/>
        </w:tabs>
        <w:jc w:val="both"/>
      </w:pPr>
      <w:r w:rsidRPr="00ED4EDD">
        <w:t>Do pozostałych ośrodków wspierania innowacyjności i ośrodków konsultacyjno-doradczych zaliczyć można m.in.:</w:t>
      </w:r>
    </w:p>
    <w:p w14:paraId="79C7AA46" w14:textId="77777777" w:rsidR="00A16A1D" w:rsidRPr="00ED4EDD" w:rsidRDefault="00A16A1D" w:rsidP="00A16A1D">
      <w:pPr>
        <w:pStyle w:val="Akapitzlist"/>
        <w:numPr>
          <w:ilvl w:val="0"/>
          <w:numId w:val="1"/>
        </w:numPr>
        <w:tabs>
          <w:tab w:val="num" w:pos="720"/>
        </w:tabs>
        <w:jc w:val="both"/>
      </w:pPr>
      <w:r w:rsidRPr="00ED4EDD">
        <w:t>Centrum Innowacji i Transferu Technologii UWM;</w:t>
      </w:r>
    </w:p>
    <w:p w14:paraId="7BDC46AC" w14:textId="77777777" w:rsidR="00A16A1D" w:rsidRPr="00ED4EDD" w:rsidRDefault="00A16A1D" w:rsidP="00A16A1D">
      <w:pPr>
        <w:pStyle w:val="Akapitzlist"/>
        <w:numPr>
          <w:ilvl w:val="0"/>
          <w:numId w:val="1"/>
        </w:numPr>
        <w:tabs>
          <w:tab w:val="num" w:pos="720"/>
        </w:tabs>
        <w:jc w:val="both"/>
      </w:pPr>
      <w:r w:rsidRPr="00ED4EDD">
        <w:t>Centrum Wdrażania i Promocji Innowacji;</w:t>
      </w:r>
    </w:p>
    <w:p w14:paraId="4C902F71" w14:textId="77777777" w:rsidR="00A16A1D" w:rsidRPr="00ED4EDD" w:rsidRDefault="00A16A1D" w:rsidP="00A16A1D">
      <w:pPr>
        <w:pStyle w:val="Akapitzlist"/>
        <w:numPr>
          <w:ilvl w:val="0"/>
          <w:numId w:val="1"/>
        </w:numPr>
        <w:tabs>
          <w:tab w:val="num" w:pos="720"/>
        </w:tabs>
        <w:jc w:val="both"/>
      </w:pPr>
      <w:r w:rsidRPr="00ED4EDD">
        <w:t>Warmińsko-Mazurska Agencja Rozwoju Regionalnego S.A.;</w:t>
      </w:r>
    </w:p>
    <w:p w14:paraId="5278DEBC" w14:textId="77777777" w:rsidR="00A16A1D" w:rsidRPr="00ED4EDD" w:rsidRDefault="00A16A1D" w:rsidP="00A16A1D">
      <w:pPr>
        <w:pStyle w:val="Akapitzlist"/>
        <w:numPr>
          <w:ilvl w:val="0"/>
          <w:numId w:val="1"/>
        </w:numPr>
        <w:tabs>
          <w:tab w:val="num" w:pos="720"/>
        </w:tabs>
        <w:jc w:val="both"/>
      </w:pPr>
      <w:r w:rsidRPr="00ED4EDD">
        <w:t>Warmińsko-Mazurska Izba Rzemiosła i Przedsiębiorczości;</w:t>
      </w:r>
    </w:p>
    <w:p w14:paraId="0205C697" w14:textId="77777777" w:rsidR="00A16A1D" w:rsidRPr="00ED4EDD" w:rsidRDefault="00A16A1D" w:rsidP="00A16A1D">
      <w:pPr>
        <w:pStyle w:val="Akapitzlist"/>
        <w:numPr>
          <w:ilvl w:val="0"/>
          <w:numId w:val="1"/>
        </w:numPr>
        <w:tabs>
          <w:tab w:val="num" w:pos="720"/>
        </w:tabs>
        <w:jc w:val="both"/>
      </w:pPr>
      <w:r w:rsidRPr="00ED4EDD">
        <w:t>Warmińsko-Mazurska Rada Federacji Stowarzyszeń Naukowo-Technicznych NOT w Olsztynie;</w:t>
      </w:r>
    </w:p>
    <w:p w14:paraId="32A03EBC" w14:textId="77777777" w:rsidR="00A16A1D" w:rsidRPr="00ED4EDD" w:rsidRDefault="00A16A1D" w:rsidP="00A16A1D">
      <w:pPr>
        <w:pStyle w:val="Akapitzlist"/>
        <w:numPr>
          <w:ilvl w:val="0"/>
          <w:numId w:val="1"/>
        </w:numPr>
        <w:tabs>
          <w:tab w:val="num" w:pos="720"/>
        </w:tabs>
        <w:jc w:val="both"/>
      </w:pPr>
      <w:r w:rsidRPr="00ED4EDD">
        <w:t>Warmińsko-Mazurski Ośrodek Doradztwa Rolniczego;</w:t>
      </w:r>
    </w:p>
    <w:p w14:paraId="48938EC3" w14:textId="77777777" w:rsidR="00A16A1D" w:rsidRPr="00ED4EDD" w:rsidRDefault="00A16A1D" w:rsidP="00A16A1D">
      <w:pPr>
        <w:pStyle w:val="Akapitzlist"/>
        <w:numPr>
          <w:ilvl w:val="0"/>
          <w:numId w:val="1"/>
        </w:numPr>
        <w:tabs>
          <w:tab w:val="num" w:pos="720"/>
        </w:tabs>
        <w:jc w:val="both"/>
      </w:pPr>
      <w:r w:rsidRPr="00ED4EDD">
        <w:t>Warmińsko-Mazurski Ośrodek Doskonalenia Nauczycieli;</w:t>
      </w:r>
    </w:p>
    <w:p w14:paraId="5FD89EDD" w14:textId="77777777" w:rsidR="00A16A1D" w:rsidRPr="00ED4EDD" w:rsidRDefault="00A16A1D" w:rsidP="00A16A1D">
      <w:pPr>
        <w:pStyle w:val="Akapitzlist"/>
        <w:numPr>
          <w:ilvl w:val="0"/>
          <w:numId w:val="1"/>
        </w:numPr>
        <w:tabs>
          <w:tab w:val="num" w:pos="720"/>
        </w:tabs>
        <w:jc w:val="both"/>
      </w:pPr>
      <w:r w:rsidRPr="00ED4EDD">
        <w:t>Warmińsko-Mazurski Zakład Doskonalenia Zawodowego.</w:t>
      </w:r>
    </w:p>
    <w:p w14:paraId="14535DD4" w14:textId="77777777" w:rsidR="00A16A1D" w:rsidRDefault="00A16A1D" w:rsidP="00A16A1D">
      <w:pPr>
        <w:tabs>
          <w:tab w:val="num" w:pos="720"/>
        </w:tabs>
        <w:jc w:val="both"/>
      </w:pPr>
      <w:r w:rsidRPr="00ED4EDD">
        <w:t>Ośrodki te oferują swoje usługi zarówno na rynku lokalnym, jak i w całym województwie warmińsko-mazurskim. Prowadzą szkolenia i konferencje wspierające przedsiębiorców oraz poszczególne grupy zawodowe. Centrum Innowacji i Transferu Technologii UWM oraz Centrum Wdrażania i Promocji Innowacji są ośrodkami, które wspierają rozwój innowacyjności w regionie i współpracę pomiędzy przedsiębiorstwami a jednostkami naukowymi i instytucjami otoczenia biznesu, a także promują korzyści z niej wynikające.</w:t>
      </w:r>
    </w:p>
    <w:p w14:paraId="788D6C6F" w14:textId="7D7B75D7" w:rsidR="00A16A1D" w:rsidRPr="00823710" w:rsidRDefault="00A16A1D" w:rsidP="00A16A1D">
      <w:pPr>
        <w:tabs>
          <w:tab w:val="num" w:pos="720"/>
        </w:tabs>
        <w:jc w:val="both"/>
      </w:pPr>
      <w:r w:rsidRPr="0022618D">
        <w:rPr>
          <w:b/>
        </w:rPr>
        <w:t>Olsztyński Park Naukowo-Technologiczny</w:t>
      </w:r>
      <w:r w:rsidRPr="00823710">
        <w:rPr>
          <w:rFonts w:ascii="Times New Roman" w:eastAsia="Times New Roman" w:hAnsi="Times New Roman" w:cs="Times New Roman"/>
          <w:sz w:val="24"/>
          <w:szCs w:val="24"/>
          <w:lang w:eastAsia="pl-PL"/>
        </w:rPr>
        <w:t xml:space="preserve"> </w:t>
      </w:r>
      <w:r w:rsidRPr="00823710">
        <w:t xml:space="preserve">powstał w ramach projektu współfinansowanego </w:t>
      </w:r>
      <w:r>
        <w:br/>
      </w:r>
      <w:r w:rsidRPr="00823710">
        <w:t xml:space="preserve">z Europejskiego Funduszu Rozwoju Regionalnego w ramach Programu Operacyjnego Rozwój Polski Wschodniej na lata 2007-2013. Park został powołany uchwałą nr XXXVIII/669/13 Rady Miasta Olsztyna z dnia 29 maja 2013 roku </w:t>
      </w:r>
      <w:r w:rsidRPr="00823710">
        <w:rPr>
          <w:rFonts w:cs="Arial"/>
          <w:bCs/>
        </w:rPr>
        <w:t>w sprawie utworzenia jednostki budżetowej Olsztyński Park Naukowo-Technologiczny oraz nadania statutu</w:t>
      </w:r>
      <w:r w:rsidRPr="00823710">
        <w:t xml:space="preserve">. </w:t>
      </w:r>
    </w:p>
    <w:p w14:paraId="6485D16A" w14:textId="77777777" w:rsidR="00A16A1D" w:rsidRPr="00823710" w:rsidRDefault="00A16A1D" w:rsidP="00A16A1D">
      <w:pPr>
        <w:tabs>
          <w:tab w:val="num" w:pos="720"/>
        </w:tabs>
        <w:jc w:val="both"/>
      </w:pPr>
      <w:r w:rsidRPr="00823710">
        <w:rPr>
          <w:bCs/>
        </w:rPr>
        <w:t>Główne cele OPN-T to przede wszystkim</w:t>
      </w:r>
      <w:r w:rsidRPr="00823710">
        <w:t xml:space="preserve"> stworzenie możliwości nabycia przez firmy umiejętności konkurowania na rynku globalnym, wykorzystanie kapitału ludzkiego w regionie na rzecz rozwoju inteligentnych specjalizacji czy włączanie młodzieży i dzieci w obszar zainteresowania nauką, przedsiębiorczością i kreatywnością. </w:t>
      </w:r>
    </w:p>
    <w:p w14:paraId="7CBFA958" w14:textId="35137C7C" w:rsidR="00A16A1D" w:rsidRPr="00823710" w:rsidRDefault="00D17BFE" w:rsidP="00A16A1D">
      <w:pPr>
        <w:tabs>
          <w:tab w:val="num" w:pos="720"/>
        </w:tabs>
        <w:jc w:val="both"/>
      </w:pPr>
      <w:r w:rsidRPr="00480001">
        <w:rPr>
          <w:color w:val="000000" w:themeColor="text1"/>
        </w:rPr>
        <w:t>W</w:t>
      </w:r>
      <w:r w:rsidR="00A16A1D" w:rsidRPr="00480001">
        <w:rPr>
          <w:color w:val="000000" w:themeColor="text1"/>
        </w:rPr>
        <w:t xml:space="preserve"> OPN-T</w:t>
      </w:r>
      <w:r w:rsidRPr="00480001">
        <w:rPr>
          <w:color w:val="000000" w:themeColor="text1"/>
        </w:rPr>
        <w:t xml:space="preserve"> działalność prowadzą podmioty będące na różnym etapie rozwoju i zaawansowania technologicznego</w:t>
      </w:r>
      <w:r>
        <w:t xml:space="preserve">. To przede wszystkim firmy działające w branżach: geoinformatycznej, </w:t>
      </w:r>
      <w:r>
        <w:lastRenderedPageBreak/>
        <w:t>informatycznej i biotechnologicznej</w:t>
      </w:r>
      <w:r w:rsidR="00A16A1D" w:rsidRPr="00823710">
        <w:t>. Park ma do dyspozycji ok. 14 000 m² powierzchni, 140 pomieszczeń biurowych, 20 nowoczesnych jednostek laboratoryjnych, 22  w pełni wyposażone, klimatyzowane sale konferencyjne, terminal do ładowania pojazdów o napędzie elektrycznym, wirtualne biuro oraz restaurację.</w:t>
      </w:r>
    </w:p>
    <w:p w14:paraId="5FD08D01" w14:textId="77777777" w:rsidR="00A16A1D" w:rsidRPr="00823710" w:rsidRDefault="00A16A1D" w:rsidP="00A16A1D">
      <w:pPr>
        <w:tabs>
          <w:tab w:val="num" w:pos="720"/>
        </w:tabs>
        <w:jc w:val="both"/>
      </w:pPr>
      <w:r w:rsidRPr="00823710">
        <w:t xml:space="preserve">Przy Parku funkcjonuje Rada Naukowa powołana przez Prezydenta Olsztyna </w:t>
      </w:r>
      <w:r w:rsidRPr="00823710">
        <w:rPr>
          <w:bCs/>
        </w:rPr>
        <w:t xml:space="preserve">w celu zapewnienia udziału środowiska gospodarczego oraz przedstawicieli wyższych uczelni w działaniach na rzecz wspierania przedsiębiorczości, innowacji i transferu technologii o znaczeniu regionalnym. Rada jest organem o charakterze opiniodawczo-doradczym, a do jej </w:t>
      </w:r>
      <w:r w:rsidRPr="00823710">
        <w:t>zadań należy przede wszystkim</w:t>
      </w:r>
      <w:r w:rsidRPr="00823710">
        <w:rPr>
          <w:bCs/>
        </w:rPr>
        <w:t xml:space="preserve"> </w:t>
      </w:r>
      <w:r w:rsidRPr="00823710">
        <w:t>opiniowanie wniosków i biznesplanów składanych przez osoby aplikujące do OPN-T</w:t>
      </w:r>
      <w:r w:rsidRPr="00823710">
        <w:rPr>
          <w:bCs/>
        </w:rPr>
        <w:t xml:space="preserve">, </w:t>
      </w:r>
      <w:r w:rsidRPr="00823710">
        <w:t xml:space="preserve">opracowanie strategii </w:t>
      </w:r>
      <w:r>
        <w:br/>
      </w:r>
      <w:r w:rsidRPr="00823710">
        <w:t xml:space="preserve">i kierunków rozwoju OPN-T oraz kreowanie powiązań między nauką a biznesem. </w:t>
      </w:r>
      <w:r w:rsidRPr="00823710">
        <w:rPr>
          <w:rStyle w:val="Odwoanieprzypisudolnego"/>
        </w:rPr>
        <w:footnoteReference w:id="74"/>
      </w:r>
    </w:p>
    <w:p w14:paraId="5EBE38E7" w14:textId="5401A333" w:rsidR="00A16A1D" w:rsidRPr="00823710" w:rsidRDefault="00A16A1D" w:rsidP="00A16A1D">
      <w:pPr>
        <w:tabs>
          <w:tab w:val="num" w:pos="720"/>
        </w:tabs>
        <w:jc w:val="both"/>
      </w:pPr>
      <w:r w:rsidRPr="00823710">
        <w:t xml:space="preserve">Olsztyński Park Naukowo-Technologiczny wspólnie z Parkiem Naukowo-Technologicznym w Ełku uruchomił II edycję platform startowych </w:t>
      </w:r>
      <w:r w:rsidRPr="00823710">
        <w:rPr>
          <w:bCs/>
        </w:rPr>
        <w:t xml:space="preserve">„STARTUP HEROES - platforma dla nowych pomysłów”, </w:t>
      </w:r>
      <w:r w:rsidR="00F3455B">
        <w:rPr>
          <w:bCs/>
        </w:rPr>
        <w:t xml:space="preserve">realizację której zaplanowano na </w:t>
      </w:r>
      <w:r w:rsidR="00A47402">
        <w:rPr>
          <w:bCs/>
        </w:rPr>
        <w:t>lata</w:t>
      </w:r>
      <w:r w:rsidRPr="00823710">
        <w:rPr>
          <w:bCs/>
        </w:rPr>
        <w:t xml:space="preserve"> </w:t>
      </w:r>
      <w:r w:rsidRPr="00823710">
        <w:t>2019-2023.</w:t>
      </w:r>
      <w:r w:rsidR="00A47402">
        <w:t xml:space="preserve"> </w:t>
      </w:r>
      <w:r w:rsidRPr="00823710">
        <w:rPr>
          <w:bCs/>
        </w:rPr>
        <w:t>Celem</w:t>
      </w:r>
      <w:r w:rsidRPr="00823710">
        <w:t xml:space="preserve"> projektu jest stworzenie na obszarze województwa warmińsko-mazurskiego korzystnych warunków dla powstawania i rozwoju innowacyjnych przedsiębiorstw w obszarze ICT, ekoenergetyki oraz produkcji żywności, poprzez realizację profesjonalnego programu inkubacji startupów. </w:t>
      </w:r>
    </w:p>
    <w:p w14:paraId="4299D214" w14:textId="46D135EA" w:rsidR="00A16A1D" w:rsidRPr="00823710" w:rsidRDefault="00A16A1D" w:rsidP="00A16A1D">
      <w:pPr>
        <w:tabs>
          <w:tab w:val="num" w:pos="720"/>
        </w:tabs>
        <w:jc w:val="both"/>
      </w:pPr>
      <w:r w:rsidRPr="00823710">
        <w:rPr>
          <w:bCs/>
        </w:rPr>
        <w:t>W ramach</w:t>
      </w:r>
      <w:r w:rsidRPr="00823710">
        <w:t xml:space="preserve"> projektu platforma wesprze powstanie ponad 1</w:t>
      </w:r>
      <w:r w:rsidR="00F3455B">
        <w:t>30</w:t>
      </w:r>
      <w:r w:rsidRPr="00823710">
        <w:t xml:space="preserve"> nowych przedsiębiorstw, które uzyskają gotowy schemat programu inkubacji i który będą mogły powielać po zakończeniu projektu poprzez wdrożenie katalogu oferowanych w projekcie usług. </w:t>
      </w:r>
      <w:r w:rsidRPr="00823710">
        <w:rPr>
          <w:rStyle w:val="Odwoanieprzypisudolnego"/>
        </w:rPr>
        <w:footnoteReference w:id="75"/>
      </w:r>
    </w:p>
    <w:p w14:paraId="221D3324" w14:textId="7E15B5E5" w:rsidR="00A16A1D" w:rsidRPr="00823710" w:rsidRDefault="00A16A1D" w:rsidP="00A16A1D">
      <w:pPr>
        <w:tabs>
          <w:tab w:val="num" w:pos="720"/>
        </w:tabs>
        <w:jc w:val="both"/>
      </w:pPr>
      <w:r w:rsidRPr="00823710">
        <w:t xml:space="preserve">Jedną z </w:t>
      </w:r>
      <w:r w:rsidR="00A47402">
        <w:t xml:space="preserve">innowacyjnych </w:t>
      </w:r>
      <w:r w:rsidRPr="00823710">
        <w:t>firm istniejących w OPN-T jest EMPLOCITY SP. Z O.O., która stworzyła system na algorytmach sztucznej inteligencji – chatboty wspierające działy HR. Chatbot zachowuje się jak osobisty doradca zawodowy: zapyta o doświadczenie, umiejętności i znajomość języków obcych oraz oczekiwania finansowe. System jest wykorzystywany przez wiele instytucji, m.in.: PKO Bank Polski, Budimex czy DPD. Według zestawienia</w:t>
      </w:r>
      <w:r w:rsidR="00A47402">
        <w:t xml:space="preserve"> przygotowanego przez </w:t>
      </w:r>
      <w:r w:rsidRPr="00823710">
        <w:t>redakcj</w:t>
      </w:r>
      <w:r w:rsidR="00A47402">
        <w:t>ę</w:t>
      </w:r>
      <w:r w:rsidRPr="00823710">
        <w:t xml:space="preserve"> „My Company Polska”,</w:t>
      </w:r>
      <w:r w:rsidR="00A47402">
        <w:t xml:space="preserve"> olsztyńska firma</w:t>
      </w:r>
      <w:r w:rsidRPr="00823710">
        <w:t xml:space="preserve"> znalazła się wśród 25 najlepszych polskich startupów. </w:t>
      </w:r>
      <w:r w:rsidRPr="00823710">
        <w:rPr>
          <w:rStyle w:val="Odwoanieprzypisudolnego"/>
        </w:rPr>
        <w:footnoteReference w:id="76"/>
      </w:r>
      <w:r w:rsidRPr="00823710">
        <w:t xml:space="preserve"> </w:t>
      </w:r>
    </w:p>
    <w:p w14:paraId="08A190AE" w14:textId="34CC1B3C" w:rsidR="00A16A1D" w:rsidRPr="00823710" w:rsidRDefault="00A16A1D" w:rsidP="00A16A1D">
      <w:pPr>
        <w:tabs>
          <w:tab w:val="num" w:pos="720"/>
        </w:tabs>
        <w:jc w:val="both"/>
      </w:pPr>
      <w:r w:rsidRPr="0022618D">
        <w:rPr>
          <w:b/>
        </w:rPr>
        <w:t>Centrum Obsługi Inwestorów i Eksporterów</w:t>
      </w:r>
      <w:r w:rsidRPr="00823710">
        <w:t xml:space="preserve"> działa </w:t>
      </w:r>
      <w:r w:rsidRPr="00823710">
        <w:rPr>
          <w:bCs/>
        </w:rPr>
        <w:t>przy Urzędzie Marszałkowskim Województwa Warmińsko</w:t>
      </w:r>
      <w:r w:rsidR="00E15341">
        <w:rPr>
          <w:bCs/>
        </w:rPr>
        <w:t>-</w:t>
      </w:r>
      <w:r w:rsidR="00A47402">
        <w:rPr>
          <w:bCs/>
        </w:rPr>
        <w:t xml:space="preserve">Mazurskiego w Olsztynie. To jednostka, zadaniem której </w:t>
      </w:r>
      <w:r w:rsidRPr="00823710">
        <w:rPr>
          <w:bCs/>
        </w:rPr>
        <w:t>jest zapewnienie profesjonalnej obsługi poprzez doradztwo w przygotowaniu inwestycji oraz nawiązywaniu kontaktów z partnerami gospodarczymi. Eksperci COIE  ściśle współpracują z ministerstwem właściwym ds. rozwoju regionalnego,  Polską Agencją Inwestycji i Handlu S.A. oraz Zagranicznymi Biurami Handlowymi na całym świecie.</w:t>
      </w:r>
    </w:p>
    <w:p w14:paraId="39380E85" w14:textId="77777777" w:rsidR="00A16A1D" w:rsidRPr="00823710" w:rsidRDefault="00A16A1D" w:rsidP="00A16A1D">
      <w:pPr>
        <w:tabs>
          <w:tab w:val="num" w:pos="720"/>
        </w:tabs>
        <w:jc w:val="both"/>
        <w:rPr>
          <w:bCs/>
        </w:rPr>
      </w:pPr>
      <w:r w:rsidRPr="00823710">
        <w:rPr>
          <w:bCs/>
        </w:rPr>
        <w:t>COIE prowadzi m.in. obsługę krajowych i zagranicznych inwestor</w:t>
      </w:r>
      <w:r w:rsidRPr="00823710">
        <w:rPr>
          <w:rFonts w:ascii="Calibri" w:hAnsi="Calibri" w:cs="Calibri"/>
          <w:bCs/>
        </w:rPr>
        <w:t>ó</w:t>
      </w:r>
      <w:r w:rsidRPr="00823710">
        <w:rPr>
          <w:bCs/>
        </w:rPr>
        <w:t>w zainteresowanych podj</w:t>
      </w:r>
      <w:r w:rsidRPr="00823710">
        <w:rPr>
          <w:rFonts w:ascii="Calibri" w:hAnsi="Calibri" w:cs="Calibri"/>
          <w:bCs/>
        </w:rPr>
        <w:t>ę</w:t>
      </w:r>
      <w:r w:rsidRPr="00823710">
        <w:rPr>
          <w:bCs/>
        </w:rPr>
        <w:t>ciem dzia</w:t>
      </w:r>
      <w:r w:rsidRPr="00823710">
        <w:rPr>
          <w:rFonts w:ascii="Calibri" w:hAnsi="Calibri" w:cs="Calibri"/>
          <w:bCs/>
        </w:rPr>
        <w:t>ł</w:t>
      </w:r>
      <w:r w:rsidRPr="00823710">
        <w:rPr>
          <w:bCs/>
        </w:rPr>
        <w:t>a</w:t>
      </w:r>
      <w:r w:rsidRPr="00823710">
        <w:rPr>
          <w:rFonts w:ascii="Calibri" w:hAnsi="Calibri" w:cs="Calibri"/>
          <w:bCs/>
        </w:rPr>
        <w:t>ń</w:t>
      </w:r>
      <w:r w:rsidRPr="00823710">
        <w:rPr>
          <w:bCs/>
        </w:rPr>
        <w:t xml:space="preserve"> gospodarczych na Warmii i Mazurach poprzez przekazywanie informacji na temat ekonomiczno-prawnych warunk</w:t>
      </w:r>
      <w:r w:rsidRPr="00823710">
        <w:rPr>
          <w:rFonts w:ascii="Calibri" w:hAnsi="Calibri" w:cs="Calibri"/>
          <w:bCs/>
        </w:rPr>
        <w:t>ó</w:t>
      </w:r>
      <w:r w:rsidRPr="00823710">
        <w:rPr>
          <w:bCs/>
        </w:rPr>
        <w:t>w inwestowania w regionie, pomoc w wyborze lokalizacji pod inwestycje. Dodatkowo prowadzi obsługę eksportera, tj. informuje o zasadach prowadzenia dzia</w:t>
      </w:r>
      <w:r w:rsidRPr="00823710">
        <w:rPr>
          <w:rFonts w:ascii="Calibri" w:hAnsi="Calibri" w:cs="Calibri"/>
          <w:bCs/>
        </w:rPr>
        <w:t>ł</w:t>
      </w:r>
      <w:r w:rsidRPr="00823710">
        <w:rPr>
          <w:bCs/>
        </w:rPr>
        <w:t>alno</w:t>
      </w:r>
      <w:r w:rsidRPr="00823710">
        <w:rPr>
          <w:rFonts w:ascii="Calibri" w:hAnsi="Calibri" w:cs="Calibri"/>
          <w:bCs/>
        </w:rPr>
        <w:t>ś</w:t>
      </w:r>
      <w:r w:rsidRPr="00823710">
        <w:rPr>
          <w:bCs/>
        </w:rPr>
        <w:t>ci na danym rynku, pomaga w nawi</w:t>
      </w:r>
      <w:r w:rsidRPr="00823710">
        <w:rPr>
          <w:rFonts w:ascii="Calibri" w:hAnsi="Calibri" w:cs="Calibri"/>
          <w:bCs/>
        </w:rPr>
        <w:t>ą</w:t>
      </w:r>
      <w:r w:rsidRPr="00823710">
        <w:rPr>
          <w:bCs/>
        </w:rPr>
        <w:t>zywaniu kontakt</w:t>
      </w:r>
      <w:r w:rsidRPr="00823710">
        <w:rPr>
          <w:rFonts w:ascii="Calibri" w:hAnsi="Calibri" w:cs="Calibri"/>
          <w:bCs/>
        </w:rPr>
        <w:t>ó</w:t>
      </w:r>
      <w:r w:rsidRPr="00823710">
        <w:rPr>
          <w:bCs/>
        </w:rPr>
        <w:t>w z firmami zagranicznymi, organizuje oraz obs</w:t>
      </w:r>
      <w:r w:rsidRPr="00823710">
        <w:rPr>
          <w:rFonts w:ascii="Calibri" w:hAnsi="Calibri" w:cs="Calibri"/>
          <w:bCs/>
        </w:rPr>
        <w:t>ł</w:t>
      </w:r>
      <w:r w:rsidRPr="00823710">
        <w:rPr>
          <w:bCs/>
        </w:rPr>
        <w:t>uguje misje gospodarcze, a także organizuje szkole</w:t>
      </w:r>
      <w:r w:rsidRPr="00823710">
        <w:rPr>
          <w:rFonts w:ascii="Calibri" w:hAnsi="Calibri" w:cs="Calibri"/>
          <w:bCs/>
        </w:rPr>
        <w:t>nia</w:t>
      </w:r>
      <w:r w:rsidRPr="00823710">
        <w:rPr>
          <w:bCs/>
        </w:rPr>
        <w:t xml:space="preserve"> z zakresu handlu zagranicznego. </w:t>
      </w:r>
    </w:p>
    <w:p w14:paraId="3691DDB5" w14:textId="77777777" w:rsidR="00A16A1D" w:rsidRDefault="00A16A1D" w:rsidP="00A16A1D">
      <w:pPr>
        <w:tabs>
          <w:tab w:val="num" w:pos="720"/>
        </w:tabs>
        <w:jc w:val="both"/>
        <w:rPr>
          <w:bCs/>
        </w:rPr>
      </w:pPr>
      <w:r w:rsidRPr="00823710">
        <w:rPr>
          <w:bCs/>
        </w:rPr>
        <w:t>Centrum zajmuje się również promocją gospodarczą Warmii i Mazur poprzez kreowanie marki gospodarczej regionu oraz organizowanie i udzia</w:t>
      </w:r>
      <w:r w:rsidRPr="00823710">
        <w:rPr>
          <w:rFonts w:ascii="Calibri" w:hAnsi="Calibri" w:cs="Calibri"/>
          <w:bCs/>
        </w:rPr>
        <w:t>ł</w:t>
      </w:r>
      <w:r w:rsidRPr="00823710">
        <w:rPr>
          <w:bCs/>
        </w:rPr>
        <w:t xml:space="preserve"> w krajowych oraz zagranicznych przedsi</w:t>
      </w:r>
      <w:r w:rsidRPr="00823710">
        <w:rPr>
          <w:rFonts w:ascii="Calibri" w:hAnsi="Calibri" w:cs="Calibri"/>
          <w:bCs/>
        </w:rPr>
        <w:t>ę</w:t>
      </w:r>
      <w:r w:rsidRPr="00823710">
        <w:rPr>
          <w:bCs/>
        </w:rPr>
        <w:t>wzi</w:t>
      </w:r>
      <w:r w:rsidRPr="00823710">
        <w:rPr>
          <w:rFonts w:ascii="Calibri" w:hAnsi="Calibri" w:cs="Calibri"/>
          <w:bCs/>
        </w:rPr>
        <w:t>ę</w:t>
      </w:r>
      <w:r w:rsidRPr="00823710">
        <w:rPr>
          <w:bCs/>
        </w:rPr>
        <w:t xml:space="preserve">ciach </w:t>
      </w:r>
      <w:r w:rsidRPr="00823710">
        <w:rPr>
          <w:bCs/>
        </w:rPr>
        <w:lastRenderedPageBreak/>
        <w:t>gospodarczych, przy wsp</w:t>
      </w:r>
      <w:r w:rsidRPr="00823710">
        <w:rPr>
          <w:rFonts w:ascii="Calibri" w:hAnsi="Calibri" w:cs="Calibri"/>
          <w:bCs/>
        </w:rPr>
        <w:t>ół</w:t>
      </w:r>
      <w:r w:rsidRPr="00823710">
        <w:rPr>
          <w:bCs/>
        </w:rPr>
        <w:t>pracy z jednostkami samorz</w:t>
      </w:r>
      <w:r w:rsidRPr="00823710">
        <w:rPr>
          <w:rFonts w:ascii="Calibri" w:hAnsi="Calibri" w:cs="Calibri"/>
          <w:bCs/>
        </w:rPr>
        <w:t>ą</w:t>
      </w:r>
      <w:r w:rsidRPr="00823710">
        <w:rPr>
          <w:bCs/>
        </w:rPr>
        <w:t xml:space="preserve">du terytorialnego oraz instytucjami otoczenia biznesu. </w:t>
      </w:r>
      <w:r w:rsidRPr="00823710">
        <w:rPr>
          <w:rStyle w:val="Odwoanieprzypisudolnego"/>
          <w:bCs/>
        </w:rPr>
        <w:footnoteReference w:id="77"/>
      </w:r>
    </w:p>
    <w:p w14:paraId="08DCD185" w14:textId="77777777" w:rsidR="002C6972" w:rsidRDefault="002C6972" w:rsidP="00C52008">
      <w:bookmarkStart w:id="233" w:name="_Toc49504793"/>
    </w:p>
    <w:p w14:paraId="14F336FB" w14:textId="6F4D705F" w:rsidR="00E15341" w:rsidRPr="00ED4EDD" w:rsidRDefault="007E65B3" w:rsidP="00E15341">
      <w:pPr>
        <w:pStyle w:val="Nagwek2"/>
        <w:spacing w:after="120" w:line="276" w:lineRule="auto"/>
        <w:rPr>
          <w:sz w:val="22"/>
          <w:szCs w:val="22"/>
        </w:rPr>
      </w:pPr>
      <w:bookmarkStart w:id="234" w:name="_Toc73534933"/>
      <w:r>
        <w:rPr>
          <w:sz w:val="22"/>
          <w:szCs w:val="22"/>
        </w:rPr>
        <w:t xml:space="preserve">3.5 </w:t>
      </w:r>
      <w:r w:rsidR="00E15341" w:rsidRPr="00ED4EDD">
        <w:rPr>
          <w:sz w:val="22"/>
          <w:szCs w:val="22"/>
        </w:rPr>
        <w:t>Cyfryzacja</w:t>
      </w:r>
      <w:bookmarkEnd w:id="233"/>
      <w:bookmarkEnd w:id="234"/>
    </w:p>
    <w:p w14:paraId="519106EF" w14:textId="5A34C98E" w:rsidR="00E15341" w:rsidRPr="00ED4EDD" w:rsidRDefault="007E65B3" w:rsidP="00E15341">
      <w:pPr>
        <w:pStyle w:val="Nagwek3"/>
        <w:rPr>
          <w:sz w:val="22"/>
          <w:szCs w:val="22"/>
        </w:rPr>
      </w:pPr>
      <w:bookmarkStart w:id="235" w:name="_Toc49504794"/>
      <w:bookmarkStart w:id="236" w:name="_Toc73534934"/>
      <w:r>
        <w:rPr>
          <w:sz w:val="22"/>
          <w:szCs w:val="22"/>
        </w:rPr>
        <w:t xml:space="preserve">3.5.1 </w:t>
      </w:r>
      <w:r w:rsidR="00E15341" w:rsidRPr="00ED4EDD">
        <w:rPr>
          <w:sz w:val="22"/>
          <w:szCs w:val="22"/>
        </w:rPr>
        <w:t>Infrastruktura</w:t>
      </w:r>
      <w:bookmarkEnd w:id="235"/>
      <w:bookmarkEnd w:id="236"/>
    </w:p>
    <w:p w14:paraId="43C3F12A" w14:textId="6B0DAC19" w:rsidR="00E15341" w:rsidRPr="00ED4EDD" w:rsidRDefault="00E15341" w:rsidP="00E15341">
      <w:pPr>
        <w:jc w:val="both"/>
      </w:pPr>
      <w:r w:rsidRPr="00ED4EDD">
        <w:t>Jednym z kluczowych czynników rozwoju gospodarczego i – szerzej – cywilizacyjnego jest obecnie dostęp do technologii cyfrowych. Z diagnozy przeprowadzonej przez Gminę Olsztyn</w:t>
      </w:r>
      <w:r w:rsidRPr="00ED4EDD">
        <w:rPr>
          <w:rStyle w:val="Odwoanieprzypisudolnego"/>
        </w:rPr>
        <w:footnoteReference w:id="78"/>
      </w:r>
      <w:r w:rsidRPr="00ED4EDD">
        <w:t xml:space="preserve"> wynika, że spośród 21 921 uczniów problemy z dostępnością sprzętu komputerowego w szkołach ponadpodstawowych zgłosiło 60% osób. Ponadto </w:t>
      </w:r>
      <w:r w:rsidR="00617116">
        <w:t>z</w:t>
      </w:r>
      <w:r w:rsidRPr="00ED4EDD">
        <w:t xml:space="preserve"> bada</w:t>
      </w:r>
      <w:r w:rsidR="00617116">
        <w:t>ń</w:t>
      </w:r>
      <w:r w:rsidRPr="00ED4EDD">
        <w:t xml:space="preserve"> Głównego Urzędu Statystycznego</w:t>
      </w:r>
      <w:r w:rsidRPr="00ED4EDD">
        <w:rPr>
          <w:rStyle w:val="Odwoanieprzypisudolnego"/>
        </w:rPr>
        <w:footnoteReference w:id="79"/>
      </w:r>
      <w:r w:rsidRPr="00ED4EDD">
        <w:t xml:space="preserve"> </w:t>
      </w:r>
      <w:r w:rsidR="00617116">
        <w:t xml:space="preserve">wynika, że </w:t>
      </w:r>
      <w:r w:rsidRPr="00ED4EDD">
        <w:t xml:space="preserve">w roku 2019 </w:t>
      </w:r>
      <w:r w:rsidR="00617116">
        <w:t>poziom wskaźnika wyposażenia w komputery w Polsce Wschodniej (81,4%) był mniejszy niż Polsce centralnej (84,1%). N</w:t>
      </w:r>
      <w:r w:rsidRPr="00ED4EDD">
        <w:t>a terenie województwa warmińsko-mazurskiego procent gospodarstw domowych wyposażonych w komputer wynosił 78,9%, gdzie średnia dla Polski wynosiła 83,1%.</w:t>
      </w:r>
      <w:r w:rsidR="005010A2">
        <w:t xml:space="preserve"> </w:t>
      </w:r>
      <w:r w:rsidR="00617116">
        <w:t xml:space="preserve"> </w:t>
      </w:r>
    </w:p>
    <w:p w14:paraId="4F07B924" w14:textId="77777777" w:rsidR="00E15341" w:rsidRPr="00ED4EDD" w:rsidRDefault="00E15341" w:rsidP="00E15341">
      <w:pPr>
        <w:jc w:val="both"/>
      </w:pPr>
      <w:r w:rsidRPr="00ED4EDD">
        <w:t xml:space="preserve">Dostępność sprzętu nie jest jedynym czynnikiem warunkującym możliwość korzystania </w:t>
      </w:r>
      <w:r>
        <w:br/>
      </w:r>
      <w:r w:rsidRPr="00ED4EDD">
        <w:t xml:space="preserve">z nowoczesnych technologii informacyjnych i komunikacyjnych. Inną ważną kwestią jest też dostęp do odpowiedniej jakości infrastruktury teleinformatycznej. Jednym z działań wspierających poprawę tego dostępu na obszarze MOF był projekt pn. </w:t>
      </w:r>
      <w:r w:rsidRPr="00ED4EDD">
        <w:rPr>
          <w:i/>
        </w:rPr>
        <w:t>Sieć Szerokopasmowa Polski Wschodniej – województwo warmińsko-mazurskie</w:t>
      </w:r>
      <w:r w:rsidRPr="00ED4EDD">
        <w:t xml:space="preserve"> realizowany przez Samorząd Województwa Warmińsko-Mazurskiego.</w:t>
      </w:r>
    </w:p>
    <w:p w14:paraId="76566E98" w14:textId="77777777" w:rsidR="00E15341" w:rsidRPr="00ED4EDD" w:rsidRDefault="00E15341" w:rsidP="00E15341">
      <w:pPr>
        <w:jc w:val="both"/>
      </w:pPr>
      <w:r w:rsidRPr="00ED4EDD">
        <w:t>Projekt stanowił element przedsięwzięcia realizowanego przez pięć województw Polski Wschodniej, którego celem była budowa infrastruktury szerokopasmowej, na rzecz sieci NGA (ang. Next Generation Access - dostęp do usług oparty na sieciach dostępowych nowej generacji) oraz podstawowego dostępu do Internetu województw Polski Wschodniej, tak aby docelowo zapewnić dostęp do usług szerokopasmowych dla 90% mieszkańców i 100% instytucji publicznych i przedsiębiorców na terenie regionu.</w:t>
      </w:r>
    </w:p>
    <w:p w14:paraId="6CDDB939" w14:textId="650941A6" w:rsidR="00E15341" w:rsidRPr="00ED4EDD" w:rsidRDefault="00E15341" w:rsidP="00E15341">
      <w:pPr>
        <w:jc w:val="both"/>
      </w:pPr>
      <w:r w:rsidRPr="00ED4EDD">
        <w:t>W wyniku realizacji projektu w kwietniu 2020 r. działało około 150 węzłów dystrybucyjnych</w:t>
      </w:r>
      <w:r w:rsidRPr="00ED4EDD">
        <w:rPr>
          <w:rStyle w:val="Odwoanieprzypisudolnego"/>
        </w:rPr>
        <w:footnoteReference w:id="80"/>
      </w:r>
      <w:r w:rsidRPr="00ED4EDD">
        <w:t xml:space="preserve"> (z 216 powstałych) – tam gdzie taką potrzebę zgłosili operatorzy telekomunikacyjni zapewniający odbiorcom dostęp tzw. „ostatniej mili” – oraz wszystkie dziesięć węzłów szkieletowych</w:t>
      </w:r>
      <w:r w:rsidRPr="00ED4EDD">
        <w:rPr>
          <w:rStyle w:val="Odwoanieprzypisudolnego"/>
        </w:rPr>
        <w:footnoteReference w:id="81"/>
      </w:r>
      <w:r w:rsidRPr="00ED4EDD">
        <w:t>. Niedziałające węzły dystrybucyjne były gotowe do uruchomienia,</w:t>
      </w:r>
      <w:r w:rsidR="008E00FE">
        <w:t xml:space="preserve"> </w:t>
      </w:r>
      <w:r w:rsidRPr="00ED4EDD">
        <w:t>gdy znajdzie się chętny operator.</w:t>
      </w:r>
    </w:p>
    <w:p w14:paraId="1117B13A" w14:textId="79BF9C32" w:rsidR="00E15341" w:rsidRDefault="00E15341" w:rsidP="00E15341">
      <w:pPr>
        <w:jc w:val="both"/>
      </w:pPr>
      <w:r w:rsidRPr="00ED4EDD">
        <w:t>Na obszarze MOF istnieje węzeł szkieletowy</w:t>
      </w:r>
      <w:r w:rsidR="00A0694C">
        <w:t xml:space="preserve"> w Olsztynie</w:t>
      </w:r>
      <w:r w:rsidRPr="00ED4EDD">
        <w:t xml:space="preserve"> (wraz z Centrum Zarządzania Siecią oraz węzłem zapasowym)</w:t>
      </w:r>
      <w:r w:rsidR="00A0694C">
        <w:t xml:space="preserve"> oraz 13 węzłów dystrybucyjnych.</w:t>
      </w:r>
    </w:p>
    <w:p w14:paraId="46D83202" w14:textId="2B2D94B5" w:rsidR="00A0694C" w:rsidRDefault="00A0694C" w:rsidP="00E15341">
      <w:pPr>
        <w:jc w:val="both"/>
      </w:pPr>
    </w:p>
    <w:p w14:paraId="72C99E8B" w14:textId="77777777" w:rsidR="00CC1906" w:rsidRDefault="00CC1906">
      <w:pPr>
        <w:rPr>
          <w:rFonts w:ascii="Calibri" w:eastAsia="Calibri" w:hAnsi="Calibri" w:cs="Mangal"/>
          <w:i/>
          <w:iCs/>
          <w:color w:val="00000A"/>
          <w:kern w:val="1"/>
          <w:lang w:val="en-GB"/>
        </w:rPr>
      </w:pPr>
      <w:r>
        <w:br w:type="page"/>
      </w:r>
    </w:p>
    <w:p w14:paraId="0EAEACD0" w14:textId="76287B63" w:rsidR="00A0694C" w:rsidRPr="00A0694C" w:rsidRDefault="00A0694C" w:rsidP="00A0694C">
      <w:pPr>
        <w:pStyle w:val="Legenda"/>
        <w:rPr>
          <w:sz w:val="22"/>
          <w:szCs w:val="22"/>
        </w:rPr>
      </w:pPr>
      <w:bookmarkStart w:id="237" w:name="_Toc73534992"/>
      <w:r w:rsidRPr="00A0694C">
        <w:rPr>
          <w:sz w:val="22"/>
          <w:szCs w:val="22"/>
        </w:rPr>
        <w:lastRenderedPageBreak/>
        <w:t xml:space="preserve">Tabela </w:t>
      </w:r>
      <w:r w:rsidRPr="00A0694C">
        <w:rPr>
          <w:sz w:val="22"/>
          <w:szCs w:val="22"/>
        </w:rPr>
        <w:fldChar w:fldCharType="begin"/>
      </w:r>
      <w:r w:rsidRPr="00A0694C">
        <w:rPr>
          <w:sz w:val="22"/>
          <w:szCs w:val="22"/>
        </w:rPr>
        <w:instrText xml:space="preserve"> SEQ Tabela \* ARABIC </w:instrText>
      </w:r>
      <w:r w:rsidRPr="00A0694C">
        <w:rPr>
          <w:sz w:val="22"/>
          <w:szCs w:val="22"/>
        </w:rPr>
        <w:fldChar w:fldCharType="separate"/>
      </w:r>
      <w:r w:rsidR="00AD58C3">
        <w:rPr>
          <w:noProof/>
          <w:sz w:val="22"/>
          <w:szCs w:val="22"/>
        </w:rPr>
        <w:t>29</w:t>
      </w:r>
      <w:r w:rsidRPr="00A0694C">
        <w:rPr>
          <w:sz w:val="22"/>
          <w:szCs w:val="22"/>
        </w:rPr>
        <w:fldChar w:fldCharType="end"/>
      </w:r>
      <w:r w:rsidRPr="00A0694C">
        <w:rPr>
          <w:sz w:val="22"/>
          <w:szCs w:val="22"/>
        </w:rPr>
        <w:t>. Sieć szerokopasmowa - węzły dystrtybucyjne na obszarze MOF Olsztyna</w:t>
      </w:r>
      <w:bookmarkEnd w:id="237"/>
    </w:p>
    <w:tbl>
      <w:tblPr>
        <w:tblStyle w:val="Tabela-Siatka"/>
        <w:tblW w:w="0" w:type="auto"/>
        <w:jc w:val="center"/>
        <w:tblLook w:val="04A0" w:firstRow="1" w:lastRow="0" w:firstColumn="1" w:lastColumn="0" w:noHBand="0" w:noVBand="1"/>
      </w:tblPr>
      <w:tblGrid>
        <w:gridCol w:w="495"/>
        <w:gridCol w:w="1274"/>
        <w:gridCol w:w="1693"/>
        <w:gridCol w:w="5600"/>
      </w:tblGrid>
      <w:tr w:rsidR="00E15341" w:rsidRPr="00ED4EDD" w14:paraId="52FB596B" w14:textId="77777777" w:rsidTr="00A12C6F">
        <w:trPr>
          <w:jc w:val="center"/>
        </w:trPr>
        <w:tc>
          <w:tcPr>
            <w:tcW w:w="495" w:type="dxa"/>
            <w:shd w:val="clear" w:color="auto" w:fill="92D050"/>
          </w:tcPr>
          <w:p w14:paraId="54F6B8BD" w14:textId="77777777" w:rsidR="00E15341" w:rsidRPr="00ED4EDD" w:rsidRDefault="00E15341" w:rsidP="00A12C6F">
            <w:pPr>
              <w:jc w:val="center"/>
              <w:rPr>
                <w:b/>
              </w:rPr>
            </w:pPr>
            <w:r w:rsidRPr="00ED4EDD">
              <w:rPr>
                <w:b/>
              </w:rPr>
              <w:t>Lp.</w:t>
            </w:r>
          </w:p>
        </w:tc>
        <w:tc>
          <w:tcPr>
            <w:tcW w:w="1274" w:type="dxa"/>
            <w:shd w:val="clear" w:color="auto" w:fill="92D050"/>
          </w:tcPr>
          <w:p w14:paraId="181A0D1E" w14:textId="77777777" w:rsidR="00E15341" w:rsidRPr="00ED4EDD" w:rsidRDefault="00E15341" w:rsidP="00A12C6F">
            <w:pPr>
              <w:jc w:val="center"/>
              <w:rPr>
                <w:b/>
              </w:rPr>
            </w:pPr>
            <w:r w:rsidRPr="00ED4EDD">
              <w:rPr>
                <w:b/>
              </w:rPr>
              <w:t>Gmina</w:t>
            </w:r>
          </w:p>
        </w:tc>
        <w:tc>
          <w:tcPr>
            <w:tcW w:w="1693" w:type="dxa"/>
            <w:shd w:val="clear" w:color="auto" w:fill="92D050"/>
          </w:tcPr>
          <w:p w14:paraId="3A76054D" w14:textId="77777777" w:rsidR="00E15341" w:rsidRPr="00ED4EDD" w:rsidRDefault="00E15341" w:rsidP="00A12C6F">
            <w:pPr>
              <w:jc w:val="center"/>
              <w:rPr>
                <w:b/>
              </w:rPr>
            </w:pPr>
            <w:r w:rsidRPr="00ED4EDD">
              <w:rPr>
                <w:b/>
              </w:rPr>
              <w:t>Nazwa węzła</w:t>
            </w:r>
          </w:p>
        </w:tc>
        <w:tc>
          <w:tcPr>
            <w:tcW w:w="5600" w:type="dxa"/>
            <w:shd w:val="clear" w:color="auto" w:fill="92D050"/>
          </w:tcPr>
          <w:p w14:paraId="5CB626CC" w14:textId="77777777" w:rsidR="00E15341" w:rsidRPr="00ED4EDD" w:rsidRDefault="00E15341" w:rsidP="00A12C6F">
            <w:pPr>
              <w:jc w:val="center"/>
              <w:rPr>
                <w:b/>
              </w:rPr>
            </w:pPr>
            <w:r w:rsidRPr="00ED4EDD">
              <w:rPr>
                <w:b/>
              </w:rPr>
              <w:t>Lokalizacja</w:t>
            </w:r>
          </w:p>
        </w:tc>
      </w:tr>
      <w:tr w:rsidR="00E15341" w:rsidRPr="00ED4EDD" w14:paraId="0C6ED3AE" w14:textId="77777777" w:rsidTr="00A12C6F">
        <w:trPr>
          <w:jc w:val="center"/>
        </w:trPr>
        <w:tc>
          <w:tcPr>
            <w:tcW w:w="495" w:type="dxa"/>
          </w:tcPr>
          <w:p w14:paraId="0FA23AA3" w14:textId="77777777" w:rsidR="00E15341" w:rsidRPr="00CC734D" w:rsidRDefault="00E15341" w:rsidP="00A86552">
            <w:pPr>
              <w:jc w:val="both"/>
              <w:rPr>
                <w:sz w:val="20"/>
                <w:szCs w:val="20"/>
              </w:rPr>
            </w:pPr>
            <w:r w:rsidRPr="00CC734D">
              <w:rPr>
                <w:sz w:val="20"/>
                <w:szCs w:val="20"/>
              </w:rPr>
              <w:t>1.</w:t>
            </w:r>
          </w:p>
        </w:tc>
        <w:tc>
          <w:tcPr>
            <w:tcW w:w="1274" w:type="dxa"/>
            <w:vMerge w:val="restart"/>
          </w:tcPr>
          <w:p w14:paraId="5DB02DBE" w14:textId="77777777" w:rsidR="00E15341" w:rsidRPr="00CC734D" w:rsidRDefault="00E15341" w:rsidP="00A86552">
            <w:pPr>
              <w:jc w:val="both"/>
              <w:rPr>
                <w:sz w:val="20"/>
                <w:szCs w:val="20"/>
              </w:rPr>
            </w:pPr>
            <w:r w:rsidRPr="00CC734D">
              <w:rPr>
                <w:sz w:val="20"/>
                <w:szCs w:val="20"/>
              </w:rPr>
              <w:t>Barczewo</w:t>
            </w:r>
          </w:p>
        </w:tc>
        <w:tc>
          <w:tcPr>
            <w:tcW w:w="1693" w:type="dxa"/>
          </w:tcPr>
          <w:p w14:paraId="4AD7CA82" w14:textId="77777777" w:rsidR="00E15341" w:rsidRPr="00CC734D" w:rsidRDefault="00E15341" w:rsidP="00A86552">
            <w:pPr>
              <w:jc w:val="both"/>
              <w:rPr>
                <w:sz w:val="20"/>
                <w:szCs w:val="20"/>
              </w:rPr>
            </w:pPr>
            <w:r w:rsidRPr="00CC734D">
              <w:rPr>
                <w:sz w:val="20"/>
                <w:szCs w:val="20"/>
              </w:rPr>
              <w:t>Barczewo</w:t>
            </w:r>
          </w:p>
        </w:tc>
        <w:tc>
          <w:tcPr>
            <w:tcW w:w="5600" w:type="dxa"/>
          </w:tcPr>
          <w:p w14:paraId="5380BA10" w14:textId="77777777" w:rsidR="00E15341" w:rsidRPr="00CC734D" w:rsidRDefault="00E15341" w:rsidP="00A86552">
            <w:pPr>
              <w:jc w:val="both"/>
              <w:rPr>
                <w:sz w:val="20"/>
                <w:szCs w:val="20"/>
              </w:rPr>
            </w:pPr>
            <w:r w:rsidRPr="00CC734D">
              <w:rPr>
                <w:sz w:val="20"/>
                <w:szCs w:val="20"/>
              </w:rPr>
              <w:t>Urząd Miejski w Barczewie, ul. Północna 14, Barczewo</w:t>
            </w:r>
          </w:p>
        </w:tc>
      </w:tr>
      <w:tr w:rsidR="00E15341" w:rsidRPr="00ED4EDD" w14:paraId="4B35BF15" w14:textId="77777777" w:rsidTr="00A12C6F">
        <w:trPr>
          <w:jc w:val="center"/>
        </w:trPr>
        <w:tc>
          <w:tcPr>
            <w:tcW w:w="495" w:type="dxa"/>
          </w:tcPr>
          <w:p w14:paraId="12BB61DA" w14:textId="77777777" w:rsidR="00E15341" w:rsidRPr="00CC734D" w:rsidRDefault="00E15341" w:rsidP="00A86552">
            <w:pPr>
              <w:jc w:val="both"/>
              <w:rPr>
                <w:sz w:val="20"/>
                <w:szCs w:val="20"/>
              </w:rPr>
            </w:pPr>
            <w:r w:rsidRPr="00CC734D">
              <w:rPr>
                <w:sz w:val="20"/>
                <w:szCs w:val="20"/>
              </w:rPr>
              <w:t>2.</w:t>
            </w:r>
          </w:p>
        </w:tc>
        <w:tc>
          <w:tcPr>
            <w:tcW w:w="1274" w:type="dxa"/>
            <w:vMerge/>
          </w:tcPr>
          <w:p w14:paraId="39A59F0B" w14:textId="77777777" w:rsidR="00E15341" w:rsidRPr="00CC734D" w:rsidRDefault="00E15341" w:rsidP="00A86552">
            <w:pPr>
              <w:jc w:val="both"/>
              <w:rPr>
                <w:sz w:val="20"/>
                <w:szCs w:val="20"/>
              </w:rPr>
            </w:pPr>
          </w:p>
        </w:tc>
        <w:tc>
          <w:tcPr>
            <w:tcW w:w="1693" w:type="dxa"/>
          </w:tcPr>
          <w:p w14:paraId="21D34157" w14:textId="77777777" w:rsidR="00E15341" w:rsidRPr="00CC734D" w:rsidRDefault="00E15341" w:rsidP="00A86552">
            <w:pPr>
              <w:jc w:val="both"/>
              <w:rPr>
                <w:sz w:val="20"/>
                <w:szCs w:val="20"/>
              </w:rPr>
            </w:pPr>
            <w:r w:rsidRPr="00CC734D">
              <w:rPr>
                <w:sz w:val="20"/>
                <w:szCs w:val="20"/>
              </w:rPr>
              <w:t>Łęgajny</w:t>
            </w:r>
          </w:p>
        </w:tc>
        <w:tc>
          <w:tcPr>
            <w:tcW w:w="5600" w:type="dxa"/>
          </w:tcPr>
          <w:p w14:paraId="407E6000" w14:textId="77777777" w:rsidR="00E15341" w:rsidRPr="00CC734D" w:rsidRDefault="00E15341" w:rsidP="00A86552">
            <w:pPr>
              <w:jc w:val="both"/>
              <w:rPr>
                <w:sz w:val="20"/>
                <w:szCs w:val="20"/>
              </w:rPr>
            </w:pPr>
            <w:r w:rsidRPr="00CC734D">
              <w:rPr>
                <w:sz w:val="20"/>
                <w:szCs w:val="20"/>
              </w:rPr>
              <w:t>Zespół Szkolno-Przedszkolny, ul. Ogrodowa 7, Łęgajny</w:t>
            </w:r>
          </w:p>
        </w:tc>
      </w:tr>
      <w:tr w:rsidR="00E15341" w:rsidRPr="00ED4EDD" w14:paraId="25AB3093" w14:textId="77777777" w:rsidTr="00A12C6F">
        <w:trPr>
          <w:jc w:val="center"/>
        </w:trPr>
        <w:tc>
          <w:tcPr>
            <w:tcW w:w="495" w:type="dxa"/>
          </w:tcPr>
          <w:p w14:paraId="67F075B9" w14:textId="77777777" w:rsidR="00E15341" w:rsidRPr="00CC734D" w:rsidRDefault="00E15341" w:rsidP="00A86552">
            <w:pPr>
              <w:jc w:val="both"/>
              <w:rPr>
                <w:sz w:val="20"/>
                <w:szCs w:val="20"/>
              </w:rPr>
            </w:pPr>
            <w:r w:rsidRPr="00CC734D">
              <w:rPr>
                <w:sz w:val="20"/>
                <w:szCs w:val="20"/>
              </w:rPr>
              <w:t>3.</w:t>
            </w:r>
          </w:p>
        </w:tc>
        <w:tc>
          <w:tcPr>
            <w:tcW w:w="1274" w:type="dxa"/>
            <w:vMerge/>
          </w:tcPr>
          <w:p w14:paraId="0EE12608" w14:textId="77777777" w:rsidR="00E15341" w:rsidRPr="00CC734D" w:rsidRDefault="00E15341" w:rsidP="00A86552">
            <w:pPr>
              <w:jc w:val="both"/>
              <w:rPr>
                <w:sz w:val="20"/>
                <w:szCs w:val="20"/>
              </w:rPr>
            </w:pPr>
          </w:p>
        </w:tc>
        <w:tc>
          <w:tcPr>
            <w:tcW w:w="1693" w:type="dxa"/>
          </w:tcPr>
          <w:p w14:paraId="6E7CC2FE" w14:textId="77777777" w:rsidR="00E15341" w:rsidRPr="00CC734D" w:rsidRDefault="00E15341" w:rsidP="00A86552">
            <w:pPr>
              <w:jc w:val="both"/>
              <w:rPr>
                <w:sz w:val="20"/>
                <w:szCs w:val="20"/>
              </w:rPr>
            </w:pPr>
            <w:r w:rsidRPr="00CC734D">
              <w:rPr>
                <w:sz w:val="20"/>
                <w:szCs w:val="20"/>
              </w:rPr>
              <w:t>Wipsowo</w:t>
            </w:r>
          </w:p>
        </w:tc>
        <w:tc>
          <w:tcPr>
            <w:tcW w:w="5600" w:type="dxa"/>
          </w:tcPr>
          <w:p w14:paraId="43516C0E" w14:textId="77777777" w:rsidR="00E15341" w:rsidRPr="00CC734D" w:rsidRDefault="00E15341" w:rsidP="00A86552">
            <w:pPr>
              <w:jc w:val="both"/>
              <w:rPr>
                <w:sz w:val="20"/>
                <w:szCs w:val="20"/>
              </w:rPr>
            </w:pPr>
            <w:r w:rsidRPr="00CC734D">
              <w:rPr>
                <w:sz w:val="20"/>
                <w:szCs w:val="20"/>
              </w:rPr>
              <w:t>Zespół Szkolno-Przedszkolny, Wipsowo 63</w:t>
            </w:r>
          </w:p>
        </w:tc>
      </w:tr>
      <w:tr w:rsidR="00E15341" w:rsidRPr="00ED4EDD" w14:paraId="3E2C325B" w14:textId="77777777" w:rsidTr="00A12C6F">
        <w:trPr>
          <w:jc w:val="center"/>
        </w:trPr>
        <w:tc>
          <w:tcPr>
            <w:tcW w:w="495" w:type="dxa"/>
          </w:tcPr>
          <w:p w14:paraId="337348ED" w14:textId="77777777" w:rsidR="00E15341" w:rsidRPr="00CC734D" w:rsidRDefault="00E15341" w:rsidP="00A86552">
            <w:pPr>
              <w:jc w:val="both"/>
              <w:rPr>
                <w:sz w:val="20"/>
                <w:szCs w:val="20"/>
              </w:rPr>
            </w:pPr>
            <w:r w:rsidRPr="00CC734D">
              <w:rPr>
                <w:sz w:val="20"/>
                <w:szCs w:val="20"/>
              </w:rPr>
              <w:t>4.</w:t>
            </w:r>
          </w:p>
        </w:tc>
        <w:tc>
          <w:tcPr>
            <w:tcW w:w="1274" w:type="dxa"/>
            <w:vMerge w:val="restart"/>
          </w:tcPr>
          <w:p w14:paraId="68C1778C" w14:textId="77777777" w:rsidR="00E15341" w:rsidRPr="00CC734D" w:rsidRDefault="00E15341" w:rsidP="00A86552">
            <w:pPr>
              <w:jc w:val="both"/>
              <w:rPr>
                <w:sz w:val="20"/>
                <w:szCs w:val="20"/>
              </w:rPr>
            </w:pPr>
            <w:r w:rsidRPr="00CC734D">
              <w:rPr>
                <w:sz w:val="20"/>
                <w:szCs w:val="20"/>
              </w:rPr>
              <w:t>Dywity</w:t>
            </w:r>
          </w:p>
        </w:tc>
        <w:tc>
          <w:tcPr>
            <w:tcW w:w="1693" w:type="dxa"/>
          </w:tcPr>
          <w:p w14:paraId="611432B0" w14:textId="77777777" w:rsidR="00E15341" w:rsidRPr="00CC734D" w:rsidRDefault="00E15341" w:rsidP="00A86552">
            <w:pPr>
              <w:jc w:val="both"/>
              <w:rPr>
                <w:sz w:val="20"/>
                <w:szCs w:val="20"/>
              </w:rPr>
            </w:pPr>
            <w:r w:rsidRPr="00CC734D">
              <w:rPr>
                <w:sz w:val="20"/>
                <w:szCs w:val="20"/>
              </w:rPr>
              <w:t>Ługwałd</w:t>
            </w:r>
          </w:p>
        </w:tc>
        <w:tc>
          <w:tcPr>
            <w:tcW w:w="5600" w:type="dxa"/>
          </w:tcPr>
          <w:p w14:paraId="5EE97B4D" w14:textId="77777777" w:rsidR="00E15341" w:rsidRPr="00CC734D" w:rsidRDefault="00E15341" w:rsidP="00A86552">
            <w:pPr>
              <w:jc w:val="both"/>
              <w:rPr>
                <w:sz w:val="20"/>
                <w:szCs w:val="20"/>
              </w:rPr>
            </w:pPr>
            <w:r w:rsidRPr="00CC734D">
              <w:rPr>
                <w:sz w:val="20"/>
                <w:szCs w:val="20"/>
              </w:rPr>
              <w:t>Działka nr 150/2, obręb Ługwałd</w:t>
            </w:r>
          </w:p>
        </w:tc>
      </w:tr>
      <w:tr w:rsidR="00E15341" w:rsidRPr="00ED4EDD" w14:paraId="7386272D" w14:textId="77777777" w:rsidTr="00A12C6F">
        <w:trPr>
          <w:jc w:val="center"/>
        </w:trPr>
        <w:tc>
          <w:tcPr>
            <w:tcW w:w="495" w:type="dxa"/>
          </w:tcPr>
          <w:p w14:paraId="4094B0CA" w14:textId="77777777" w:rsidR="00E15341" w:rsidRPr="00CC734D" w:rsidRDefault="00E15341" w:rsidP="00A86552">
            <w:pPr>
              <w:jc w:val="both"/>
              <w:rPr>
                <w:sz w:val="20"/>
                <w:szCs w:val="20"/>
              </w:rPr>
            </w:pPr>
            <w:r w:rsidRPr="00CC734D">
              <w:rPr>
                <w:sz w:val="20"/>
                <w:szCs w:val="20"/>
              </w:rPr>
              <w:t>5.</w:t>
            </w:r>
          </w:p>
        </w:tc>
        <w:tc>
          <w:tcPr>
            <w:tcW w:w="1274" w:type="dxa"/>
            <w:vMerge/>
          </w:tcPr>
          <w:p w14:paraId="234F0628" w14:textId="77777777" w:rsidR="00E15341" w:rsidRPr="00CC734D" w:rsidRDefault="00E15341" w:rsidP="00A86552">
            <w:pPr>
              <w:jc w:val="both"/>
              <w:rPr>
                <w:sz w:val="20"/>
                <w:szCs w:val="20"/>
              </w:rPr>
            </w:pPr>
          </w:p>
        </w:tc>
        <w:tc>
          <w:tcPr>
            <w:tcW w:w="1693" w:type="dxa"/>
          </w:tcPr>
          <w:p w14:paraId="29ABFF07" w14:textId="77777777" w:rsidR="00E15341" w:rsidRPr="00CC734D" w:rsidRDefault="00E15341" w:rsidP="00A86552">
            <w:pPr>
              <w:jc w:val="both"/>
              <w:rPr>
                <w:sz w:val="20"/>
                <w:szCs w:val="20"/>
              </w:rPr>
            </w:pPr>
            <w:r w:rsidRPr="00CC734D">
              <w:rPr>
                <w:sz w:val="20"/>
                <w:szCs w:val="20"/>
              </w:rPr>
              <w:t>Słupy</w:t>
            </w:r>
          </w:p>
        </w:tc>
        <w:tc>
          <w:tcPr>
            <w:tcW w:w="5600" w:type="dxa"/>
          </w:tcPr>
          <w:p w14:paraId="466388DC" w14:textId="77777777" w:rsidR="00E15341" w:rsidRPr="00CC734D" w:rsidRDefault="00E15341" w:rsidP="00A86552">
            <w:pPr>
              <w:jc w:val="both"/>
              <w:rPr>
                <w:sz w:val="20"/>
                <w:szCs w:val="20"/>
              </w:rPr>
            </w:pPr>
            <w:r w:rsidRPr="00CC734D">
              <w:rPr>
                <w:sz w:val="20"/>
                <w:szCs w:val="20"/>
              </w:rPr>
              <w:t>Przedszkole Samorządowe w Słupach, Słupy 43</w:t>
            </w:r>
          </w:p>
        </w:tc>
      </w:tr>
      <w:tr w:rsidR="00E15341" w:rsidRPr="00ED4EDD" w14:paraId="7A62DC08" w14:textId="77777777" w:rsidTr="00A12C6F">
        <w:trPr>
          <w:jc w:val="center"/>
        </w:trPr>
        <w:tc>
          <w:tcPr>
            <w:tcW w:w="495" w:type="dxa"/>
          </w:tcPr>
          <w:p w14:paraId="7C99DF95" w14:textId="77777777" w:rsidR="00E15341" w:rsidRPr="00CC734D" w:rsidRDefault="00E15341" w:rsidP="00A86552">
            <w:pPr>
              <w:jc w:val="both"/>
              <w:rPr>
                <w:sz w:val="20"/>
                <w:szCs w:val="20"/>
              </w:rPr>
            </w:pPr>
            <w:r w:rsidRPr="00CC734D">
              <w:rPr>
                <w:sz w:val="20"/>
                <w:szCs w:val="20"/>
              </w:rPr>
              <w:t>6.</w:t>
            </w:r>
          </w:p>
        </w:tc>
        <w:tc>
          <w:tcPr>
            <w:tcW w:w="1274" w:type="dxa"/>
            <w:vMerge/>
          </w:tcPr>
          <w:p w14:paraId="3623493F" w14:textId="77777777" w:rsidR="00E15341" w:rsidRPr="00CC734D" w:rsidRDefault="00E15341" w:rsidP="00A86552">
            <w:pPr>
              <w:jc w:val="both"/>
              <w:rPr>
                <w:sz w:val="20"/>
                <w:szCs w:val="20"/>
              </w:rPr>
            </w:pPr>
          </w:p>
        </w:tc>
        <w:tc>
          <w:tcPr>
            <w:tcW w:w="1693" w:type="dxa"/>
          </w:tcPr>
          <w:p w14:paraId="02BDC1F1" w14:textId="77777777" w:rsidR="00E15341" w:rsidRPr="00CC734D" w:rsidRDefault="00E15341" w:rsidP="00A86552">
            <w:pPr>
              <w:jc w:val="both"/>
              <w:rPr>
                <w:sz w:val="20"/>
                <w:szCs w:val="20"/>
              </w:rPr>
            </w:pPr>
            <w:r w:rsidRPr="00CC734D">
              <w:rPr>
                <w:sz w:val="20"/>
                <w:szCs w:val="20"/>
              </w:rPr>
              <w:t>Tuławki</w:t>
            </w:r>
          </w:p>
        </w:tc>
        <w:tc>
          <w:tcPr>
            <w:tcW w:w="5600" w:type="dxa"/>
          </w:tcPr>
          <w:p w14:paraId="44C5FC0A" w14:textId="77777777" w:rsidR="00E15341" w:rsidRPr="00CC734D" w:rsidRDefault="00E15341" w:rsidP="00A86552">
            <w:pPr>
              <w:jc w:val="both"/>
              <w:rPr>
                <w:sz w:val="20"/>
                <w:szCs w:val="20"/>
              </w:rPr>
            </w:pPr>
            <w:r w:rsidRPr="00CC734D">
              <w:rPr>
                <w:sz w:val="20"/>
                <w:szCs w:val="20"/>
              </w:rPr>
              <w:t>Gminny Ośrodek Pomocy Społecznej, Tuławki 10a</w:t>
            </w:r>
          </w:p>
        </w:tc>
      </w:tr>
      <w:tr w:rsidR="00E15341" w:rsidRPr="00ED4EDD" w14:paraId="5086EA5F" w14:textId="77777777" w:rsidTr="00A12C6F">
        <w:trPr>
          <w:jc w:val="center"/>
        </w:trPr>
        <w:tc>
          <w:tcPr>
            <w:tcW w:w="495" w:type="dxa"/>
          </w:tcPr>
          <w:p w14:paraId="3DA00BED" w14:textId="77777777" w:rsidR="00E15341" w:rsidRPr="00CC734D" w:rsidRDefault="00E15341" w:rsidP="00A86552">
            <w:pPr>
              <w:jc w:val="both"/>
              <w:rPr>
                <w:sz w:val="20"/>
                <w:szCs w:val="20"/>
              </w:rPr>
            </w:pPr>
            <w:r w:rsidRPr="00CC734D">
              <w:rPr>
                <w:sz w:val="20"/>
                <w:szCs w:val="20"/>
              </w:rPr>
              <w:t>7.</w:t>
            </w:r>
          </w:p>
        </w:tc>
        <w:tc>
          <w:tcPr>
            <w:tcW w:w="1274" w:type="dxa"/>
            <w:vMerge w:val="restart"/>
          </w:tcPr>
          <w:p w14:paraId="3FF66807" w14:textId="77777777" w:rsidR="00E15341" w:rsidRPr="00CC734D" w:rsidRDefault="00E15341" w:rsidP="00A86552">
            <w:pPr>
              <w:jc w:val="both"/>
              <w:rPr>
                <w:sz w:val="20"/>
                <w:szCs w:val="20"/>
              </w:rPr>
            </w:pPr>
            <w:r w:rsidRPr="00CC734D">
              <w:rPr>
                <w:sz w:val="20"/>
                <w:szCs w:val="20"/>
              </w:rPr>
              <w:t>Gietrzwałd</w:t>
            </w:r>
          </w:p>
        </w:tc>
        <w:tc>
          <w:tcPr>
            <w:tcW w:w="1693" w:type="dxa"/>
          </w:tcPr>
          <w:p w14:paraId="6B01A1B8" w14:textId="77777777" w:rsidR="00E15341" w:rsidRPr="00CC734D" w:rsidRDefault="00E15341" w:rsidP="00A86552">
            <w:pPr>
              <w:jc w:val="both"/>
              <w:rPr>
                <w:sz w:val="20"/>
                <w:szCs w:val="20"/>
              </w:rPr>
            </w:pPr>
            <w:r w:rsidRPr="00CC734D">
              <w:rPr>
                <w:sz w:val="20"/>
                <w:szCs w:val="20"/>
              </w:rPr>
              <w:t>Biesal</w:t>
            </w:r>
          </w:p>
        </w:tc>
        <w:tc>
          <w:tcPr>
            <w:tcW w:w="5600" w:type="dxa"/>
          </w:tcPr>
          <w:p w14:paraId="38A5ED21" w14:textId="77777777" w:rsidR="00E15341" w:rsidRPr="00CC734D" w:rsidRDefault="00E15341" w:rsidP="00A86552">
            <w:pPr>
              <w:jc w:val="both"/>
              <w:rPr>
                <w:sz w:val="20"/>
                <w:szCs w:val="20"/>
              </w:rPr>
            </w:pPr>
            <w:r w:rsidRPr="00CC734D">
              <w:rPr>
                <w:sz w:val="20"/>
                <w:szCs w:val="20"/>
              </w:rPr>
              <w:t>Zespół Szkolno-Przedszkolny, Biesal 59</w:t>
            </w:r>
          </w:p>
        </w:tc>
      </w:tr>
      <w:tr w:rsidR="00E15341" w:rsidRPr="00ED4EDD" w14:paraId="43F0D459" w14:textId="77777777" w:rsidTr="00A12C6F">
        <w:trPr>
          <w:jc w:val="center"/>
        </w:trPr>
        <w:tc>
          <w:tcPr>
            <w:tcW w:w="495" w:type="dxa"/>
          </w:tcPr>
          <w:p w14:paraId="62DA211E" w14:textId="77777777" w:rsidR="00E15341" w:rsidRPr="00CC734D" w:rsidRDefault="00E15341" w:rsidP="00A86552">
            <w:pPr>
              <w:jc w:val="both"/>
              <w:rPr>
                <w:sz w:val="20"/>
                <w:szCs w:val="20"/>
              </w:rPr>
            </w:pPr>
            <w:r w:rsidRPr="00CC734D">
              <w:rPr>
                <w:sz w:val="20"/>
                <w:szCs w:val="20"/>
              </w:rPr>
              <w:t>8.</w:t>
            </w:r>
          </w:p>
        </w:tc>
        <w:tc>
          <w:tcPr>
            <w:tcW w:w="1274" w:type="dxa"/>
            <w:vMerge/>
          </w:tcPr>
          <w:p w14:paraId="6535573C" w14:textId="77777777" w:rsidR="00E15341" w:rsidRPr="00CC734D" w:rsidRDefault="00E15341" w:rsidP="00A86552">
            <w:pPr>
              <w:jc w:val="both"/>
              <w:rPr>
                <w:sz w:val="20"/>
                <w:szCs w:val="20"/>
              </w:rPr>
            </w:pPr>
          </w:p>
        </w:tc>
        <w:tc>
          <w:tcPr>
            <w:tcW w:w="1693" w:type="dxa"/>
          </w:tcPr>
          <w:p w14:paraId="4A6082BF" w14:textId="77777777" w:rsidR="00E15341" w:rsidRPr="00CC734D" w:rsidRDefault="00E15341" w:rsidP="00A86552">
            <w:pPr>
              <w:jc w:val="both"/>
              <w:rPr>
                <w:sz w:val="20"/>
                <w:szCs w:val="20"/>
              </w:rPr>
            </w:pPr>
            <w:r w:rsidRPr="00CC734D">
              <w:rPr>
                <w:sz w:val="20"/>
                <w:szCs w:val="20"/>
              </w:rPr>
              <w:t>Unieszewo</w:t>
            </w:r>
          </w:p>
        </w:tc>
        <w:tc>
          <w:tcPr>
            <w:tcW w:w="5600" w:type="dxa"/>
          </w:tcPr>
          <w:p w14:paraId="7384AD14" w14:textId="77777777" w:rsidR="00E15341" w:rsidRPr="00CC734D" w:rsidRDefault="00E15341" w:rsidP="00A86552">
            <w:pPr>
              <w:jc w:val="both"/>
              <w:rPr>
                <w:sz w:val="20"/>
                <w:szCs w:val="20"/>
              </w:rPr>
            </w:pPr>
            <w:r w:rsidRPr="00CC734D">
              <w:rPr>
                <w:sz w:val="20"/>
                <w:szCs w:val="20"/>
              </w:rPr>
              <w:t>Świetlica Wiejska Unieszewo, ul. Lipowa 2</w:t>
            </w:r>
          </w:p>
        </w:tc>
      </w:tr>
      <w:tr w:rsidR="00E15341" w:rsidRPr="00ED4EDD" w14:paraId="2DE41C3F" w14:textId="77777777" w:rsidTr="00A12C6F">
        <w:trPr>
          <w:jc w:val="center"/>
        </w:trPr>
        <w:tc>
          <w:tcPr>
            <w:tcW w:w="495" w:type="dxa"/>
          </w:tcPr>
          <w:p w14:paraId="090F2C62" w14:textId="77777777" w:rsidR="00E15341" w:rsidRPr="00CC734D" w:rsidRDefault="00E15341" w:rsidP="00A86552">
            <w:pPr>
              <w:jc w:val="both"/>
              <w:rPr>
                <w:sz w:val="20"/>
                <w:szCs w:val="20"/>
              </w:rPr>
            </w:pPr>
            <w:r w:rsidRPr="00CC734D">
              <w:rPr>
                <w:sz w:val="20"/>
                <w:szCs w:val="20"/>
              </w:rPr>
              <w:t>9.</w:t>
            </w:r>
          </w:p>
        </w:tc>
        <w:tc>
          <w:tcPr>
            <w:tcW w:w="1274" w:type="dxa"/>
            <w:vMerge w:val="restart"/>
          </w:tcPr>
          <w:p w14:paraId="26265B1C" w14:textId="77777777" w:rsidR="00E15341" w:rsidRPr="00CC734D" w:rsidRDefault="00E15341" w:rsidP="00A86552">
            <w:pPr>
              <w:jc w:val="both"/>
              <w:rPr>
                <w:sz w:val="20"/>
                <w:szCs w:val="20"/>
              </w:rPr>
            </w:pPr>
            <w:r w:rsidRPr="00CC734D">
              <w:rPr>
                <w:sz w:val="20"/>
                <w:szCs w:val="20"/>
              </w:rPr>
              <w:t>Purda</w:t>
            </w:r>
          </w:p>
        </w:tc>
        <w:tc>
          <w:tcPr>
            <w:tcW w:w="1693" w:type="dxa"/>
          </w:tcPr>
          <w:p w14:paraId="2881FACB" w14:textId="77777777" w:rsidR="00E15341" w:rsidRPr="00CC734D" w:rsidRDefault="00E15341" w:rsidP="00A86552">
            <w:pPr>
              <w:jc w:val="both"/>
              <w:rPr>
                <w:sz w:val="20"/>
                <w:szCs w:val="20"/>
              </w:rPr>
            </w:pPr>
            <w:r w:rsidRPr="00CC734D">
              <w:rPr>
                <w:sz w:val="20"/>
                <w:szCs w:val="20"/>
              </w:rPr>
              <w:t>Klebark Wielki</w:t>
            </w:r>
          </w:p>
        </w:tc>
        <w:tc>
          <w:tcPr>
            <w:tcW w:w="5600" w:type="dxa"/>
          </w:tcPr>
          <w:p w14:paraId="1D7F0B60" w14:textId="77777777" w:rsidR="00E15341" w:rsidRPr="00CC734D" w:rsidRDefault="00E15341" w:rsidP="00A86552">
            <w:pPr>
              <w:jc w:val="both"/>
              <w:rPr>
                <w:sz w:val="20"/>
                <w:szCs w:val="20"/>
              </w:rPr>
            </w:pPr>
            <w:r w:rsidRPr="00CC734D">
              <w:rPr>
                <w:sz w:val="20"/>
                <w:szCs w:val="20"/>
              </w:rPr>
              <w:t>Szkoła Podstawowa, Klebark Wielki 9</w:t>
            </w:r>
          </w:p>
        </w:tc>
      </w:tr>
      <w:tr w:rsidR="00E15341" w:rsidRPr="00ED4EDD" w14:paraId="3B1DDCCB" w14:textId="77777777" w:rsidTr="00A12C6F">
        <w:trPr>
          <w:jc w:val="center"/>
        </w:trPr>
        <w:tc>
          <w:tcPr>
            <w:tcW w:w="495" w:type="dxa"/>
          </w:tcPr>
          <w:p w14:paraId="231C6379" w14:textId="77777777" w:rsidR="00E15341" w:rsidRPr="00CC734D" w:rsidRDefault="00E15341" w:rsidP="00A86552">
            <w:pPr>
              <w:jc w:val="both"/>
              <w:rPr>
                <w:sz w:val="20"/>
                <w:szCs w:val="20"/>
              </w:rPr>
            </w:pPr>
            <w:r w:rsidRPr="00CC734D">
              <w:rPr>
                <w:sz w:val="20"/>
                <w:szCs w:val="20"/>
              </w:rPr>
              <w:t>10.</w:t>
            </w:r>
          </w:p>
        </w:tc>
        <w:tc>
          <w:tcPr>
            <w:tcW w:w="1274" w:type="dxa"/>
            <w:vMerge/>
          </w:tcPr>
          <w:p w14:paraId="1320D07B" w14:textId="77777777" w:rsidR="00E15341" w:rsidRPr="00CC734D" w:rsidRDefault="00E15341" w:rsidP="00A86552">
            <w:pPr>
              <w:jc w:val="both"/>
              <w:rPr>
                <w:sz w:val="20"/>
                <w:szCs w:val="20"/>
              </w:rPr>
            </w:pPr>
          </w:p>
        </w:tc>
        <w:tc>
          <w:tcPr>
            <w:tcW w:w="1693" w:type="dxa"/>
          </w:tcPr>
          <w:p w14:paraId="6CEAC903" w14:textId="77777777" w:rsidR="00E15341" w:rsidRPr="00CC734D" w:rsidRDefault="00E15341" w:rsidP="00A86552">
            <w:pPr>
              <w:jc w:val="both"/>
              <w:rPr>
                <w:sz w:val="20"/>
                <w:szCs w:val="20"/>
              </w:rPr>
            </w:pPr>
            <w:r w:rsidRPr="00CC734D">
              <w:rPr>
                <w:sz w:val="20"/>
                <w:szCs w:val="20"/>
              </w:rPr>
              <w:t>Klewki</w:t>
            </w:r>
          </w:p>
        </w:tc>
        <w:tc>
          <w:tcPr>
            <w:tcW w:w="5600" w:type="dxa"/>
          </w:tcPr>
          <w:p w14:paraId="062E5920" w14:textId="77777777" w:rsidR="00E15341" w:rsidRPr="00CC734D" w:rsidRDefault="00E15341" w:rsidP="00A86552">
            <w:pPr>
              <w:jc w:val="both"/>
              <w:rPr>
                <w:sz w:val="20"/>
                <w:szCs w:val="20"/>
              </w:rPr>
            </w:pPr>
            <w:r w:rsidRPr="00CC734D">
              <w:rPr>
                <w:sz w:val="20"/>
                <w:szCs w:val="20"/>
              </w:rPr>
              <w:t>Przedszkole w Klewkach, Klewki 13b</w:t>
            </w:r>
          </w:p>
        </w:tc>
      </w:tr>
      <w:tr w:rsidR="00E15341" w:rsidRPr="00ED4EDD" w14:paraId="11BEBA3A" w14:textId="77777777" w:rsidTr="00A12C6F">
        <w:trPr>
          <w:jc w:val="center"/>
        </w:trPr>
        <w:tc>
          <w:tcPr>
            <w:tcW w:w="495" w:type="dxa"/>
          </w:tcPr>
          <w:p w14:paraId="03AC2C1F" w14:textId="77777777" w:rsidR="00E15341" w:rsidRPr="00CC734D" w:rsidRDefault="00E15341" w:rsidP="00A86552">
            <w:pPr>
              <w:jc w:val="both"/>
              <w:rPr>
                <w:sz w:val="20"/>
                <w:szCs w:val="20"/>
              </w:rPr>
            </w:pPr>
            <w:r w:rsidRPr="00CC734D">
              <w:rPr>
                <w:sz w:val="20"/>
                <w:szCs w:val="20"/>
              </w:rPr>
              <w:t>11.</w:t>
            </w:r>
          </w:p>
        </w:tc>
        <w:tc>
          <w:tcPr>
            <w:tcW w:w="1274" w:type="dxa"/>
            <w:vMerge/>
          </w:tcPr>
          <w:p w14:paraId="7F25429A" w14:textId="77777777" w:rsidR="00E15341" w:rsidRPr="00CC734D" w:rsidRDefault="00E15341" w:rsidP="00A86552">
            <w:pPr>
              <w:jc w:val="both"/>
              <w:rPr>
                <w:sz w:val="20"/>
                <w:szCs w:val="20"/>
              </w:rPr>
            </w:pPr>
          </w:p>
        </w:tc>
        <w:tc>
          <w:tcPr>
            <w:tcW w:w="1693" w:type="dxa"/>
          </w:tcPr>
          <w:p w14:paraId="537907A1" w14:textId="77777777" w:rsidR="00E15341" w:rsidRPr="00CC734D" w:rsidRDefault="00E15341" w:rsidP="00A86552">
            <w:pPr>
              <w:jc w:val="both"/>
              <w:rPr>
                <w:sz w:val="20"/>
                <w:szCs w:val="20"/>
              </w:rPr>
            </w:pPr>
            <w:r w:rsidRPr="00CC734D">
              <w:rPr>
                <w:sz w:val="20"/>
                <w:szCs w:val="20"/>
              </w:rPr>
              <w:t>Purda</w:t>
            </w:r>
          </w:p>
        </w:tc>
        <w:tc>
          <w:tcPr>
            <w:tcW w:w="5600" w:type="dxa"/>
          </w:tcPr>
          <w:p w14:paraId="652684BA" w14:textId="77777777" w:rsidR="00E15341" w:rsidRPr="00CC734D" w:rsidRDefault="00E15341" w:rsidP="00A86552">
            <w:pPr>
              <w:jc w:val="both"/>
              <w:rPr>
                <w:sz w:val="20"/>
                <w:szCs w:val="20"/>
              </w:rPr>
            </w:pPr>
            <w:r w:rsidRPr="00CC734D">
              <w:rPr>
                <w:sz w:val="20"/>
                <w:szCs w:val="20"/>
              </w:rPr>
              <w:t>Urząd Gminy w Purdzie, Purda 19</w:t>
            </w:r>
          </w:p>
        </w:tc>
      </w:tr>
      <w:tr w:rsidR="00E15341" w:rsidRPr="00ED4EDD" w14:paraId="34E84C37" w14:textId="77777777" w:rsidTr="00A12C6F">
        <w:trPr>
          <w:jc w:val="center"/>
        </w:trPr>
        <w:tc>
          <w:tcPr>
            <w:tcW w:w="495" w:type="dxa"/>
          </w:tcPr>
          <w:p w14:paraId="5CFAF0B3" w14:textId="77777777" w:rsidR="00E15341" w:rsidRPr="00CC734D" w:rsidRDefault="00E15341" w:rsidP="00A86552">
            <w:pPr>
              <w:jc w:val="both"/>
              <w:rPr>
                <w:sz w:val="20"/>
                <w:szCs w:val="20"/>
              </w:rPr>
            </w:pPr>
            <w:r w:rsidRPr="00CC734D">
              <w:rPr>
                <w:sz w:val="20"/>
                <w:szCs w:val="20"/>
              </w:rPr>
              <w:t>12</w:t>
            </w:r>
          </w:p>
        </w:tc>
        <w:tc>
          <w:tcPr>
            <w:tcW w:w="1274" w:type="dxa"/>
            <w:vMerge w:val="restart"/>
          </w:tcPr>
          <w:p w14:paraId="21F0F49F" w14:textId="77777777" w:rsidR="00E15341" w:rsidRPr="00CC734D" w:rsidRDefault="00E15341" w:rsidP="00A86552">
            <w:pPr>
              <w:jc w:val="both"/>
              <w:rPr>
                <w:sz w:val="20"/>
                <w:szCs w:val="20"/>
              </w:rPr>
            </w:pPr>
            <w:r w:rsidRPr="00CC734D">
              <w:rPr>
                <w:sz w:val="20"/>
                <w:szCs w:val="20"/>
              </w:rPr>
              <w:t>Stawiguda</w:t>
            </w:r>
          </w:p>
        </w:tc>
        <w:tc>
          <w:tcPr>
            <w:tcW w:w="1693" w:type="dxa"/>
          </w:tcPr>
          <w:p w14:paraId="33E53953" w14:textId="77777777" w:rsidR="00E15341" w:rsidRPr="00CC734D" w:rsidRDefault="00E15341" w:rsidP="00A86552">
            <w:pPr>
              <w:jc w:val="both"/>
              <w:rPr>
                <w:sz w:val="20"/>
                <w:szCs w:val="20"/>
              </w:rPr>
            </w:pPr>
            <w:r w:rsidRPr="00CC734D">
              <w:rPr>
                <w:sz w:val="20"/>
                <w:szCs w:val="20"/>
              </w:rPr>
              <w:t>Bartąg</w:t>
            </w:r>
          </w:p>
        </w:tc>
        <w:tc>
          <w:tcPr>
            <w:tcW w:w="5600" w:type="dxa"/>
          </w:tcPr>
          <w:p w14:paraId="7BD4FC84" w14:textId="77777777" w:rsidR="00E15341" w:rsidRPr="00CC734D" w:rsidRDefault="00E15341" w:rsidP="00A86552">
            <w:pPr>
              <w:jc w:val="both"/>
              <w:rPr>
                <w:sz w:val="20"/>
                <w:szCs w:val="20"/>
              </w:rPr>
            </w:pPr>
            <w:r w:rsidRPr="00CC734D">
              <w:rPr>
                <w:sz w:val="20"/>
                <w:szCs w:val="20"/>
              </w:rPr>
              <w:t>Przedszkole w Bartągu, ul. Nad Łyną 57</w:t>
            </w:r>
          </w:p>
        </w:tc>
      </w:tr>
      <w:tr w:rsidR="00E15341" w:rsidRPr="00ED4EDD" w14:paraId="5DB86152" w14:textId="77777777" w:rsidTr="00A12C6F">
        <w:trPr>
          <w:jc w:val="center"/>
        </w:trPr>
        <w:tc>
          <w:tcPr>
            <w:tcW w:w="495" w:type="dxa"/>
          </w:tcPr>
          <w:p w14:paraId="4EC0A1FC" w14:textId="77777777" w:rsidR="00E15341" w:rsidRPr="00CC734D" w:rsidRDefault="00E15341" w:rsidP="00A86552">
            <w:pPr>
              <w:jc w:val="both"/>
              <w:rPr>
                <w:sz w:val="20"/>
                <w:szCs w:val="20"/>
              </w:rPr>
            </w:pPr>
            <w:r w:rsidRPr="00CC734D">
              <w:rPr>
                <w:sz w:val="20"/>
                <w:szCs w:val="20"/>
              </w:rPr>
              <w:t>13.</w:t>
            </w:r>
          </w:p>
        </w:tc>
        <w:tc>
          <w:tcPr>
            <w:tcW w:w="1274" w:type="dxa"/>
            <w:vMerge/>
          </w:tcPr>
          <w:p w14:paraId="4F132FBD" w14:textId="77777777" w:rsidR="00E15341" w:rsidRPr="00CC734D" w:rsidRDefault="00E15341" w:rsidP="00A86552">
            <w:pPr>
              <w:jc w:val="both"/>
              <w:rPr>
                <w:sz w:val="20"/>
                <w:szCs w:val="20"/>
              </w:rPr>
            </w:pPr>
          </w:p>
        </w:tc>
        <w:tc>
          <w:tcPr>
            <w:tcW w:w="1693" w:type="dxa"/>
          </w:tcPr>
          <w:p w14:paraId="2E1B54C8" w14:textId="77777777" w:rsidR="00E15341" w:rsidRPr="00CC734D" w:rsidRDefault="00E15341" w:rsidP="00A86552">
            <w:pPr>
              <w:jc w:val="both"/>
              <w:rPr>
                <w:sz w:val="20"/>
                <w:szCs w:val="20"/>
              </w:rPr>
            </w:pPr>
            <w:r w:rsidRPr="00CC734D">
              <w:rPr>
                <w:sz w:val="20"/>
                <w:szCs w:val="20"/>
              </w:rPr>
              <w:t>Miodówko</w:t>
            </w:r>
          </w:p>
        </w:tc>
        <w:tc>
          <w:tcPr>
            <w:tcW w:w="5600" w:type="dxa"/>
          </w:tcPr>
          <w:p w14:paraId="69903E71" w14:textId="77777777" w:rsidR="00E15341" w:rsidRPr="00CC734D" w:rsidRDefault="00E15341" w:rsidP="00A86552">
            <w:pPr>
              <w:jc w:val="both"/>
              <w:rPr>
                <w:sz w:val="20"/>
                <w:szCs w:val="20"/>
              </w:rPr>
            </w:pPr>
            <w:r w:rsidRPr="00CC734D">
              <w:rPr>
                <w:sz w:val="20"/>
                <w:szCs w:val="20"/>
              </w:rPr>
              <w:t>Działka nr 73_3, obręb 9, Miodówko</w:t>
            </w:r>
          </w:p>
        </w:tc>
      </w:tr>
    </w:tbl>
    <w:p w14:paraId="057A72B1" w14:textId="21405096" w:rsidR="00E15341" w:rsidRPr="00A0694C" w:rsidRDefault="00A0694C" w:rsidP="00A0694C">
      <w:pPr>
        <w:jc w:val="center"/>
        <w:rPr>
          <w:i/>
          <w:sz w:val="20"/>
          <w:szCs w:val="20"/>
        </w:rPr>
      </w:pPr>
      <w:r w:rsidRPr="00A0694C">
        <w:rPr>
          <w:i/>
          <w:sz w:val="20"/>
          <w:szCs w:val="20"/>
        </w:rPr>
        <w:t xml:space="preserve">źródło: opracowano na podstawie danych Urzędu Marszałkowskiego Województwa Warmińsko-Mazurskiego </w:t>
      </w:r>
      <w:r>
        <w:rPr>
          <w:i/>
          <w:sz w:val="20"/>
          <w:szCs w:val="20"/>
        </w:rPr>
        <w:br/>
      </w:r>
      <w:r w:rsidRPr="00A0694C">
        <w:rPr>
          <w:i/>
          <w:sz w:val="20"/>
          <w:szCs w:val="20"/>
        </w:rPr>
        <w:t>w Olsztynie, Departament Społeczeństwa Informacyjnego</w:t>
      </w:r>
    </w:p>
    <w:p w14:paraId="7BC53AE2" w14:textId="6A27B07A" w:rsidR="000E6EA6" w:rsidRDefault="00E15341" w:rsidP="00E15341">
      <w:pPr>
        <w:jc w:val="both"/>
      </w:pPr>
      <w:r w:rsidRPr="00ED4EDD">
        <w:t>Dostęp do końcowych odbiorców zapewniają lub mogą zapewniać operatorzy komercyjni. Poniższa mapa przedstawia rozmieszczenie węzłów dystrybucyjnych oraz pozostałych elementów sieci na obszarze MOF Olsztyna.</w:t>
      </w:r>
    </w:p>
    <w:p w14:paraId="09A9F7F0" w14:textId="77777777" w:rsidR="00E15341" w:rsidRPr="00ED4EDD" w:rsidRDefault="00E15341" w:rsidP="00E15341">
      <w:pPr>
        <w:spacing w:after="0"/>
        <w:jc w:val="center"/>
      </w:pPr>
      <w:r w:rsidRPr="00ED4EDD">
        <w:rPr>
          <w:noProof/>
          <w:lang w:eastAsia="pl-PL"/>
        </w:rPr>
        <w:drawing>
          <wp:inline distT="0" distB="0" distL="0" distR="0" wp14:anchorId="2E13F052" wp14:editId="6A1971A1">
            <wp:extent cx="5519169" cy="4364966"/>
            <wp:effectExtent l="0" t="0" r="5715"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ieć szerokopasmowa MOF.png"/>
                    <pic:cNvPicPr/>
                  </pic:nvPicPr>
                  <pic:blipFill>
                    <a:blip r:embed="rId103">
                      <a:extLst>
                        <a:ext uri="{28A0092B-C50C-407E-A947-70E740481C1C}">
                          <a14:useLocalDpi xmlns:a14="http://schemas.microsoft.com/office/drawing/2010/main" val="0"/>
                        </a:ext>
                      </a:extLst>
                    </a:blip>
                    <a:stretch>
                      <a:fillRect/>
                    </a:stretch>
                  </pic:blipFill>
                  <pic:spPr>
                    <a:xfrm>
                      <a:off x="0" y="0"/>
                      <a:ext cx="5540394" cy="4381752"/>
                    </a:xfrm>
                    <a:prstGeom prst="rect">
                      <a:avLst/>
                    </a:prstGeom>
                  </pic:spPr>
                </pic:pic>
              </a:graphicData>
            </a:graphic>
          </wp:inline>
        </w:drawing>
      </w:r>
    </w:p>
    <w:p w14:paraId="5899679C" w14:textId="75829CEF" w:rsidR="00E15341" w:rsidRPr="00ED4EDD" w:rsidRDefault="002A2691" w:rsidP="002A2691">
      <w:pPr>
        <w:jc w:val="center"/>
        <w:rPr>
          <w:i/>
        </w:rPr>
      </w:pPr>
      <w:r>
        <w:rPr>
          <w:i/>
          <w:sz w:val="20"/>
          <w:szCs w:val="20"/>
        </w:rPr>
        <w:t>ź</w:t>
      </w:r>
      <w:r w:rsidR="00E15341" w:rsidRPr="002A2691">
        <w:rPr>
          <w:i/>
          <w:sz w:val="20"/>
          <w:szCs w:val="20"/>
        </w:rPr>
        <w:t xml:space="preserve">ródło: </w:t>
      </w:r>
      <w:r w:rsidR="00A0694C">
        <w:rPr>
          <w:i/>
          <w:sz w:val="20"/>
          <w:szCs w:val="20"/>
        </w:rPr>
        <w:t>s</w:t>
      </w:r>
      <w:r w:rsidR="00E15341" w:rsidRPr="002A2691">
        <w:rPr>
          <w:i/>
          <w:sz w:val="20"/>
          <w:szCs w:val="20"/>
        </w:rPr>
        <w:t>trona projektu Sieć Szerokopasmowa Polski Wschodniej-województwo warmińsko-mazurskie</w:t>
      </w:r>
      <w:r w:rsidR="00E15341" w:rsidRPr="00ED4EDD">
        <w:rPr>
          <w:rStyle w:val="Odwoanieprzypisudolnego"/>
          <w:i/>
        </w:rPr>
        <w:footnoteReference w:id="82"/>
      </w:r>
    </w:p>
    <w:p w14:paraId="5DCC5A11" w14:textId="77777777" w:rsidR="000E6EA6" w:rsidRDefault="000E6EA6" w:rsidP="00E15341">
      <w:pPr>
        <w:jc w:val="both"/>
      </w:pPr>
    </w:p>
    <w:p w14:paraId="1028B912" w14:textId="4DE06C9C" w:rsidR="00E15341" w:rsidRPr="00ED4EDD" w:rsidRDefault="00E15341" w:rsidP="00E15341">
      <w:pPr>
        <w:jc w:val="both"/>
      </w:pPr>
      <w:r w:rsidRPr="00ED4EDD">
        <w:rPr>
          <w:noProof/>
          <w:lang w:eastAsia="pl-PL"/>
        </w:rPr>
        <w:lastRenderedPageBreak/>
        <mc:AlternateContent>
          <mc:Choice Requires="wps">
            <w:drawing>
              <wp:anchor distT="0" distB="0" distL="114300" distR="114300" simplePos="0" relativeHeight="251658241" behindDoc="0" locked="0" layoutInCell="1" allowOverlap="1" wp14:anchorId="21E33519" wp14:editId="2478BAE7">
                <wp:simplePos x="0" y="0"/>
                <wp:positionH relativeFrom="column">
                  <wp:posOffset>2862580</wp:posOffset>
                </wp:positionH>
                <wp:positionV relativeFrom="paragraph">
                  <wp:posOffset>0</wp:posOffset>
                </wp:positionV>
                <wp:extent cx="2846070" cy="257175"/>
                <wp:effectExtent l="0" t="0" r="0" b="9525"/>
                <wp:wrapSquare wrapText="bothSides"/>
                <wp:docPr id="52" name="Pole tekstowe 52"/>
                <wp:cNvGraphicFramePr/>
                <a:graphic xmlns:a="http://schemas.openxmlformats.org/drawingml/2006/main">
                  <a:graphicData uri="http://schemas.microsoft.com/office/word/2010/wordprocessingShape">
                    <wps:wsp>
                      <wps:cNvSpPr txBox="1"/>
                      <wps:spPr>
                        <a:xfrm>
                          <a:off x="0" y="0"/>
                          <a:ext cx="2846070" cy="257175"/>
                        </a:xfrm>
                        <a:prstGeom prst="rect">
                          <a:avLst/>
                        </a:prstGeom>
                        <a:solidFill>
                          <a:prstClr val="white"/>
                        </a:solidFill>
                        <a:ln>
                          <a:noFill/>
                        </a:ln>
                      </wps:spPr>
                      <wps:txbx>
                        <w:txbxContent>
                          <w:p w14:paraId="0CB6DA25" w14:textId="77777777" w:rsidR="00D22FE8" w:rsidRPr="0013407D" w:rsidRDefault="00D22FE8" w:rsidP="00E15341">
                            <w:pPr>
                              <w:pStyle w:val="Legenda"/>
                              <w:rPr>
                                <w:rFonts w:eastAsiaTheme="minorHAnsi"/>
                                <w:b/>
                                <w:i w:val="0"/>
                                <w:noProof/>
                                <w:sz w:val="22"/>
                                <w:szCs w:val="22"/>
                              </w:rPr>
                            </w:pPr>
                            <w:r w:rsidRPr="0013407D">
                              <w:rPr>
                                <w:b/>
                                <w:i w:val="0"/>
                                <w:sz w:val="22"/>
                                <w:szCs w:val="22"/>
                              </w:rPr>
                              <w:t xml:space="preserve">Legenda do mapy sieci SSPW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1E33519" id="_x0000_t202" coordsize="21600,21600" o:spt="202" path="m,l,21600r21600,l21600,xe">
                <v:stroke joinstyle="miter"/>
                <v:path gradientshapeok="t" o:connecttype="rect"/>
              </v:shapetype>
              <v:shape id="Pole tekstowe 52" o:spid="_x0000_s1026" type="#_x0000_t202" style="position:absolute;left:0;text-align:left;margin-left:225.4pt;margin-top:0;width:224.1pt;height:20.2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" stroked="f">
                <v:textbox inset="0,0,0,0">
                  <w:txbxContent>
                    <w:p w14:paraId="0CB6DA25" w14:textId="77777777" w:rsidR="00D22FE8" w:rsidRPr="0013407D" w:rsidRDefault="00D22FE8" w:rsidP="00E15341">
                      <w:pPr>
                        <w:pStyle w:val="Legenda"/>
                        <w:rPr>
                          <w:rFonts w:eastAsiaTheme="minorHAnsi"/>
                          <w:b/>
                          <w:i w:val="0"/>
                          <w:noProof/>
                          <w:sz w:val="22"/>
                          <w:szCs w:val="22"/>
                        </w:rPr>
                      </w:pPr>
                      <w:r w:rsidRPr="0013407D">
                        <w:rPr>
                          <w:b/>
                          <w:i w:val="0"/>
                          <w:sz w:val="22"/>
                          <w:szCs w:val="22"/>
                        </w:rPr>
                        <w:t xml:space="preserve">Legenda do mapy sieci SSPW </w:t>
                      </w:r>
                    </w:p>
                  </w:txbxContent>
                </v:textbox>
                <w10:wrap type="square"/>
              </v:shape>
            </w:pict>
          </mc:Fallback>
        </mc:AlternateContent>
      </w:r>
      <w:r w:rsidRPr="00ED4EDD">
        <w:rPr>
          <w:noProof/>
          <w:lang w:eastAsia="pl-PL"/>
        </w:rPr>
        <w:drawing>
          <wp:anchor distT="0" distB="0" distL="114300" distR="114300" simplePos="0" relativeHeight="251658240" behindDoc="0" locked="0" layoutInCell="1" allowOverlap="1" wp14:anchorId="46A6F9F2" wp14:editId="0ECFA471">
            <wp:simplePos x="0" y="0"/>
            <wp:positionH relativeFrom="column">
              <wp:posOffset>2859596</wp:posOffset>
            </wp:positionH>
            <wp:positionV relativeFrom="paragraph">
              <wp:posOffset>15875</wp:posOffset>
            </wp:positionV>
            <wp:extent cx="2846070" cy="1860675"/>
            <wp:effectExtent l="19050" t="19050" r="11430" b="25400"/>
            <wp:wrapSquare wrapText="bothSides"/>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846070" cy="1860675"/>
                    </a:xfrm>
                    <a:prstGeom prst="rect">
                      <a:avLst/>
                    </a:prstGeom>
                    <a:ln>
                      <a:solidFill>
                        <a:schemeClr val="tx1"/>
                      </a:solidFill>
                    </a:ln>
                  </pic:spPr>
                </pic:pic>
              </a:graphicData>
            </a:graphic>
          </wp:anchor>
        </w:drawing>
      </w:r>
      <w:r w:rsidRPr="00ED4EDD">
        <w:t xml:space="preserve">Z listy węzłów oraz ich rozkładu na mapie wynika, że węzły dystrybucyjne sieci szerokopasmowej, do których mogą być podłączane sieci operatorów oferujących przyłączenie odbiorcom końcowym, są dość równo rozdystrybuowane w południowej </w:t>
      </w:r>
      <w:r w:rsidR="000E6EA6">
        <w:br/>
      </w:r>
      <w:r w:rsidRPr="00ED4EDD">
        <w:t>i wschodniej części MOF Olsztyna. Gminą pozbawioną tego typu infrastruktury jest jednak Jonkowo</w:t>
      </w:r>
      <w:r>
        <w:t xml:space="preserve"> i </w:t>
      </w:r>
      <w:r w:rsidR="000E6EA6">
        <w:t>duża część</w:t>
      </w:r>
      <w:r>
        <w:t xml:space="preserve"> Gminy Gietrzwałd</w:t>
      </w:r>
      <w:r w:rsidRPr="00ED4EDD">
        <w:t>.</w:t>
      </w:r>
    </w:p>
    <w:p w14:paraId="54B6D437" w14:textId="77777777" w:rsidR="00621DC7" w:rsidRDefault="00621DC7" w:rsidP="00C52008">
      <w:bookmarkStart w:id="238" w:name="_Toc49504795"/>
    </w:p>
    <w:p w14:paraId="2FC6E070" w14:textId="77777777" w:rsidR="00621DC7" w:rsidRDefault="00621DC7" w:rsidP="00C52008"/>
    <w:p w14:paraId="0550A283" w14:textId="08188584" w:rsidR="00E15341" w:rsidRPr="00ED4EDD" w:rsidRDefault="00621DC7" w:rsidP="00E15341">
      <w:pPr>
        <w:pStyle w:val="Nagwek3"/>
        <w:rPr>
          <w:rFonts w:eastAsia="MyriadPro-Regular"/>
          <w:sz w:val="22"/>
          <w:szCs w:val="22"/>
        </w:rPr>
      </w:pPr>
      <w:bookmarkStart w:id="239" w:name="_Toc73534935"/>
      <w:r>
        <w:rPr>
          <w:rFonts w:eastAsia="MyriadPro-Regular"/>
          <w:sz w:val="22"/>
          <w:szCs w:val="22"/>
        </w:rPr>
        <w:t xml:space="preserve">3.5.2 </w:t>
      </w:r>
      <w:r w:rsidR="00E15341" w:rsidRPr="00ED4EDD">
        <w:rPr>
          <w:rFonts w:eastAsia="MyriadPro-Regular"/>
          <w:sz w:val="22"/>
          <w:szCs w:val="22"/>
        </w:rPr>
        <w:t>Wykorzystanie technologii cyfrowych</w:t>
      </w:r>
      <w:bookmarkEnd w:id="238"/>
      <w:bookmarkEnd w:id="239"/>
    </w:p>
    <w:p w14:paraId="01772D32" w14:textId="5AFD31E8" w:rsidR="00E15341" w:rsidRPr="00ED4EDD" w:rsidRDefault="00621DC7" w:rsidP="00E15341">
      <w:pPr>
        <w:autoSpaceDE w:val="0"/>
        <w:autoSpaceDN w:val="0"/>
        <w:adjustRightInd w:val="0"/>
        <w:spacing w:after="120" w:line="240" w:lineRule="auto"/>
        <w:jc w:val="both"/>
        <w:rPr>
          <w:rFonts w:eastAsia="MyriadPro-Regular" w:cs="MyriadPro-Regular"/>
        </w:rPr>
      </w:pPr>
      <w:r>
        <w:rPr>
          <w:rFonts w:eastAsia="MyriadPro-Regular" w:cs="MyriadPro-Regular"/>
        </w:rPr>
        <w:t>T</w:t>
      </w:r>
      <w:r w:rsidR="00E15341" w:rsidRPr="00ED4EDD">
        <w:rPr>
          <w:rFonts w:eastAsia="MyriadPro-Regular" w:cs="MyriadPro-Regular"/>
        </w:rPr>
        <w:t>echnologie teleinformatyczne</w:t>
      </w:r>
      <w:r w:rsidR="00EC5A7E">
        <w:rPr>
          <w:rFonts w:eastAsia="MyriadPro-Regular" w:cs="MyriadPro-Regular"/>
        </w:rPr>
        <w:t xml:space="preserve"> w znacznym stopniu wpływają na obraz współczesnego świata i sposób funk</w:t>
      </w:r>
      <w:r w:rsidR="00E15341" w:rsidRPr="00ED4EDD">
        <w:rPr>
          <w:rFonts w:eastAsia="MyriadPro-Regular" w:cs="MyriadPro-Regular"/>
        </w:rPr>
        <w:t>cjonowania społeczeństwa</w:t>
      </w:r>
      <w:r w:rsidR="00EC5A7E">
        <w:rPr>
          <w:rFonts w:eastAsia="MyriadPro-Regular" w:cs="MyriadPro-Regular"/>
        </w:rPr>
        <w:t>. Z</w:t>
      </w:r>
      <w:r w:rsidR="00E15341" w:rsidRPr="00ED4EDD">
        <w:rPr>
          <w:rFonts w:eastAsia="MyriadPro-Regular" w:cs="MyriadPro-Regular"/>
        </w:rPr>
        <w:t>rewolucjonizowały rynek pracy, wpłynęły na działalność przedsiębiorstw</w:t>
      </w:r>
      <w:r w:rsidR="00EC5A7E">
        <w:rPr>
          <w:rFonts w:eastAsia="MyriadPro-Regular" w:cs="MyriadPro-Regular"/>
        </w:rPr>
        <w:t xml:space="preserve"> oraz usługi świadczone przez </w:t>
      </w:r>
      <w:r w:rsidR="00E15341" w:rsidRPr="00ED4EDD">
        <w:rPr>
          <w:rFonts w:eastAsia="MyriadPro-Regular" w:cs="MyriadPro-Regular"/>
        </w:rPr>
        <w:t>administracj</w:t>
      </w:r>
      <w:r w:rsidR="00EC5A7E">
        <w:rPr>
          <w:rFonts w:eastAsia="MyriadPro-Regular" w:cs="MyriadPro-Regular"/>
        </w:rPr>
        <w:t>ę</w:t>
      </w:r>
      <w:r w:rsidR="00E15341" w:rsidRPr="00ED4EDD">
        <w:rPr>
          <w:rFonts w:eastAsia="MyriadPro-Regular" w:cs="MyriadPro-Regular"/>
        </w:rPr>
        <w:t xml:space="preserve"> publiczn</w:t>
      </w:r>
      <w:r w:rsidR="00EC5A7E">
        <w:rPr>
          <w:rFonts w:eastAsia="MyriadPro-Regular" w:cs="MyriadPro-Regular"/>
        </w:rPr>
        <w:t xml:space="preserve">ą. </w:t>
      </w:r>
      <w:r w:rsidR="00E15341" w:rsidRPr="00ED4EDD">
        <w:rPr>
          <w:rFonts w:eastAsia="MyriadPro-Regular" w:cs="MyriadPro-Regular"/>
        </w:rPr>
        <w:t xml:space="preserve">Wdrażanie nowych technologii </w:t>
      </w:r>
      <w:r w:rsidR="006B5F01">
        <w:rPr>
          <w:rFonts w:eastAsia="MyriadPro-Regular" w:cs="MyriadPro-Regular"/>
        </w:rPr>
        <w:t>to s</w:t>
      </w:r>
      <w:r w:rsidR="00E15341" w:rsidRPr="00ED4EDD">
        <w:rPr>
          <w:rFonts w:eastAsia="MyriadPro-Regular" w:cs="MyriadPro-Regular"/>
        </w:rPr>
        <w:t>zans</w:t>
      </w:r>
      <w:r w:rsidR="006B5F01">
        <w:rPr>
          <w:rFonts w:eastAsia="MyriadPro-Regular" w:cs="MyriadPro-Regular"/>
        </w:rPr>
        <w:t>a</w:t>
      </w:r>
      <w:r w:rsidR="00E15341" w:rsidRPr="00ED4EDD">
        <w:rPr>
          <w:rFonts w:eastAsia="MyriadPro-Regular" w:cs="MyriadPro-Regular"/>
        </w:rPr>
        <w:t xml:space="preserve"> na wzrost konkurencyjności i osiągnięcie oczekiwanej pozycji na rynku.</w:t>
      </w:r>
    </w:p>
    <w:p w14:paraId="0BBA79FA" w14:textId="6BF66AA3" w:rsidR="00444564" w:rsidRDefault="00F65391" w:rsidP="00E15341">
      <w:pPr>
        <w:jc w:val="both"/>
      </w:pPr>
      <w:r>
        <w:t>Wykorzystanie komputerów jako narzędzi pracy szczegółowo zostało przedstawione w publikacj</w:t>
      </w:r>
      <w:r w:rsidR="00183AB5">
        <w:t>ach</w:t>
      </w:r>
      <w:r>
        <w:t xml:space="preserve"> </w:t>
      </w:r>
      <w:r w:rsidR="00E15341" w:rsidRPr="00ED4EDD">
        <w:rPr>
          <w:i/>
        </w:rPr>
        <w:t>Społeczeństwo informacyjne w Polsce. Wyniki badań statystycznych z lat 2015</w:t>
      </w:r>
      <w:r w:rsidR="00FC2F59">
        <w:rPr>
          <w:i/>
        </w:rPr>
        <w:t>-</w:t>
      </w:r>
      <w:r w:rsidR="00E15341" w:rsidRPr="00ED4EDD">
        <w:rPr>
          <w:i/>
        </w:rPr>
        <w:t>2019</w:t>
      </w:r>
      <w:r w:rsidR="00E15341" w:rsidRPr="00183AB5">
        <w:t>,</w:t>
      </w:r>
      <w:r w:rsidR="00183AB5" w:rsidRPr="00183AB5">
        <w:t xml:space="preserve"> jak również w</w:t>
      </w:r>
      <w:r w:rsidR="00183AB5">
        <w:t xml:space="preserve"> </w:t>
      </w:r>
      <w:r w:rsidR="00183AB5" w:rsidRPr="00ED4EDD">
        <w:rPr>
          <w:i/>
        </w:rPr>
        <w:t>Społeczeństwo informacyjne w Polsce</w:t>
      </w:r>
      <w:r w:rsidR="00183AB5">
        <w:rPr>
          <w:i/>
        </w:rPr>
        <w:t xml:space="preserve"> w 2020 r. </w:t>
      </w:r>
      <w:r w:rsidRPr="00F65391">
        <w:t>opracowan</w:t>
      </w:r>
      <w:r w:rsidR="00183AB5">
        <w:t>ych</w:t>
      </w:r>
      <w:r>
        <w:rPr>
          <w:i/>
        </w:rPr>
        <w:t xml:space="preserve"> </w:t>
      </w:r>
      <w:r w:rsidR="00E15341" w:rsidRPr="00ED4EDD">
        <w:t>przez Główny Urząd Statystyczny</w:t>
      </w:r>
      <w:r w:rsidR="00183AB5">
        <w:t>,</w:t>
      </w:r>
      <w:r w:rsidR="00E15341" w:rsidRPr="00ED4EDD">
        <w:t xml:space="preserve">  Urząd Statystyczny w Szczecinie</w:t>
      </w:r>
      <w:r>
        <w:t>.</w:t>
      </w:r>
      <w:r w:rsidR="00E15341" w:rsidRPr="00ED4EDD">
        <w:t xml:space="preserve"> </w:t>
      </w:r>
      <w:r w:rsidR="00183AB5">
        <w:t xml:space="preserve">Wyniki badań zaprezentowane w wymienionych </w:t>
      </w:r>
      <w:r w:rsidR="00444564">
        <w:t>dokumen</w:t>
      </w:r>
      <w:r w:rsidR="00183AB5">
        <w:t>tach</w:t>
      </w:r>
      <w:r w:rsidR="00444564">
        <w:t xml:space="preserve"> obrazują poziom</w:t>
      </w:r>
      <w:r>
        <w:t xml:space="preserve"> wykorzystani</w:t>
      </w:r>
      <w:r w:rsidR="00444564">
        <w:t>a</w:t>
      </w:r>
      <w:r>
        <w:t xml:space="preserve"> ICT </w:t>
      </w:r>
      <w:r w:rsidR="00FC2F59">
        <w:t>w jednostkach administracji publicznej, przedsiębiorstwach oraz gospodarstwach domowych</w:t>
      </w:r>
      <w:r w:rsidR="00444564">
        <w:t xml:space="preserve">. </w:t>
      </w:r>
    </w:p>
    <w:p w14:paraId="540D9414" w14:textId="033FFD75" w:rsidR="00E15341" w:rsidRPr="00ED4EDD" w:rsidRDefault="00E15341" w:rsidP="00E15341">
      <w:pPr>
        <w:jc w:val="both"/>
      </w:pPr>
      <w:r w:rsidRPr="00ED4EDD">
        <w:t xml:space="preserve">Wśród </w:t>
      </w:r>
      <w:r w:rsidR="002513AF">
        <w:t xml:space="preserve">24 </w:t>
      </w:r>
      <w:r w:rsidRPr="00ED4EDD">
        <w:t xml:space="preserve">badanych ZIT w Polsce w 2019 roku </w:t>
      </w:r>
      <w:r w:rsidR="002513AF">
        <w:t>największy udział osób korzystających z komputera zanotowano n</w:t>
      </w:r>
      <w:r w:rsidRPr="00ED4EDD">
        <w:t>a terenie ZIT Olsztyn (prawie 97%), a najmniej</w:t>
      </w:r>
      <w:r w:rsidR="002513AF">
        <w:t>szy</w:t>
      </w:r>
      <w:r w:rsidRPr="00ED4EDD">
        <w:t xml:space="preserve"> – w ZIT Wałbrzych, ZIT Rybnik, ZIT Białystok oraz ZIT Kalisz-Ostrów Wielkopolski (poniżej 84%).</w:t>
      </w:r>
      <w:r w:rsidRPr="00ED4EDD">
        <w:rPr>
          <w:rStyle w:val="Odwoanieprzypisudolnego"/>
        </w:rPr>
        <w:footnoteReference w:id="83"/>
      </w:r>
      <w:r w:rsidRPr="00ED4EDD">
        <w:t xml:space="preserve"> Wysoki </w:t>
      </w:r>
      <w:r w:rsidR="002513AF">
        <w:t xml:space="preserve">poziom </w:t>
      </w:r>
      <w:r w:rsidRPr="00ED4EDD">
        <w:t xml:space="preserve">osób korzystających </w:t>
      </w:r>
      <w:r w:rsidR="002513AF">
        <w:br/>
      </w:r>
      <w:r w:rsidRPr="00ED4EDD">
        <w:t>z komputera w ZIT Olsz</w:t>
      </w:r>
      <w:r w:rsidR="002513AF">
        <w:t xml:space="preserve">tyn nie przekłada się jednak na </w:t>
      </w:r>
      <w:r w:rsidRPr="00ED4EDD">
        <w:t>korzystanie z elektronicznych usług administracji publicznej, które oscylują w granicach 45-54,9% przy maksymalnym poziomie 64,9%.</w:t>
      </w:r>
    </w:p>
    <w:p w14:paraId="27F6B6F5" w14:textId="6AFEA372" w:rsidR="00E15341" w:rsidRPr="00ED4EDD" w:rsidRDefault="00183AB5" w:rsidP="00E15341">
      <w:pPr>
        <w:jc w:val="both"/>
        <w:rPr>
          <w:rFonts w:cs="MyriadPro-Bold"/>
          <w:bCs/>
        </w:rPr>
      </w:pPr>
      <w:r>
        <w:t>Dane statystyczne publikowane w wymienionych powyżej opracowaniach</w:t>
      </w:r>
      <w:r w:rsidR="00E15341" w:rsidRPr="00ED4EDD">
        <w:t xml:space="preserve"> </w:t>
      </w:r>
      <w:r>
        <w:t>prezentują badania r</w:t>
      </w:r>
      <w:r w:rsidR="00E15341" w:rsidRPr="00ED4EDD">
        <w:t>ealizowane na poziomie województw. Badano przede wszystkim obsługę informatyczną jednostek administracji publicznej, wykorzystanie systemu Elektronicznego Zarządzania Dokumentami (EZD), wyposażenie przedsiębiorstw w komputery, wykorzystanie robot</w:t>
      </w:r>
      <w:r w:rsidR="00E15341">
        <w:t xml:space="preserve">ów przemysłowych i usługowych, </w:t>
      </w:r>
      <w:r w:rsidR="00E15341" w:rsidRPr="00ED4EDD">
        <w:t xml:space="preserve">wyposażenie gospodarstw domowych w komputery oraz liczbę osób korzystających z komputera, osób łączących się z Internetem poprzez urządzenia przenośne oraz osób korzystających z usług administracji publicznej za pomocą internetu. Dodatkowo w dokumencie zbadano </w:t>
      </w:r>
      <w:r w:rsidR="00E15341" w:rsidRPr="00ED4EDD">
        <w:rPr>
          <w:rFonts w:cs="MyriadPro-Bold"/>
          <w:bCs/>
        </w:rPr>
        <w:t xml:space="preserve">liczbę złożonych wniosków </w:t>
      </w:r>
      <w:r>
        <w:rPr>
          <w:rFonts w:cs="MyriadPro-Bold"/>
          <w:bCs/>
        </w:rPr>
        <w:t xml:space="preserve">o świadczenie wychowawcze </w:t>
      </w:r>
      <w:r w:rsidR="00403951">
        <w:rPr>
          <w:rFonts w:cs="MyriadPro-Bold"/>
          <w:bCs/>
        </w:rPr>
        <w:t>(</w:t>
      </w:r>
      <w:r w:rsidR="00E15341" w:rsidRPr="00ED4EDD">
        <w:rPr>
          <w:rFonts w:cs="MyriadPro-Bold"/>
          <w:bCs/>
        </w:rPr>
        <w:t>„Dobry start”</w:t>
      </w:r>
      <w:r w:rsidR="00403951">
        <w:rPr>
          <w:rFonts w:cs="MyriadPro-Bold"/>
          <w:bCs/>
        </w:rPr>
        <w:t xml:space="preserve"> „Rodzina 500+”</w:t>
      </w:r>
      <w:r w:rsidR="00E15341" w:rsidRPr="00ED4EDD">
        <w:rPr>
          <w:rFonts w:cs="MyriadPro-Bold"/>
          <w:bCs/>
        </w:rPr>
        <w:t xml:space="preserve">, których wskaźnik </w:t>
      </w:r>
      <w:r w:rsidR="00403951">
        <w:rPr>
          <w:rFonts w:cs="MyriadPro-Bold"/>
          <w:bCs/>
        </w:rPr>
        <w:br/>
      </w:r>
      <w:r w:rsidR="00E15341" w:rsidRPr="00ED4EDD">
        <w:rPr>
          <w:rFonts w:cs="MyriadPro-Bold"/>
          <w:bCs/>
        </w:rPr>
        <w:t xml:space="preserve">w województwie warmińsko-mazurskim, razem z województwem śląskim, zachodniopomorskim, dolnośląskim, pomorskim, mazowieckim, opolskim oraz lubuskim przewyższał średnią dla kraju </w:t>
      </w:r>
      <w:r w:rsidR="00E15341" w:rsidRPr="00ED4EDD">
        <w:rPr>
          <w:rStyle w:val="Odwoanieprzypisudolnego"/>
          <w:rFonts w:cs="MyriadPro-Bold"/>
          <w:bCs/>
        </w:rPr>
        <w:footnoteReference w:id="84"/>
      </w:r>
      <w:r w:rsidR="00E15341" w:rsidRPr="00ED4EDD">
        <w:rPr>
          <w:rFonts w:cs="MyriadPro-Bold"/>
          <w:bCs/>
        </w:rPr>
        <w:t>.</w:t>
      </w:r>
    </w:p>
    <w:p w14:paraId="3ED5A554" w14:textId="651D8F58" w:rsidR="00E15341" w:rsidRDefault="004143AE" w:rsidP="00E15341">
      <w:pPr>
        <w:jc w:val="both"/>
      </w:pPr>
      <w:r>
        <w:t xml:space="preserve">Na wykresie poniżej zaprezentowano poziom </w:t>
      </w:r>
      <w:r w:rsidR="00E15341" w:rsidRPr="00ED4EDD">
        <w:t>wy</w:t>
      </w:r>
      <w:r>
        <w:t xml:space="preserve">korzystania technologii ICT przez gospodarstwa domowe </w:t>
      </w:r>
      <w:r w:rsidR="00FF3048">
        <w:t xml:space="preserve">w </w:t>
      </w:r>
      <w:r>
        <w:t>wybranych województw</w:t>
      </w:r>
      <w:r w:rsidR="00FF3048">
        <w:t xml:space="preserve">ach </w:t>
      </w:r>
      <w:r>
        <w:t>Polski Wschodniej</w:t>
      </w:r>
      <w:r w:rsidR="00E15341" w:rsidRPr="00ED4EDD">
        <w:t>.</w:t>
      </w:r>
    </w:p>
    <w:p w14:paraId="3A112139" w14:textId="3F91FA37" w:rsidR="00FF3048" w:rsidRDefault="00FF3048" w:rsidP="00057995">
      <w:pPr>
        <w:spacing w:before="240"/>
        <w:jc w:val="both"/>
      </w:pPr>
      <w:r>
        <w:t xml:space="preserve">W 2019 roku </w:t>
      </w:r>
      <w:r w:rsidR="00057995">
        <w:t xml:space="preserve">niemalże </w:t>
      </w:r>
      <w:r>
        <w:t>79% gospodarstw domowych z terenu województwa warmińsko-mazurskiego posiadało komputery</w:t>
      </w:r>
      <w:r w:rsidR="00057995">
        <w:t>, zaś dostęp do internetu 84% gospodarstw</w:t>
      </w:r>
      <w:r>
        <w:t xml:space="preserve">. Korzystanie ze sprzętu </w:t>
      </w:r>
      <w:r>
        <w:lastRenderedPageBreak/>
        <w:t xml:space="preserve">komputerowego zadeklarowało blisko 82% </w:t>
      </w:r>
      <w:r w:rsidR="00057995">
        <w:t xml:space="preserve">osób. Odsetek korzystających z internetu był jednym </w:t>
      </w:r>
      <w:r w:rsidR="00057995">
        <w:br/>
        <w:t xml:space="preserve">z najwyższych wśród analizowanych ośrodków Polski Wschodniej (ponad 83%). </w:t>
      </w:r>
    </w:p>
    <w:p w14:paraId="62660484" w14:textId="10B88AA5" w:rsidR="007A2C52" w:rsidRPr="007A2C52" w:rsidRDefault="007A2C52" w:rsidP="007A2C52">
      <w:pPr>
        <w:pStyle w:val="Legenda"/>
        <w:rPr>
          <w:sz w:val="22"/>
          <w:szCs w:val="22"/>
          <w:lang w:val="pl-PL"/>
        </w:rPr>
      </w:pPr>
      <w:bookmarkStart w:id="240" w:name="_Toc73516135"/>
      <w:r w:rsidRPr="007A2C52">
        <w:rPr>
          <w:sz w:val="22"/>
          <w:szCs w:val="22"/>
        </w:rPr>
        <w:t xml:space="preserve">Wykres </w:t>
      </w:r>
      <w:r w:rsidRPr="007A2C52">
        <w:rPr>
          <w:sz w:val="22"/>
          <w:szCs w:val="22"/>
        </w:rPr>
        <w:fldChar w:fldCharType="begin"/>
      </w:r>
      <w:r w:rsidRPr="007A2C52">
        <w:rPr>
          <w:sz w:val="22"/>
          <w:szCs w:val="22"/>
        </w:rPr>
        <w:instrText xml:space="preserve"> SEQ Wykres \* ARABIC </w:instrText>
      </w:r>
      <w:r w:rsidRPr="007A2C52">
        <w:rPr>
          <w:sz w:val="22"/>
          <w:szCs w:val="22"/>
        </w:rPr>
        <w:fldChar w:fldCharType="separate"/>
      </w:r>
      <w:r w:rsidR="00AD58C3">
        <w:rPr>
          <w:noProof/>
          <w:sz w:val="22"/>
          <w:szCs w:val="22"/>
        </w:rPr>
        <w:t>73</w:t>
      </w:r>
      <w:r w:rsidRPr="007A2C52">
        <w:rPr>
          <w:sz w:val="22"/>
          <w:szCs w:val="22"/>
        </w:rPr>
        <w:fldChar w:fldCharType="end"/>
      </w:r>
      <w:r w:rsidRPr="007A2C52">
        <w:rPr>
          <w:sz w:val="22"/>
          <w:szCs w:val="22"/>
        </w:rPr>
        <w:t xml:space="preserve">. </w:t>
      </w:r>
      <w:r w:rsidRPr="007A2C52">
        <w:rPr>
          <w:bCs/>
          <w:sz w:val="22"/>
          <w:szCs w:val="22"/>
          <w:lang w:val="pl-PL"/>
        </w:rPr>
        <w:t>Gospodarstwa domowe wyposażone w komputery oraz z dostępem do internetu w roku 2019</w:t>
      </w:r>
      <w:bookmarkEnd w:id="240"/>
      <w:r w:rsidRPr="007A2C52">
        <w:rPr>
          <w:bCs/>
          <w:sz w:val="22"/>
          <w:szCs w:val="22"/>
          <w:lang w:val="pl-PL"/>
        </w:rPr>
        <w:t xml:space="preserve"> </w:t>
      </w:r>
    </w:p>
    <w:p w14:paraId="116B12AC" w14:textId="40C8EBAA" w:rsidR="004143AE" w:rsidRPr="00ED4EDD" w:rsidRDefault="004143AE" w:rsidP="00057995">
      <w:pPr>
        <w:spacing w:after="0" w:line="240" w:lineRule="auto"/>
        <w:jc w:val="both"/>
      </w:pPr>
      <w:r>
        <w:rPr>
          <w:noProof/>
          <w:lang w:eastAsia="pl-PL"/>
        </w:rPr>
        <w:drawing>
          <wp:inline distT="0" distB="0" distL="0" distR="0" wp14:anchorId="7705BD29" wp14:editId="06E61B8D">
            <wp:extent cx="5950424" cy="2915285"/>
            <wp:effectExtent l="0" t="0" r="12700" b="18415"/>
            <wp:docPr id="36" name="Wykres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0E6C5FBE" w14:textId="1CA1DD69" w:rsidR="005677C0" w:rsidRDefault="00057995" w:rsidP="00057995">
      <w:pPr>
        <w:spacing w:after="0" w:line="240" w:lineRule="auto"/>
        <w:jc w:val="center"/>
        <w:rPr>
          <w:i/>
          <w:sz w:val="20"/>
          <w:szCs w:val="20"/>
        </w:rPr>
      </w:pPr>
      <w:r>
        <w:rPr>
          <w:i/>
          <w:sz w:val="20"/>
          <w:szCs w:val="20"/>
        </w:rPr>
        <w:t>ź</w:t>
      </w:r>
      <w:r w:rsidR="00E15341" w:rsidRPr="00057995">
        <w:rPr>
          <w:i/>
          <w:sz w:val="20"/>
          <w:szCs w:val="20"/>
        </w:rPr>
        <w:t>ródło:</w:t>
      </w:r>
      <w:r w:rsidR="005677C0" w:rsidRPr="0091031D">
        <w:rPr>
          <w:i/>
          <w:sz w:val="20"/>
          <w:szCs w:val="20"/>
        </w:rPr>
        <w:t xml:space="preserve"> opracowanie własne na podstawie danych GUS</w:t>
      </w:r>
      <w:r w:rsidR="005677C0">
        <w:rPr>
          <w:i/>
          <w:sz w:val="20"/>
          <w:szCs w:val="20"/>
        </w:rPr>
        <w:t xml:space="preserve"> </w:t>
      </w:r>
    </w:p>
    <w:p w14:paraId="63E9C45A" w14:textId="448ED91D" w:rsidR="00E15341" w:rsidRPr="00057995" w:rsidRDefault="005677C0" w:rsidP="00057995">
      <w:pPr>
        <w:spacing w:after="0" w:line="240" w:lineRule="auto"/>
        <w:jc w:val="center"/>
        <w:rPr>
          <w:i/>
          <w:sz w:val="20"/>
          <w:szCs w:val="20"/>
        </w:rPr>
      </w:pPr>
      <w:r>
        <w:rPr>
          <w:i/>
          <w:sz w:val="20"/>
          <w:szCs w:val="20"/>
        </w:rPr>
        <w:t>–</w:t>
      </w:r>
      <w:r w:rsidR="00E15341" w:rsidRPr="00057995">
        <w:rPr>
          <w:i/>
          <w:sz w:val="20"/>
          <w:szCs w:val="20"/>
        </w:rPr>
        <w:t xml:space="preserve"> </w:t>
      </w:r>
      <w:r>
        <w:rPr>
          <w:i/>
          <w:sz w:val="20"/>
          <w:szCs w:val="20"/>
        </w:rPr>
        <w:t xml:space="preserve">opracowanie </w:t>
      </w:r>
      <w:r w:rsidR="00E15341" w:rsidRPr="00057995">
        <w:rPr>
          <w:i/>
          <w:sz w:val="20"/>
          <w:szCs w:val="20"/>
        </w:rPr>
        <w:t>„Społeczeństwo informacyjne w Polsce. Wyniki badań statystycznych z lat 2015</w:t>
      </w:r>
      <w:r w:rsidR="00CB6928">
        <w:rPr>
          <w:i/>
          <w:sz w:val="20"/>
          <w:szCs w:val="20"/>
        </w:rPr>
        <w:t>-</w:t>
      </w:r>
      <w:r w:rsidR="00E15341" w:rsidRPr="00057995">
        <w:rPr>
          <w:i/>
          <w:sz w:val="20"/>
          <w:szCs w:val="20"/>
        </w:rPr>
        <w:t>2019”</w:t>
      </w:r>
    </w:p>
    <w:p w14:paraId="2BBB108D" w14:textId="17B2B117" w:rsidR="00057995" w:rsidRDefault="00057995" w:rsidP="00E15341">
      <w:pPr>
        <w:jc w:val="both"/>
      </w:pPr>
    </w:p>
    <w:p w14:paraId="20854131" w14:textId="748677C7" w:rsidR="00944D96" w:rsidRDefault="00697E75" w:rsidP="00E15341">
      <w:pPr>
        <w:jc w:val="both"/>
      </w:pPr>
      <w:r>
        <w:t>W 2019 r. szerokopasmowe łącze internetowe w domu posiadało 82,9% gospodarstw Polski Wschodniej. Korzystniejsz</w:t>
      </w:r>
      <w:r w:rsidR="005D0183">
        <w:t>ą sytuację pod tym względem zaobserwowano</w:t>
      </w:r>
      <w:r>
        <w:t xml:space="preserve"> w gospodarstwach Polski centralnej oraz zachodniej (83,4%). </w:t>
      </w:r>
      <w:r w:rsidR="002C247D">
        <w:t xml:space="preserve">Liczba osób regularnie korzystających z internetu wciąż rośnie (62,4% stałych użytkowników w roku 2015 oraz 74,9% w roku 2019). </w:t>
      </w:r>
      <w:r w:rsidR="005D0183">
        <w:t>W badanych miastach Polski Wschodniej zarejestrowano niższy</w:t>
      </w:r>
      <w:r w:rsidR="002C247D">
        <w:t>,</w:t>
      </w:r>
      <w:r w:rsidR="005D0183">
        <w:t xml:space="preserve"> niż </w:t>
      </w:r>
      <w:r w:rsidR="002C247D">
        <w:t xml:space="preserve">w </w:t>
      </w:r>
      <w:r w:rsidR="005D0183">
        <w:t>pozostałych regionach</w:t>
      </w:r>
      <w:r w:rsidR="002C247D">
        <w:t xml:space="preserve"> kraju,</w:t>
      </w:r>
      <w:r w:rsidR="005D0183">
        <w:t xml:space="preserve"> udział korzystających</w:t>
      </w:r>
      <w:r w:rsidR="00944D96">
        <w:t xml:space="preserve"> z internetu poprzez </w:t>
      </w:r>
      <w:r w:rsidR="005D0183">
        <w:t>urządze</w:t>
      </w:r>
      <w:r w:rsidR="00944D96">
        <w:t>nia przenośne – 52,5% ogółu osób; Polska zachodnia – 59,4%; Polska centralna – 61,1% osób).</w:t>
      </w:r>
    </w:p>
    <w:p w14:paraId="77D045EF" w14:textId="41F00158" w:rsidR="00637410" w:rsidRDefault="00B10740" w:rsidP="00E15341">
      <w:pPr>
        <w:jc w:val="both"/>
      </w:pPr>
      <w:r>
        <w:t>O</w:t>
      </w:r>
      <w:r w:rsidR="00F95117">
        <w:t xml:space="preserve">dsetek jednostek administracji publicznej wykorzystujących technologie informatyczne stale rośnie. </w:t>
      </w:r>
      <w:r>
        <w:t xml:space="preserve">W roku 2019 </w:t>
      </w:r>
      <w:r w:rsidRPr="00ED4EDD">
        <w:t>wykorzystani</w:t>
      </w:r>
      <w:r>
        <w:t>e</w:t>
      </w:r>
      <w:r w:rsidRPr="00ED4EDD">
        <w:t xml:space="preserve"> systemu Elektronicznego Zarządzania Dokumentami</w:t>
      </w:r>
      <w:r w:rsidR="00AE2890">
        <w:t xml:space="preserve"> (EZD)</w:t>
      </w:r>
      <w:r>
        <w:t xml:space="preserve"> w urzędach </w:t>
      </w:r>
      <w:r>
        <w:br/>
      </w:r>
      <w:r w:rsidRPr="00ED4EDD">
        <w:t>województw</w:t>
      </w:r>
      <w:r>
        <w:t>a</w:t>
      </w:r>
      <w:r w:rsidRPr="00ED4EDD">
        <w:t xml:space="preserve"> warmińsko-mazurski</w:t>
      </w:r>
      <w:r>
        <w:t>ego pozostawał</w:t>
      </w:r>
      <w:r w:rsidR="00AE2890">
        <w:t xml:space="preserve"> na poziomie 58,4% (wyższym o 31,4 p.p. niż w roku 2018). Był to przyrost najwyższy, odnotowany wśród omawianych ośrodków wojewódzkich. Najwyższy odsetek urzędów administracji publicznej wykorzystujących EZD w bieżącej działalności zanotowano </w:t>
      </w:r>
      <w:r w:rsidR="00637410">
        <w:br/>
      </w:r>
      <w:r w:rsidR="00AE2890">
        <w:t xml:space="preserve">w województwie podlaskim - 97,0% (więcej o 0,8 p.p. niż w roku 2018). </w:t>
      </w:r>
      <w:r w:rsidR="00637410">
        <w:t>W roku 2019 największy odsetek jednostek administracji publicznej realizujących część obsługi informatycznej poprzez wydzielonych pracowników lub komórki organizacyjne, odnotowano w województwie warmińsko-mazurskim (71,5% - wzrost o 24,1 p.p. w porównaniu do roku 2018), zaś najmniejszy – w województwie podlaskim (36,4% - więcej o 12,2 p.p. niż w roku 2018).).</w:t>
      </w:r>
    </w:p>
    <w:p w14:paraId="6C13A7A9" w14:textId="44041C9F" w:rsidR="007A2C52" w:rsidRDefault="007A2C52">
      <w:r>
        <w:br w:type="page"/>
      </w:r>
    </w:p>
    <w:p w14:paraId="6CCAE92F" w14:textId="792B5C1F" w:rsidR="00336EFB" w:rsidRDefault="007A2C52" w:rsidP="007A2C52">
      <w:pPr>
        <w:pStyle w:val="Legenda"/>
        <w:rPr>
          <w:bCs/>
          <w:sz w:val="22"/>
          <w:szCs w:val="22"/>
          <w:lang w:val="en-US"/>
        </w:rPr>
      </w:pPr>
      <w:bookmarkStart w:id="241" w:name="_Toc73516136"/>
      <w:r w:rsidRPr="007A2C52">
        <w:rPr>
          <w:sz w:val="22"/>
          <w:szCs w:val="22"/>
        </w:rPr>
        <w:lastRenderedPageBreak/>
        <w:t xml:space="preserve">Wykres </w:t>
      </w:r>
      <w:r w:rsidRPr="007A2C52">
        <w:rPr>
          <w:sz w:val="22"/>
          <w:szCs w:val="22"/>
        </w:rPr>
        <w:fldChar w:fldCharType="begin"/>
      </w:r>
      <w:r w:rsidRPr="007A2C52">
        <w:rPr>
          <w:sz w:val="22"/>
          <w:szCs w:val="22"/>
        </w:rPr>
        <w:instrText xml:space="preserve"> SEQ Wykres \* ARABIC </w:instrText>
      </w:r>
      <w:r w:rsidRPr="007A2C52">
        <w:rPr>
          <w:sz w:val="22"/>
          <w:szCs w:val="22"/>
        </w:rPr>
        <w:fldChar w:fldCharType="separate"/>
      </w:r>
      <w:r w:rsidR="00AD58C3">
        <w:rPr>
          <w:noProof/>
          <w:sz w:val="22"/>
          <w:szCs w:val="22"/>
        </w:rPr>
        <w:t>74</w:t>
      </w:r>
      <w:r w:rsidRPr="007A2C52">
        <w:rPr>
          <w:sz w:val="22"/>
          <w:szCs w:val="22"/>
        </w:rPr>
        <w:fldChar w:fldCharType="end"/>
      </w:r>
      <w:r w:rsidRPr="007A2C52">
        <w:rPr>
          <w:sz w:val="22"/>
          <w:szCs w:val="22"/>
        </w:rPr>
        <w:t xml:space="preserve">. </w:t>
      </w:r>
      <w:r w:rsidRPr="007A2C52">
        <w:rPr>
          <w:bCs/>
          <w:sz w:val="22"/>
          <w:szCs w:val="22"/>
          <w:lang w:val="en-US"/>
        </w:rPr>
        <w:t xml:space="preserve">Wykorzystanie systemów teleinformatycznych w jednostkach administracji publicznej </w:t>
      </w:r>
      <w:r>
        <w:rPr>
          <w:bCs/>
          <w:sz w:val="22"/>
          <w:szCs w:val="22"/>
          <w:lang w:val="en-US"/>
        </w:rPr>
        <w:br/>
      </w:r>
      <w:r w:rsidRPr="007A2C52">
        <w:rPr>
          <w:bCs/>
          <w:sz w:val="22"/>
          <w:szCs w:val="22"/>
          <w:lang w:val="en-US"/>
        </w:rPr>
        <w:t>w roku 201</w:t>
      </w:r>
      <w:r w:rsidR="00F95117">
        <w:rPr>
          <w:bCs/>
          <w:sz w:val="22"/>
          <w:szCs w:val="22"/>
          <w:lang w:val="en-US"/>
        </w:rPr>
        <w:t>9</w:t>
      </w:r>
      <w:bookmarkEnd w:id="241"/>
    </w:p>
    <w:p w14:paraId="64F30B47" w14:textId="0947E4E4" w:rsidR="00F95117" w:rsidRDefault="00F95117" w:rsidP="00F95117">
      <w:pPr>
        <w:pStyle w:val="Legenda"/>
        <w:spacing w:before="0" w:after="0" w:line="240" w:lineRule="auto"/>
        <w:rPr>
          <w:bCs/>
          <w:sz w:val="22"/>
          <w:szCs w:val="22"/>
          <w:lang w:val="en-US"/>
        </w:rPr>
      </w:pPr>
      <w:r>
        <w:rPr>
          <w:noProof/>
          <w:lang w:val="pl-PL" w:eastAsia="pl-PL"/>
        </w:rPr>
        <w:drawing>
          <wp:inline distT="0" distB="0" distL="0" distR="0" wp14:anchorId="2624AD49" wp14:editId="46504A63">
            <wp:extent cx="5760720" cy="2648585"/>
            <wp:effectExtent l="0" t="0" r="11430" b="18415"/>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61EAED21" w14:textId="77777777" w:rsidR="005677C0" w:rsidRDefault="005677C0" w:rsidP="00F95117">
      <w:pPr>
        <w:spacing w:after="0" w:line="240" w:lineRule="auto"/>
        <w:jc w:val="center"/>
        <w:rPr>
          <w:i/>
          <w:sz w:val="20"/>
          <w:szCs w:val="20"/>
        </w:rPr>
      </w:pPr>
      <w:r>
        <w:rPr>
          <w:i/>
          <w:sz w:val="20"/>
          <w:szCs w:val="20"/>
        </w:rPr>
        <w:t>ź</w:t>
      </w:r>
      <w:r w:rsidRPr="00057995">
        <w:rPr>
          <w:i/>
          <w:sz w:val="20"/>
          <w:szCs w:val="20"/>
        </w:rPr>
        <w:t>ródło:</w:t>
      </w:r>
      <w:r w:rsidRPr="0091031D">
        <w:rPr>
          <w:i/>
          <w:sz w:val="20"/>
          <w:szCs w:val="20"/>
        </w:rPr>
        <w:t xml:space="preserve"> opracowanie własne na podstawie danych GUS</w:t>
      </w:r>
      <w:r>
        <w:rPr>
          <w:i/>
          <w:sz w:val="20"/>
          <w:szCs w:val="20"/>
        </w:rPr>
        <w:t xml:space="preserve"> </w:t>
      </w:r>
    </w:p>
    <w:p w14:paraId="63E485D3" w14:textId="0B8E86EF" w:rsidR="00336EFB" w:rsidRPr="005677C0" w:rsidRDefault="005677C0" w:rsidP="00F95117">
      <w:pPr>
        <w:spacing w:after="0" w:line="240" w:lineRule="auto"/>
        <w:jc w:val="center"/>
        <w:rPr>
          <w:i/>
          <w:sz w:val="20"/>
          <w:szCs w:val="20"/>
        </w:rPr>
      </w:pPr>
      <w:r>
        <w:rPr>
          <w:i/>
          <w:sz w:val="20"/>
          <w:szCs w:val="20"/>
        </w:rPr>
        <w:t>–</w:t>
      </w:r>
      <w:r w:rsidRPr="00057995">
        <w:rPr>
          <w:i/>
          <w:sz w:val="20"/>
          <w:szCs w:val="20"/>
        </w:rPr>
        <w:t xml:space="preserve"> </w:t>
      </w:r>
      <w:r>
        <w:rPr>
          <w:i/>
          <w:sz w:val="20"/>
          <w:szCs w:val="20"/>
        </w:rPr>
        <w:t xml:space="preserve">opracowanie </w:t>
      </w:r>
      <w:r w:rsidRPr="00057995">
        <w:rPr>
          <w:i/>
          <w:sz w:val="20"/>
          <w:szCs w:val="20"/>
        </w:rPr>
        <w:t>„Społeczeństwo informacyjne w Polsce</w:t>
      </w:r>
      <w:r w:rsidR="00F95117">
        <w:rPr>
          <w:i/>
          <w:sz w:val="20"/>
          <w:szCs w:val="20"/>
        </w:rPr>
        <w:t xml:space="preserve"> w 2020 r.</w:t>
      </w:r>
      <w:r>
        <w:rPr>
          <w:i/>
          <w:sz w:val="20"/>
          <w:szCs w:val="20"/>
        </w:rPr>
        <w:t>”</w:t>
      </w:r>
    </w:p>
    <w:p w14:paraId="59F49848" w14:textId="77777777" w:rsidR="00336EFB" w:rsidRDefault="00336EFB" w:rsidP="00E15341">
      <w:pPr>
        <w:autoSpaceDE w:val="0"/>
        <w:autoSpaceDN w:val="0"/>
        <w:adjustRightInd w:val="0"/>
        <w:spacing w:after="120" w:line="240" w:lineRule="auto"/>
        <w:jc w:val="both"/>
      </w:pPr>
    </w:p>
    <w:p w14:paraId="39A563E4" w14:textId="496E5355" w:rsidR="00E15341" w:rsidRDefault="00E15341" w:rsidP="00E15341">
      <w:pPr>
        <w:autoSpaceDE w:val="0"/>
        <w:autoSpaceDN w:val="0"/>
        <w:adjustRightInd w:val="0"/>
        <w:spacing w:after="120" w:line="240" w:lineRule="auto"/>
        <w:jc w:val="both"/>
      </w:pPr>
      <w:r>
        <w:t>Dostęp do e-usług w gminach MOF Olsztyna stale się poprawia, także dzięki realizacji kolejnych projektów związanych ze zdalną obsługą klienta.</w:t>
      </w:r>
      <w:r w:rsidR="009E5F85">
        <w:t xml:space="preserve"> Przykładem jest realizowany w Olsztynie projekt pn. „Cyfrowy Olsztyn”, który jest kolejnym etapem rozbudowy infrastruktury teleinformatycznej Gminy Olsztyn oraz jednostek podległych o nowe rozwiązania systemowe, aplikacyjne oraz sprzętowe. Wdrożenie projektu stworz</w:t>
      </w:r>
      <w:r w:rsidR="002D38C7">
        <w:t>y</w:t>
      </w:r>
      <w:r w:rsidR="009E5F85">
        <w:t xml:space="preserve"> przyjazn</w:t>
      </w:r>
      <w:r w:rsidR="002D38C7">
        <w:t>ą</w:t>
      </w:r>
      <w:r w:rsidR="009E5F85">
        <w:t xml:space="preserve"> obywatelowi</w:t>
      </w:r>
      <w:r w:rsidR="002D38C7">
        <w:t xml:space="preserve"> platformę</w:t>
      </w:r>
      <w:r w:rsidR="009E5F85">
        <w:t xml:space="preserve"> komunikacji z administra</w:t>
      </w:r>
      <w:r w:rsidR="002D38C7">
        <w:t>c</w:t>
      </w:r>
      <w:r w:rsidR="009E5F85">
        <w:t>ją samorządową.</w:t>
      </w:r>
      <w:r>
        <w:t xml:space="preserve"> Wszystkie urzędy gmin wykorzystują ogólnopolską platformę ePUAP do obsługi spraw, jednak nie świadczą jeszcze wszystkich dostępnych tą drogą usług.</w:t>
      </w:r>
    </w:p>
    <w:p w14:paraId="18F5F9F2" w14:textId="38719E1F" w:rsidR="00E15341" w:rsidRDefault="00E15341" w:rsidP="00E15341">
      <w:pPr>
        <w:autoSpaceDE w:val="0"/>
        <w:autoSpaceDN w:val="0"/>
        <w:adjustRightInd w:val="0"/>
        <w:spacing w:after="120" w:line="240" w:lineRule="auto"/>
        <w:jc w:val="both"/>
      </w:pPr>
      <w:r>
        <w:t>Przykładowe usługi świadczone na platformie ePUAP</w:t>
      </w:r>
      <w:r w:rsidR="00693873">
        <w:t xml:space="preserve"> przez gminy MOF Olsztyna</w:t>
      </w:r>
      <w:r>
        <w:t>:</w:t>
      </w:r>
    </w:p>
    <w:tbl>
      <w:tblPr>
        <w:tblStyle w:val="Tabela-Siatka"/>
        <w:tblW w:w="9776" w:type="dxa"/>
        <w:tblLayout w:type="fixed"/>
        <w:tblLook w:val="04A0" w:firstRow="1" w:lastRow="0" w:firstColumn="1" w:lastColumn="0" w:noHBand="0" w:noVBand="1"/>
      </w:tblPr>
      <w:tblGrid>
        <w:gridCol w:w="1273"/>
        <w:gridCol w:w="772"/>
        <w:gridCol w:w="1286"/>
        <w:gridCol w:w="1059"/>
        <w:gridCol w:w="1417"/>
        <w:gridCol w:w="1843"/>
        <w:gridCol w:w="992"/>
        <w:gridCol w:w="1134"/>
      </w:tblGrid>
      <w:tr w:rsidR="00E15341" w:rsidRPr="00301360" w14:paraId="5684401B" w14:textId="77777777" w:rsidTr="00A86552">
        <w:trPr>
          <w:trHeight w:val="900"/>
        </w:trPr>
        <w:tc>
          <w:tcPr>
            <w:tcW w:w="1273" w:type="dxa"/>
            <w:noWrap/>
            <w:hideMark/>
          </w:tcPr>
          <w:p w14:paraId="2F8283C5" w14:textId="77777777" w:rsidR="00E15341" w:rsidRPr="00301360" w:rsidRDefault="00E15341" w:rsidP="00A86552">
            <w:pPr>
              <w:rPr>
                <w:rFonts w:ascii="Calibri" w:eastAsia="Times New Roman" w:hAnsi="Calibri" w:cs="Calibri"/>
                <w:color w:val="000000"/>
                <w:sz w:val="20"/>
                <w:szCs w:val="20"/>
                <w:lang w:eastAsia="pl-PL"/>
              </w:rPr>
            </w:pPr>
            <w:r w:rsidRPr="00301360">
              <w:rPr>
                <w:rFonts w:ascii="Calibri" w:eastAsia="Times New Roman" w:hAnsi="Calibri" w:cs="Calibri"/>
                <w:color w:val="000000"/>
                <w:sz w:val="20"/>
                <w:szCs w:val="20"/>
                <w:lang w:eastAsia="pl-PL"/>
              </w:rPr>
              <w:t xml:space="preserve">E-usługi </w:t>
            </w:r>
            <w:r>
              <w:rPr>
                <w:rFonts w:ascii="Calibri" w:eastAsia="Times New Roman" w:hAnsi="Calibri" w:cs="Calibri"/>
                <w:color w:val="000000"/>
                <w:sz w:val="20"/>
                <w:szCs w:val="20"/>
                <w:lang w:eastAsia="pl-PL"/>
              </w:rPr>
              <w:t xml:space="preserve">świadczone </w:t>
            </w:r>
            <w:r w:rsidRPr="00301360">
              <w:rPr>
                <w:rFonts w:ascii="Calibri" w:eastAsia="Times New Roman" w:hAnsi="Calibri" w:cs="Calibri"/>
                <w:color w:val="000000"/>
                <w:sz w:val="20"/>
                <w:szCs w:val="20"/>
                <w:lang w:eastAsia="pl-PL"/>
              </w:rPr>
              <w:t>przez ePUAP</w:t>
            </w:r>
          </w:p>
        </w:tc>
        <w:tc>
          <w:tcPr>
            <w:tcW w:w="772" w:type="dxa"/>
            <w:hideMark/>
          </w:tcPr>
          <w:p w14:paraId="3D05E1A7" w14:textId="77777777" w:rsidR="00E15341" w:rsidRPr="00301360" w:rsidRDefault="00E15341" w:rsidP="00A86552">
            <w:pPr>
              <w:rPr>
                <w:rFonts w:ascii="Calibri" w:eastAsia="Times New Roman" w:hAnsi="Calibri" w:cs="Calibri"/>
                <w:color w:val="000000"/>
                <w:sz w:val="20"/>
                <w:szCs w:val="20"/>
                <w:lang w:eastAsia="pl-PL"/>
              </w:rPr>
            </w:pPr>
            <w:r w:rsidRPr="00301360">
              <w:rPr>
                <w:rFonts w:ascii="Calibri" w:eastAsia="Times New Roman" w:hAnsi="Calibri" w:cs="Calibri"/>
                <w:color w:val="000000"/>
                <w:sz w:val="20"/>
                <w:szCs w:val="20"/>
                <w:lang w:eastAsia="pl-PL"/>
              </w:rPr>
              <w:t>Pismo ogólne</w:t>
            </w:r>
          </w:p>
        </w:tc>
        <w:tc>
          <w:tcPr>
            <w:tcW w:w="1286" w:type="dxa"/>
            <w:hideMark/>
          </w:tcPr>
          <w:p w14:paraId="25AE8947" w14:textId="77777777" w:rsidR="00E15341" w:rsidRPr="00301360" w:rsidRDefault="00E15341" w:rsidP="00A86552">
            <w:pPr>
              <w:rPr>
                <w:rFonts w:ascii="Calibri" w:eastAsia="Times New Roman" w:hAnsi="Calibri" w:cs="Calibri"/>
                <w:color w:val="000000"/>
                <w:sz w:val="20"/>
                <w:szCs w:val="20"/>
                <w:lang w:eastAsia="pl-PL"/>
              </w:rPr>
            </w:pPr>
            <w:r w:rsidRPr="00301360">
              <w:rPr>
                <w:rFonts w:ascii="Calibri" w:eastAsia="Times New Roman" w:hAnsi="Calibri" w:cs="Calibri"/>
                <w:color w:val="000000"/>
                <w:sz w:val="20"/>
                <w:szCs w:val="20"/>
                <w:lang w:eastAsia="pl-PL"/>
              </w:rPr>
              <w:t>Rejestracja działalności gospodarczej</w:t>
            </w:r>
          </w:p>
        </w:tc>
        <w:tc>
          <w:tcPr>
            <w:tcW w:w="1059" w:type="dxa"/>
            <w:hideMark/>
          </w:tcPr>
          <w:p w14:paraId="33D538D1" w14:textId="77777777" w:rsidR="00E15341" w:rsidRPr="00301360" w:rsidRDefault="00E15341" w:rsidP="00A86552">
            <w:pPr>
              <w:rPr>
                <w:rFonts w:ascii="Calibri" w:eastAsia="Times New Roman" w:hAnsi="Calibri" w:cs="Calibri"/>
                <w:color w:val="000000"/>
                <w:sz w:val="20"/>
                <w:szCs w:val="20"/>
                <w:lang w:eastAsia="pl-PL"/>
              </w:rPr>
            </w:pPr>
            <w:r>
              <w:rPr>
                <w:rFonts w:ascii="Calibri" w:eastAsia="Times New Roman" w:hAnsi="Calibri" w:cs="Calibri"/>
                <w:color w:val="000000"/>
                <w:sz w:val="20"/>
                <w:szCs w:val="20"/>
                <w:lang w:eastAsia="pl-PL"/>
              </w:rPr>
              <w:t>Meldunek</w:t>
            </w:r>
            <w:r w:rsidRPr="00301360">
              <w:rPr>
                <w:rFonts w:ascii="Calibri" w:eastAsia="Times New Roman" w:hAnsi="Calibri" w:cs="Calibri"/>
                <w:color w:val="000000"/>
                <w:sz w:val="20"/>
                <w:szCs w:val="20"/>
                <w:lang w:eastAsia="pl-PL"/>
              </w:rPr>
              <w:t xml:space="preserve"> na pobyt stały</w:t>
            </w:r>
          </w:p>
        </w:tc>
        <w:tc>
          <w:tcPr>
            <w:tcW w:w="1417" w:type="dxa"/>
            <w:hideMark/>
          </w:tcPr>
          <w:p w14:paraId="15F18378" w14:textId="77777777" w:rsidR="00E15341" w:rsidRPr="00301360" w:rsidRDefault="00E15341" w:rsidP="00A86552">
            <w:pPr>
              <w:rPr>
                <w:rFonts w:ascii="Calibri" w:eastAsia="Times New Roman" w:hAnsi="Calibri" w:cs="Calibri"/>
                <w:color w:val="000000"/>
                <w:sz w:val="20"/>
                <w:szCs w:val="20"/>
                <w:lang w:eastAsia="pl-PL"/>
              </w:rPr>
            </w:pPr>
            <w:r>
              <w:rPr>
                <w:rFonts w:ascii="Calibri" w:eastAsia="Times New Roman" w:hAnsi="Calibri" w:cs="Calibri"/>
                <w:color w:val="000000"/>
                <w:sz w:val="20"/>
                <w:szCs w:val="20"/>
                <w:lang w:eastAsia="pl-PL"/>
              </w:rPr>
              <w:t>P</w:t>
            </w:r>
            <w:r w:rsidRPr="00301360">
              <w:rPr>
                <w:rFonts w:ascii="Calibri" w:eastAsia="Times New Roman" w:hAnsi="Calibri" w:cs="Calibri"/>
                <w:color w:val="000000"/>
                <w:sz w:val="20"/>
                <w:szCs w:val="20"/>
                <w:lang w:eastAsia="pl-PL"/>
              </w:rPr>
              <w:t>odatek od nieruchomości</w:t>
            </w:r>
            <w:r>
              <w:rPr>
                <w:rFonts w:ascii="Calibri" w:eastAsia="Times New Roman" w:hAnsi="Calibri" w:cs="Calibri"/>
                <w:color w:val="000000"/>
                <w:sz w:val="20"/>
                <w:szCs w:val="20"/>
                <w:lang w:eastAsia="pl-PL"/>
              </w:rPr>
              <w:t xml:space="preserve"> - deklaracja</w:t>
            </w:r>
          </w:p>
        </w:tc>
        <w:tc>
          <w:tcPr>
            <w:tcW w:w="1843" w:type="dxa"/>
            <w:hideMark/>
          </w:tcPr>
          <w:p w14:paraId="6D4D4864" w14:textId="77777777" w:rsidR="00E15341" w:rsidRPr="00301360" w:rsidRDefault="00E15341" w:rsidP="00A86552">
            <w:pPr>
              <w:rPr>
                <w:rFonts w:ascii="Calibri" w:eastAsia="Times New Roman" w:hAnsi="Calibri" w:cs="Calibri"/>
                <w:color w:val="000000"/>
                <w:sz w:val="20"/>
                <w:szCs w:val="20"/>
                <w:lang w:eastAsia="pl-PL"/>
              </w:rPr>
            </w:pPr>
            <w:r w:rsidRPr="00301360">
              <w:rPr>
                <w:rFonts w:ascii="Calibri" w:eastAsia="Times New Roman" w:hAnsi="Calibri" w:cs="Calibri"/>
                <w:color w:val="000000"/>
                <w:sz w:val="20"/>
                <w:szCs w:val="20"/>
                <w:lang w:eastAsia="pl-PL"/>
              </w:rPr>
              <w:t>Wypis z m</w:t>
            </w:r>
            <w:r>
              <w:rPr>
                <w:rFonts w:ascii="Calibri" w:eastAsia="Times New Roman" w:hAnsi="Calibri" w:cs="Calibri"/>
                <w:color w:val="000000"/>
                <w:sz w:val="20"/>
                <w:szCs w:val="20"/>
                <w:lang w:eastAsia="pl-PL"/>
              </w:rPr>
              <w:t xml:space="preserve">iejscowego </w:t>
            </w:r>
            <w:r w:rsidRPr="00301360">
              <w:rPr>
                <w:rFonts w:ascii="Calibri" w:eastAsia="Times New Roman" w:hAnsi="Calibri" w:cs="Calibri"/>
                <w:color w:val="000000"/>
                <w:sz w:val="20"/>
                <w:szCs w:val="20"/>
                <w:lang w:eastAsia="pl-PL"/>
              </w:rPr>
              <w:t>p</w:t>
            </w:r>
            <w:r>
              <w:rPr>
                <w:rFonts w:ascii="Calibri" w:eastAsia="Times New Roman" w:hAnsi="Calibri" w:cs="Calibri"/>
                <w:color w:val="000000"/>
                <w:sz w:val="20"/>
                <w:szCs w:val="20"/>
                <w:lang w:eastAsia="pl-PL"/>
              </w:rPr>
              <w:t xml:space="preserve">lanu </w:t>
            </w:r>
            <w:r w:rsidRPr="00301360">
              <w:rPr>
                <w:rFonts w:ascii="Calibri" w:eastAsia="Times New Roman" w:hAnsi="Calibri" w:cs="Calibri"/>
                <w:color w:val="000000"/>
                <w:sz w:val="20"/>
                <w:szCs w:val="20"/>
                <w:lang w:eastAsia="pl-PL"/>
              </w:rPr>
              <w:t>z</w:t>
            </w:r>
            <w:r>
              <w:rPr>
                <w:rFonts w:ascii="Calibri" w:eastAsia="Times New Roman" w:hAnsi="Calibri" w:cs="Calibri"/>
                <w:color w:val="000000"/>
                <w:sz w:val="20"/>
                <w:szCs w:val="20"/>
                <w:lang w:eastAsia="pl-PL"/>
              </w:rPr>
              <w:t xml:space="preserve">agospodarowania </w:t>
            </w:r>
            <w:r w:rsidRPr="00301360">
              <w:rPr>
                <w:rFonts w:ascii="Calibri" w:eastAsia="Times New Roman" w:hAnsi="Calibri" w:cs="Calibri"/>
                <w:color w:val="000000"/>
                <w:sz w:val="20"/>
                <w:szCs w:val="20"/>
                <w:lang w:eastAsia="pl-PL"/>
              </w:rPr>
              <w:t>p</w:t>
            </w:r>
            <w:r>
              <w:rPr>
                <w:rFonts w:ascii="Calibri" w:eastAsia="Times New Roman" w:hAnsi="Calibri" w:cs="Calibri"/>
                <w:color w:val="000000"/>
                <w:sz w:val="20"/>
                <w:szCs w:val="20"/>
                <w:lang w:eastAsia="pl-PL"/>
              </w:rPr>
              <w:t>rzestrzennego</w:t>
            </w:r>
          </w:p>
        </w:tc>
        <w:tc>
          <w:tcPr>
            <w:tcW w:w="992" w:type="dxa"/>
            <w:hideMark/>
          </w:tcPr>
          <w:p w14:paraId="48DF0E34" w14:textId="77777777" w:rsidR="00E15341" w:rsidRPr="00301360" w:rsidRDefault="00E15341" w:rsidP="00A86552">
            <w:pPr>
              <w:rPr>
                <w:rFonts w:ascii="Calibri" w:eastAsia="Times New Roman" w:hAnsi="Calibri" w:cs="Calibri"/>
                <w:color w:val="000000"/>
                <w:sz w:val="20"/>
                <w:szCs w:val="20"/>
                <w:lang w:eastAsia="pl-PL"/>
              </w:rPr>
            </w:pPr>
            <w:r w:rsidRPr="00301360">
              <w:rPr>
                <w:rFonts w:ascii="Calibri" w:eastAsia="Times New Roman" w:hAnsi="Calibri" w:cs="Calibri"/>
                <w:color w:val="000000"/>
                <w:sz w:val="20"/>
                <w:szCs w:val="20"/>
                <w:lang w:eastAsia="pl-PL"/>
              </w:rPr>
              <w:t>Dowód osobisty</w:t>
            </w:r>
          </w:p>
        </w:tc>
        <w:tc>
          <w:tcPr>
            <w:tcW w:w="1134" w:type="dxa"/>
            <w:hideMark/>
          </w:tcPr>
          <w:p w14:paraId="3030ADB2" w14:textId="77777777" w:rsidR="00E15341" w:rsidRPr="00301360" w:rsidRDefault="00E15341" w:rsidP="00A86552">
            <w:pPr>
              <w:rPr>
                <w:rFonts w:ascii="Calibri" w:eastAsia="Times New Roman" w:hAnsi="Calibri" w:cs="Calibri"/>
                <w:color w:val="000000"/>
                <w:sz w:val="20"/>
                <w:szCs w:val="20"/>
                <w:lang w:eastAsia="pl-PL"/>
              </w:rPr>
            </w:pPr>
            <w:r w:rsidRPr="00301360">
              <w:rPr>
                <w:rFonts w:ascii="Calibri" w:eastAsia="Times New Roman" w:hAnsi="Calibri" w:cs="Calibri"/>
                <w:color w:val="000000"/>
                <w:sz w:val="20"/>
                <w:szCs w:val="20"/>
                <w:lang w:eastAsia="pl-PL"/>
              </w:rPr>
              <w:t>Ustalenie warunków zabudowy</w:t>
            </w:r>
          </w:p>
        </w:tc>
      </w:tr>
      <w:tr w:rsidR="00E15341" w:rsidRPr="00301360" w14:paraId="4C4D33AB" w14:textId="77777777" w:rsidTr="00A86552">
        <w:trPr>
          <w:trHeight w:val="300"/>
        </w:trPr>
        <w:tc>
          <w:tcPr>
            <w:tcW w:w="1273" w:type="dxa"/>
            <w:noWrap/>
            <w:hideMark/>
          </w:tcPr>
          <w:p w14:paraId="2A9C3FB9" w14:textId="77777777" w:rsidR="00E15341" w:rsidRPr="00301360" w:rsidRDefault="00E15341" w:rsidP="00A86552">
            <w:pPr>
              <w:rPr>
                <w:rFonts w:ascii="Calibri" w:eastAsia="Times New Roman" w:hAnsi="Calibri" w:cs="Calibri"/>
                <w:color w:val="000000"/>
                <w:sz w:val="20"/>
                <w:szCs w:val="20"/>
                <w:lang w:eastAsia="pl-PL"/>
              </w:rPr>
            </w:pPr>
            <w:r w:rsidRPr="00301360">
              <w:rPr>
                <w:rFonts w:ascii="Calibri" w:eastAsia="Times New Roman" w:hAnsi="Calibri" w:cs="Calibri"/>
                <w:color w:val="000000"/>
                <w:sz w:val="20"/>
                <w:szCs w:val="20"/>
                <w:lang w:eastAsia="pl-PL"/>
              </w:rPr>
              <w:t>Barczewo</w:t>
            </w:r>
          </w:p>
        </w:tc>
        <w:tc>
          <w:tcPr>
            <w:tcW w:w="772" w:type="dxa"/>
            <w:noWrap/>
            <w:hideMark/>
          </w:tcPr>
          <w:p w14:paraId="474575F9" w14:textId="77777777" w:rsidR="00E15341" w:rsidRPr="00301360" w:rsidRDefault="00E15341" w:rsidP="00A86552">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286" w:type="dxa"/>
            <w:noWrap/>
            <w:hideMark/>
          </w:tcPr>
          <w:p w14:paraId="4ECB9C29" w14:textId="77777777" w:rsidR="00E15341" w:rsidRPr="00301360" w:rsidRDefault="00E15341" w:rsidP="00A86552">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c>
          <w:tcPr>
            <w:tcW w:w="1059" w:type="dxa"/>
            <w:noWrap/>
            <w:hideMark/>
          </w:tcPr>
          <w:p w14:paraId="7432AE67" w14:textId="77777777" w:rsidR="00E15341" w:rsidRPr="00301360" w:rsidRDefault="00E15341" w:rsidP="00A86552">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417" w:type="dxa"/>
            <w:noWrap/>
            <w:hideMark/>
          </w:tcPr>
          <w:p w14:paraId="575999A1" w14:textId="77777777" w:rsidR="00E15341" w:rsidRPr="00301360" w:rsidRDefault="00E15341" w:rsidP="00A86552">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c>
          <w:tcPr>
            <w:tcW w:w="1843" w:type="dxa"/>
            <w:noWrap/>
            <w:hideMark/>
          </w:tcPr>
          <w:p w14:paraId="2367AB34" w14:textId="77777777" w:rsidR="00E15341" w:rsidRPr="00301360" w:rsidRDefault="00E15341" w:rsidP="00A86552">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c>
          <w:tcPr>
            <w:tcW w:w="992" w:type="dxa"/>
            <w:noWrap/>
            <w:hideMark/>
          </w:tcPr>
          <w:p w14:paraId="5B1FAB14" w14:textId="77777777" w:rsidR="00E15341" w:rsidRPr="00301360" w:rsidRDefault="00E15341" w:rsidP="00A86552">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134" w:type="dxa"/>
            <w:noWrap/>
            <w:hideMark/>
          </w:tcPr>
          <w:p w14:paraId="68F2F927" w14:textId="77777777" w:rsidR="00E15341" w:rsidRPr="00301360" w:rsidRDefault="00E15341" w:rsidP="00A86552">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r>
      <w:tr w:rsidR="00E15341" w:rsidRPr="00301360" w14:paraId="283340A7" w14:textId="77777777" w:rsidTr="00A86552">
        <w:trPr>
          <w:trHeight w:val="300"/>
        </w:trPr>
        <w:tc>
          <w:tcPr>
            <w:tcW w:w="1273" w:type="dxa"/>
            <w:noWrap/>
            <w:hideMark/>
          </w:tcPr>
          <w:p w14:paraId="48C4138B" w14:textId="77777777" w:rsidR="00E15341" w:rsidRPr="00301360" w:rsidRDefault="00E15341" w:rsidP="00A86552">
            <w:pPr>
              <w:rPr>
                <w:rFonts w:ascii="Calibri" w:eastAsia="Times New Roman" w:hAnsi="Calibri" w:cs="Calibri"/>
                <w:color w:val="000000"/>
                <w:sz w:val="20"/>
                <w:szCs w:val="20"/>
                <w:lang w:eastAsia="pl-PL"/>
              </w:rPr>
            </w:pPr>
            <w:r w:rsidRPr="00301360">
              <w:rPr>
                <w:rFonts w:ascii="Calibri" w:eastAsia="Times New Roman" w:hAnsi="Calibri" w:cs="Calibri"/>
                <w:color w:val="000000"/>
                <w:sz w:val="20"/>
                <w:szCs w:val="20"/>
                <w:lang w:eastAsia="pl-PL"/>
              </w:rPr>
              <w:t>Dywity</w:t>
            </w:r>
          </w:p>
        </w:tc>
        <w:tc>
          <w:tcPr>
            <w:tcW w:w="772" w:type="dxa"/>
            <w:noWrap/>
            <w:hideMark/>
          </w:tcPr>
          <w:p w14:paraId="252E8EF8" w14:textId="77777777" w:rsidR="00E15341" w:rsidRPr="00301360" w:rsidRDefault="00E15341" w:rsidP="00A86552">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286" w:type="dxa"/>
            <w:noWrap/>
            <w:hideMark/>
          </w:tcPr>
          <w:p w14:paraId="062F80E9" w14:textId="77777777" w:rsidR="00E15341" w:rsidRPr="00301360" w:rsidRDefault="00E15341" w:rsidP="00A86552">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c>
          <w:tcPr>
            <w:tcW w:w="1059" w:type="dxa"/>
            <w:noWrap/>
            <w:hideMark/>
          </w:tcPr>
          <w:p w14:paraId="677122B0" w14:textId="77777777" w:rsidR="00E15341" w:rsidRPr="00301360" w:rsidRDefault="00E15341" w:rsidP="00A86552">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417" w:type="dxa"/>
            <w:noWrap/>
            <w:hideMark/>
          </w:tcPr>
          <w:p w14:paraId="7A4CB50B" w14:textId="77777777" w:rsidR="00E15341" w:rsidRPr="00301360" w:rsidRDefault="00E15341" w:rsidP="00A86552">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c>
          <w:tcPr>
            <w:tcW w:w="1843" w:type="dxa"/>
            <w:noWrap/>
            <w:hideMark/>
          </w:tcPr>
          <w:p w14:paraId="6BCA518B" w14:textId="77777777" w:rsidR="00E15341" w:rsidRPr="00301360" w:rsidRDefault="00E15341" w:rsidP="00A86552">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c>
          <w:tcPr>
            <w:tcW w:w="992" w:type="dxa"/>
            <w:noWrap/>
            <w:hideMark/>
          </w:tcPr>
          <w:p w14:paraId="4BA726B9" w14:textId="77777777" w:rsidR="00E15341" w:rsidRPr="00301360" w:rsidRDefault="00E15341" w:rsidP="00A86552">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134" w:type="dxa"/>
            <w:noWrap/>
            <w:hideMark/>
          </w:tcPr>
          <w:p w14:paraId="66857054" w14:textId="77777777" w:rsidR="00E15341" w:rsidRPr="00301360" w:rsidRDefault="00E15341" w:rsidP="00A86552">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r>
      <w:tr w:rsidR="00CF12DA" w:rsidRPr="00301360" w14:paraId="77CDBA36" w14:textId="77777777" w:rsidTr="00A86552">
        <w:trPr>
          <w:trHeight w:val="300"/>
        </w:trPr>
        <w:tc>
          <w:tcPr>
            <w:tcW w:w="1273" w:type="dxa"/>
            <w:noWrap/>
            <w:hideMark/>
          </w:tcPr>
          <w:p w14:paraId="5143FCFE" w14:textId="77777777" w:rsidR="00CF12DA" w:rsidRPr="00301360" w:rsidRDefault="00CF12DA" w:rsidP="00CF12DA">
            <w:pPr>
              <w:rPr>
                <w:rFonts w:ascii="Calibri" w:eastAsia="Times New Roman" w:hAnsi="Calibri" w:cs="Calibri"/>
                <w:color w:val="000000"/>
                <w:sz w:val="20"/>
                <w:szCs w:val="20"/>
                <w:lang w:eastAsia="pl-PL"/>
              </w:rPr>
            </w:pPr>
            <w:r w:rsidRPr="00301360">
              <w:rPr>
                <w:rFonts w:ascii="Calibri" w:eastAsia="Times New Roman" w:hAnsi="Calibri" w:cs="Calibri"/>
                <w:color w:val="000000"/>
                <w:sz w:val="20"/>
                <w:szCs w:val="20"/>
                <w:lang w:eastAsia="pl-PL"/>
              </w:rPr>
              <w:t>Gietrzwałd</w:t>
            </w:r>
          </w:p>
        </w:tc>
        <w:tc>
          <w:tcPr>
            <w:tcW w:w="772" w:type="dxa"/>
            <w:noWrap/>
            <w:hideMark/>
          </w:tcPr>
          <w:p w14:paraId="384D6A33" w14:textId="77777777" w:rsidR="00CF12DA" w:rsidRPr="00301360" w:rsidRDefault="00CF12DA" w:rsidP="00CF12DA">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286" w:type="dxa"/>
            <w:noWrap/>
            <w:hideMark/>
          </w:tcPr>
          <w:p w14:paraId="0CEFFCC6" w14:textId="77777777" w:rsidR="00CF12DA" w:rsidRPr="00301360" w:rsidRDefault="00CF12DA" w:rsidP="00CF12DA">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c>
          <w:tcPr>
            <w:tcW w:w="1059" w:type="dxa"/>
            <w:noWrap/>
            <w:hideMark/>
          </w:tcPr>
          <w:p w14:paraId="6DC0EE07" w14:textId="77777777" w:rsidR="00CF12DA" w:rsidRPr="00301360" w:rsidRDefault="00CF12DA" w:rsidP="00CF12DA">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417" w:type="dxa"/>
            <w:noWrap/>
            <w:hideMark/>
          </w:tcPr>
          <w:p w14:paraId="1D7861EE" w14:textId="6BFA375E" w:rsidR="00CF12DA" w:rsidRPr="00301360" w:rsidRDefault="00CF12DA" w:rsidP="00CF12DA">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843" w:type="dxa"/>
            <w:noWrap/>
            <w:hideMark/>
          </w:tcPr>
          <w:p w14:paraId="2E51A3C8" w14:textId="77777777" w:rsidR="00CF12DA" w:rsidRPr="00301360" w:rsidRDefault="00CF12DA" w:rsidP="00CF12DA">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c>
          <w:tcPr>
            <w:tcW w:w="992" w:type="dxa"/>
            <w:noWrap/>
            <w:hideMark/>
          </w:tcPr>
          <w:p w14:paraId="0D04EB9A" w14:textId="77777777" w:rsidR="00CF12DA" w:rsidRPr="00301360" w:rsidRDefault="00CF12DA" w:rsidP="00CF12DA">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134" w:type="dxa"/>
            <w:noWrap/>
            <w:hideMark/>
          </w:tcPr>
          <w:p w14:paraId="10CF326A" w14:textId="77777777" w:rsidR="00CF12DA" w:rsidRPr="00301360" w:rsidRDefault="00CF12DA" w:rsidP="00CF12DA">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r>
      <w:tr w:rsidR="00CF12DA" w:rsidRPr="00301360" w14:paraId="38FAB669" w14:textId="77777777" w:rsidTr="00A86552">
        <w:trPr>
          <w:trHeight w:val="300"/>
        </w:trPr>
        <w:tc>
          <w:tcPr>
            <w:tcW w:w="1273" w:type="dxa"/>
            <w:noWrap/>
            <w:hideMark/>
          </w:tcPr>
          <w:p w14:paraId="2A6DA22E" w14:textId="77777777" w:rsidR="00CF12DA" w:rsidRPr="00301360" w:rsidRDefault="00CF12DA" w:rsidP="00CF12DA">
            <w:pPr>
              <w:rPr>
                <w:rFonts w:ascii="Calibri" w:eastAsia="Times New Roman" w:hAnsi="Calibri" w:cs="Calibri"/>
                <w:color w:val="000000"/>
                <w:sz w:val="20"/>
                <w:szCs w:val="20"/>
                <w:lang w:eastAsia="pl-PL"/>
              </w:rPr>
            </w:pPr>
            <w:r w:rsidRPr="00301360">
              <w:rPr>
                <w:rFonts w:ascii="Calibri" w:eastAsia="Times New Roman" w:hAnsi="Calibri" w:cs="Calibri"/>
                <w:color w:val="000000"/>
                <w:sz w:val="20"/>
                <w:szCs w:val="20"/>
                <w:lang w:eastAsia="pl-PL"/>
              </w:rPr>
              <w:t>Jonkowo</w:t>
            </w:r>
          </w:p>
        </w:tc>
        <w:tc>
          <w:tcPr>
            <w:tcW w:w="772" w:type="dxa"/>
            <w:noWrap/>
            <w:hideMark/>
          </w:tcPr>
          <w:p w14:paraId="4AF37C3A" w14:textId="77777777" w:rsidR="00CF12DA" w:rsidRPr="00301360" w:rsidRDefault="00CF12DA" w:rsidP="00CF12DA">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286" w:type="dxa"/>
            <w:noWrap/>
            <w:hideMark/>
          </w:tcPr>
          <w:p w14:paraId="79F19BC7" w14:textId="77777777" w:rsidR="00CF12DA" w:rsidRPr="00301360" w:rsidRDefault="00CF12DA" w:rsidP="00CF12DA">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 xml:space="preserve">nie </w:t>
            </w:r>
          </w:p>
        </w:tc>
        <w:tc>
          <w:tcPr>
            <w:tcW w:w="1059" w:type="dxa"/>
            <w:noWrap/>
            <w:hideMark/>
          </w:tcPr>
          <w:p w14:paraId="44F211E9" w14:textId="77777777" w:rsidR="00CF12DA" w:rsidRPr="00301360" w:rsidRDefault="00CF12DA" w:rsidP="00CF12DA">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417" w:type="dxa"/>
            <w:noWrap/>
            <w:hideMark/>
          </w:tcPr>
          <w:p w14:paraId="15A5F1C9" w14:textId="77777777" w:rsidR="00CF12DA" w:rsidRPr="00301360" w:rsidRDefault="00CF12DA" w:rsidP="00CF12DA">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c>
          <w:tcPr>
            <w:tcW w:w="1843" w:type="dxa"/>
            <w:noWrap/>
            <w:hideMark/>
          </w:tcPr>
          <w:p w14:paraId="1A397334" w14:textId="77777777" w:rsidR="00CF12DA" w:rsidRPr="00301360" w:rsidRDefault="00CF12DA" w:rsidP="00CF12DA">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c>
          <w:tcPr>
            <w:tcW w:w="992" w:type="dxa"/>
            <w:noWrap/>
            <w:hideMark/>
          </w:tcPr>
          <w:p w14:paraId="29055ACC" w14:textId="77777777" w:rsidR="00CF12DA" w:rsidRPr="00301360" w:rsidRDefault="00CF12DA" w:rsidP="00CF12DA">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134" w:type="dxa"/>
            <w:noWrap/>
            <w:hideMark/>
          </w:tcPr>
          <w:p w14:paraId="4D7913D5" w14:textId="77777777" w:rsidR="00CF12DA" w:rsidRPr="00301360" w:rsidRDefault="00CF12DA" w:rsidP="00CF12DA">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r>
      <w:tr w:rsidR="00CF12DA" w:rsidRPr="00301360" w14:paraId="5A38B691" w14:textId="77777777" w:rsidTr="00A86552">
        <w:trPr>
          <w:trHeight w:val="300"/>
        </w:trPr>
        <w:tc>
          <w:tcPr>
            <w:tcW w:w="1273" w:type="dxa"/>
            <w:noWrap/>
            <w:hideMark/>
          </w:tcPr>
          <w:p w14:paraId="0534A06E" w14:textId="77777777" w:rsidR="00CF12DA" w:rsidRPr="00301360" w:rsidRDefault="00CF12DA" w:rsidP="00CF12DA">
            <w:pPr>
              <w:rPr>
                <w:rFonts w:ascii="Calibri" w:eastAsia="Times New Roman" w:hAnsi="Calibri" w:cs="Calibri"/>
                <w:color w:val="000000"/>
                <w:sz w:val="20"/>
                <w:szCs w:val="20"/>
                <w:lang w:eastAsia="pl-PL"/>
              </w:rPr>
            </w:pPr>
            <w:r w:rsidRPr="00301360">
              <w:rPr>
                <w:rFonts w:ascii="Calibri" w:eastAsia="Times New Roman" w:hAnsi="Calibri" w:cs="Calibri"/>
                <w:color w:val="000000"/>
                <w:sz w:val="20"/>
                <w:szCs w:val="20"/>
                <w:lang w:eastAsia="pl-PL"/>
              </w:rPr>
              <w:t>Purda</w:t>
            </w:r>
          </w:p>
        </w:tc>
        <w:tc>
          <w:tcPr>
            <w:tcW w:w="772" w:type="dxa"/>
            <w:noWrap/>
            <w:hideMark/>
          </w:tcPr>
          <w:p w14:paraId="4EFB5DF9" w14:textId="77777777" w:rsidR="00CF12DA" w:rsidRPr="00301360" w:rsidRDefault="00CF12DA" w:rsidP="00CF12DA">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286" w:type="dxa"/>
            <w:noWrap/>
            <w:hideMark/>
          </w:tcPr>
          <w:p w14:paraId="1C50F446" w14:textId="77777777" w:rsidR="00CF12DA" w:rsidRPr="00301360" w:rsidRDefault="00CF12DA" w:rsidP="00CF12DA">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c>
          <w:tcPr>
            <w:tcW w:w="1059" w:type="dxa"/>
            <w:noWrap/>
            <w:hideMark/>
          </w:tcPr>
          <w:p w14:paraId="68B7DA99" w14:textId="77777777" w:rsidR="00CF12DA" w:rsidRPr="00301360" w:rsidRDefault="00CF12DA" w:rsidP="00CF12DA">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417" w:type="dxa"/>
            <w:noWrap/>
            <w:hideMark/>
          </w:tcPr>
          <w:p w14:paraId="704A101F" w14:textId="77777777" w:rsidR="00CF12DA" w:rsidRPr="00301360" w:rsidRDefault="00CF12DA" w:rsidP="00CF12DA">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c>
          <w:tcPr>
            <w:tcW w:w="1843" w:type="dxa"/>
            <w:noWrap/>
            <w:hideMark/>
          </w:tcPr>
          <w:p w14:paraId="64596EB8" w14:textId="3C534694" w:rsidR="00CF12DA" w:rsidRPr="00301360" w:rsidRDefault="00CF12DA" w:rsidP="00CF12DA">
            <w:pPr>
              <w:rPr>
                <w:rFonts w:ascii="Calibri" w:eastAsia="Times New Roman" w:hAnsi="Calibri" w:cs="Calibri"/>
                <w:color w:val="006100"/>
                <w:sz w:val="20"/>
                <w:szCs w:val="20"/>
                <w:lang w:eastAsia="pl-PL"/>
              </w:rPr>
            </w:pPr>
            <w:r w:rsidRPr="00301360">
              <w:rPr>
                <w:rFonts w:ascii="Calibri" w:eastAsia="Times New Roman" w:hAnsi="Calibri" w:cs="Calibri"/>
                <w:color w:val="9C0006"/>
                <w:sz w:val="20"/>
                <w:szCs w:val="20"/>
                <w:lang w:eastAsia="pl-PL"/>
              </w:rPr>
              <w:t>nie</w:t>
            </w:r>
          </w:p>
        </w:tc>
        <w:tc>
          <w:tcPr>
            <w:tcW w:w="992" w:type="dxa"/>
            <w:noWrap/>
            <w:hideMark/>
          </w:tcPr>
          <w:p w14:paraId="55F9739E" w14:textId="77777777" w:rsidR="00CF12DA" w:rsidRPr="00301360" w:rsidRDefault="00CF12DA" w:rsidP="00CF12DA">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134" w:type="dxa"/>
            <w:noWrap/>
            <w:hideMark/>
          </w:tcPr>
          <w:p w14:paraId="5DD54804" w14:textId="77777777" w:rsidR="00CF12DA" w:rsidRPr="00301360" w:rsidRDefault="00CF12DA" w:rsidP="00CF12DA">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r>
      <w:tr w:rsidR="00CF12DA" w:rsidRPr="00301360" w14:paraId="1A3FB71C" w14:textId="77777777" w:rsidTr="00A86552">
        <w:trPr>
          <w:trHeight w:val="300"/>
        </w:trPr>
        <w:tc>
          <w:tcPr>
            <w:tcW w:w="1273" w:type="dxa"/>
            <w:noWrap/>
            <w:hideMark/>
          </w:tcPr>
          <w:p w14:paraId="4CC0AED8" w14:textId="77777777" w:rsidR="00CF12DA" w:rsidRPr="00301360" w:rsidRDefault="00CF12DA" w:rsidP="00CF12DA">
            <w:pPr>
              <w:rPr>
                <w:rFonts w:ascii="Calibri" w:eastAsia="Times New Roman" w:hAnsi="Calibri" w:cs="Calibri"/>
                <w:color w:val="000000"/>
                <w:sz w:val="20"/>
                <w:szCs w:val="20"/>
                <w:lang w:eastAsia="pl-PL"/>
              </w:rPr>
            </w:pPr>
            <w:r w:rsidRPr="00301360">
              <w:rPr>
                <w:rFonts w:ascii="Calibri" w:eastAsia="Times New Roman" w:hAnsi="Calibri" w:cs="Calibri"/>
                <w:color w:val="000000"/>
                <w:sz w:val="20"/>
                <w:szCs w:val="20"/>
                <w:lang w:eastAsia="pl-PL"/>
              </w:rPr>
              <w:t>Stawiguda</w:t>
            </w:r>
          </w:p>
        </w:tc>
        <w:tc>
          <w:tcPr>
            <w:tcW w:w="772" w:type="dxa"/>
            <w:noWrap/>
            <w:hideMark/>
          </w:tcPr>
          <w:p w14:paraId="170069F7" w14:textId="77777777" w:rsidR="00CF12DA" w:rsidRPr="00301360" w:rsidRDefault="00CF12DA" w:rsidP="00CF12DA">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286" w:type="dxa"/>
            <w:noWrap/>
            <w:hideMark/>
          </w:tcPr>
          <w:p w14:paraId="05EDE5E0" w14:textId="77777777" w:rsidR="00CF12DA" w:rsidRPr="00301360" w:rsidRDefault="00CF12DA" w:rsidP="00CF12DA">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c>
          <w:tcPr>
            <w:tcW w:w="1059" w:type="dxa"/>
            <w:noWrap/>
            <w:hideMark/>
          </w:tcPr>
          <w:p w14:paraId="12987E3F" w14:textId="77777777" w:rsidR="00CF12DA" w:rsidRPr="00301360" w:rsidRDefault="00CF12DA" w:rsidP="00CF12DA">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417" w:type="dxa"/>
            <w:noWrap/>
            <w:hideMark/>
          </w:tcPr>
          <w:p w14:paraId="7F2FEF61" w14:textId="63FFF92C" w:rsidR="00CF12DA" w:rsidRPr="00301360" w:rsidRDefault="008E0AF2" w:rsidP="00CF12DA">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c>
          <w:tcPr>
            <w:tcW w:w="1843" w:type="dxa"/>
            <w:noWrap/>
            <w:hideMark/>
          </w:tcPr>
          <w:p w14:paraId="6CFF5ACA" w14:textId="77777777" w:rsidR="00CF12DA" w:rsidRPr="00301360" w:rsidRDefault="00CF12DA" w:rsidP="00CF12DA">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c>
          <w:tcPr>
            <w:tcW w:w="992" w:type="dxa"/>
            <w:noWrap/>
            <w:hideMark/>
          </w:tcPr>
          <w:p w14:paraId="1B4AEFA5" w14:textId="77777777" w:rsidR="00CF12DA" w:rsidRPr="00301360" w:rsidRDefault="00CF12DA" w:rsidP="00CF12DA">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134" w:type="dxa"/>
            <w:noWrap/>
            <w:hideMark/>
          </w:tcPr>
          <w:p w14:paraId="24D854F3" w14:textId="77777777" w:rsidR="00CF12DA" w:rsidRPr="00301360" w:rsidRDefault="00CF12DA" w:rsidP="00CF12DA">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r>
      <w:tr w:rsidR="00CF12DA" w:rsidRPr="00301360" w14:paraId="4C855F56" w14:textId="77777777" w:rsidTr="00A86552">
        <w:trPr>
          <w:trHeight w:val="300"/>
        </w:trPr>
        <w:tc>
          <w:tcPr>
            <w:tcW w:w="1273" w:type="dxa"/>
            <w:noWrap/>
            <w:hideMark/>
          </w:tcPr>
          <w:p w14:paraId="196075EE" w14:textId="77777777" w:rsidR="00CF12DA" w:rsidRPr="00301360" w:rsidRDefault="00CF12DA" w:rsidP="00CF12DA">
            <w:pPr>
              <w:rPr>
                <w:rFonts w:ascii="Calibri" w:eastAsia="Times New Roman" w:hAnsi="Calibri" w:cs="Calibri"/>
                <w:color w:val="000000"/>
                <w:sz w:val="20"/>
                <w:szCs w:val="20"/>
                <w:lang w:eastAsia="pl-PL"/>
              </w:rPr>
            </w:pPr>
            <w:r w:rsidRPr="00301360">
              <w:rPr>
                <w:rFonts w:ascii="Calibri" w:eastAsia="Times New Roman" w:hAnsi="Calibri" w:cs="Calibri"/>
                <w:color w:val="000000"/>
                <w:sz w:val="20"/>
                <w:szCs w:val="20"/>
                <w:lang w:eastAsia="pl-PL"/>
              </w:rPr>
              <w:t>Olsztyn</w:t>
            </w:r>
          </w:p>
        </w:tc>
        <w:tc>
          <w:tcPr>
            <w:tcW w:w="772" w:type="dxa"/>
            <w:noWrap/>
            <w:hideMark/>
          </w:tcPr>
          <w:p w14:paraId="2498ED40" w14:textId="77777777" w:rsidR="00CF12DA" w:rsidRPr="00301360" w:rsidRDefault="00CF12DA" w:rsidP="00CF12DA">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286" w:type="dxa"/>
            <w:noWrap/>
            <w:hideMark/>
          </w:tcPr>
          <w:p w14:paraId="19D27629" w14:textId="77777777" w:rsidR="00CF12DA" w:rsidRPr="00301360" w:rsidRDefault="00CF12DA" w:rsidP="00CF12DA">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c>
          <w:tcPr>
            <w:tcW w:w="1059" w:type="dxa"/>
            <w:noWrap/>
            <w:hideMark/>
          </w:tcPr>
          <w:p w14:paraId="3A0BC86E" w14:textId="77777777" w:rsidR="00CF12DA" w:rsidRPr="00301360" w:rsidRDefault="00CF12DA" w:rsidP="00CF12DA">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417" w:type="dxa"/>
            <w:noWrap/>
            <w:hideMark/>
          </w:tcPr>
          <w:p w14:paraId="7114ED03" w14:textId="77777777" w:rsidR="00CF12DA" w:rsidRPr="00301360" w:rsidRDefault="00CF12DA" w:rsidP="00CF12DA">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c>
          <w:tcPr>
            <w:tcW w:w="1843" w:type="dxa"/>
            <w:noWrap/>
            <w:hideMark/>
          </w:tcPr>
          <w:p w14:paraId="4AD5901D" w14:textId="77777777" w:rsidR="00CF12DA" w:rsidRPr="00301360" w:rsidRDefault="00CF12DA" w:rsidP="00CF12DA">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c>
          <w:tcPr>
            <w:tcW w:w="992" w:type="dxa"/>
            <w:noWrap/>
            <w:hideMark/>
          </w:tcPr>
          <w:p w14:paraId="7E068478" w14:textId="77777777" w:rsidR="00CF12DA" w:rsidRPr="00301360" w:rsidRDefault="00CF12DA" w:rsidP="00CF12DA">
            <w:pPr>
              <w:rPr>
                <w:rFonts w:ascii="Calibri" w:eastAsia="Times New Roman" w:hAnsi="Calibri" w:cs="Calibri"/>
                <w:color w:val="006100"/>
                <w:sz w:val="20"/>
                <w:szCs w:val="20"/>
                <w:lang w:eastAsia="pl-PL"/>
              </w:rPr>
            </w:pPr>
            <w:r w:rsidRPr="00301360">
              <w:rPr>
                <w:rFonts w:ascii="Calibri" w:eastAsia="Times New Roman" w:hAnsi="Calibri" w:cs="Calibri"/>
                <w:color w:val="006100"/>
                <w:sz w:val="20"/>
                <w:szCs w:val="20"/>
                <w:lang w:eastAsia="pl-PL"/>
              </w:rPr>
              <w:t>tak</w:t>
            </w:r>
          </w:p>
        </w:tc>
        <w:tc>
          <w:tcPr>
            <w:tcW w:w="1134" w:type="dxa"/>
            <w:noWrap/>
            <w:hideMark/>
          </w:tcPr>
          <w:p w14:paraId="5B14EAED" w14:textId="77777777" w:rsidR="00CF12DA" w:rsidRPr="00301360" w:rsidRDefault="00CF12DA" w:rsidP="00CF12DA">
            <w:pPr>
              <w:rPr>
                <w:rFonts w:ascii="Calibri" w:eastAsia="Times New Roman" w:hAnsi="Calibri" w:cs="Calibri"/>
                <w:color w:val="9C0006"/>
                <w:sz w:val="20"/>
                <w:szCs w:val="20"/>
                <w:lang w:eastAsia="pl-PL"/>
              </w:rPr>
            </w:pPr>
            <w:r w:rsidRPr="00301360">
              <w:rPr>
                <w:rFonts w:ascii="Calibri" w:eastAsia="Times New Roman" w:hAnsi="Calibri" w:cs="Calibri"/>
                <w:color w:val="9C0006"/>
                <w:sz w:val="20"/>
                <w:szCs w:val="20"/>
                <w:lang w:eastAsia="pl-PL"/>
              </w:rPr>
              <w:t>nie</w:t>
            </w:r>
          </w:p>
        </w:tc>
      </w:tr>
    </w:tbl>
    <w:p w14:paraId="33A74CE5" w14:textId="0B1CB8C8" w:rsidR="00E15341" w:rsidRDefault="00693873" w:rsidP="00693873">
      <w:pPr>
        <w:autoSpaceDE w:val="0"/>
        <w:autoSpaceDN w:val="0"/>
        <w:adjustRightInd w:val="0"/>
        <w:spacing w:after="120" w:line="240" w:lineRule="auto"/>
        <w:jc w:val="center"/>
      </w:pPr>
      <w:r>
        <w:rPr>
          <w:i/>
        </w:rPr>
        <w:t>źródło: o</w:t>
      </w:r>
      <w:r w:rsidR="00E15341" w:rsidRPr="00ED4EDD">
        <w:rPr>
          <w:i/>
        </w:rPr>
        <w:t xml:space="preserve">pracowanie własne na podstawie </w:t>
      </w:r>
      <w:r w:rsidR="00E15341">
        <w:rPr>
          <w:i/>
        </w:rPr>
        <w:t xml:space="preserve">informacji z platformy ePUAP: </w:t>
      </w:r>
      <w:r w:rsidR="00E15341" w:rsidRPr="00301360">
        <w:rPr>
          <w:i/>
        </w:rPr>
        <w:t>https://epuap.gov.pl</w:t>
      </w:r>
      <w:r w:rsidR="00E15341">
        <w:rPr>
          <w:rStyle w:val="Odwoanieprzypisudolnego"/>
          <w:i/>
        </w:rPr>
        <w:footnoteReference w:id="85"/>
      </w:r>
    </w:p>
    <w:p w14:paraId="37E9422D" w14:textId="77777777" w:rsidR="00930DFC" w:rsidRDefault="00930DFC" w:rsidP="00E15341">
      <w:pPr>
        <w:autoSpaceDE w:val="0"/>
        <w:autoSpaceDN w:val="0"/>
        <w:adjustRightInd w:val="0"/>
        <w:spacing w:after="120" w:line="240" w:lineRule="auto"/>
        <w:jc w:val="both"/>
      </w:pPr>
    </w:p>
    <w:p w14:paraId="343DC130" w14:textId="32BA80BB" w:rsidR="00E15341" w:rsidRDefault="00E15341" w:rsidP="00E15341">
      <w:pPr>
        <w:autoSpaceDE w:val="0"/>
        <w:autoSpaceDN w:val="0"/>
        <w:adjustRightInd w:val="0"/>
        <w:spacing w:after="120" w:line="240" w:lineRule="auto"/>
        <w:jc w:val="both"/>
      </w:pPr>
      <w:r>
        <w:t>Usługi świadczone są na różny</w:t>
      </w:r>
      <w:r w:rsidR="00693873">
        <w:t>ch</w:t>
      </w:r>
      <w:r>
        <w:t xml:space="preserve"> poziomach dojrzałości – od udostępniania informacji na portalach internetowych (poziom 1) do personalizacji obsługi,</w:t>
      </w:r>
      <w:r w:rsidRPr="00143AAB">
        <w:t xml:space="preserve"> tzn. automatyczne dostarczenie konkretnych usług, spersonalizowanych dla użytkownika i przez niego nie inicjowanych</w:t>
      </w:r>
      <w:r>
        <w:t xml:space="preserve"> (poziom 5). Ten ostatni </w:t>
      </w:r>
      <w:r>
        <w:lastRenderedPageBreak/>
        <w:t>poziom jest najrzadziej osiągany, jednak usługi na tym poziomie (przynajmniej kilka) świadczy 5 z 7 gmin MOF Olsztyna</w:t>
      </w:r>
      <w:r>
        <w:rPr>
          <w:rStyle w:val="Odwoanieprzypisudolnego"/>
        </w:rPr>
        <w:footnoteReference w:id="86"/>
      </w:r>
      <w:r>
        <w:t>.</w:t>
      </w:r>
    </w:p>
    <w:p w14:paraId="20D9C244" w14:textId="7A05ED30" w:rsidR="002D38C7" w:rsidRDefault="003A1125" w:rsidP="00C52008">
      <w:pPr>
        <w:pStyle w:val="Nagwek1"/>
        <w:numPr>
          <w:ilvl w:val="0"/>
          <w:numId w:val="31"/>
        </w:numPr>
        <w:ind w:left="426" w:hanging="426"/>
      </w:pPr>
      <w:bookmarkStart w:id="242" w:name="_Toc73534936"/>
      <w:r>
        <w:t>Funkcje metropolitalne</w:t>
      </w:r>
      <w:bookmarkEnd w:id="242"/>
    </w:p>
    <w:p w14:paraId="0082823D" w14:textId="77777777" w:rsidR="00836250" w:rsidRDefault="00836250" w:rsidP="00C52008"/>
    <w:p w14:paraId="45A7F333" w14:textId="20C88277" w:rsidR="003A1125" w:rsidRDefault="00836250" w:rsidP="00836250">
      <w:pPr>
        <w:pStyle w:val="Nagwek2"/>
      </w:pPr>
      <w:bookmarkStart w:id="243" w:name="_Toc73534937"/>
      <w:r>
        <w:t xml:space="preserve">4.1 </w:t>
      </w:r>
      <w:r w:rsidR="003A1125" w:rsidRPr="003A1125">
        <w:t>Centrum usług edukacyjnych</w:t>
      </w:r>
      <w:bookmarkEnd w:id="243"/>
    </w:p>
    <w:p w14:paraId="64DE544C" w14:textId="70440D16" w:rsidR="00940D69" w:rsidRDefault="00930DFC" w:rsidP="00930DFC">
      <w:pPr>
        <w:autoSpaceDE w:val="0"/>
        <w:autoSpaceDN w:val="0"/>
        <w:adjustRightInd w:val="0"/>
        <w:spacing w:after="120" w:line="240" w:lineRule="auto"/>
        <w:jc w:val="both"/>
        <w:rPr>
          <w:rFonts w:ascii="Calibri" w:hAnsi="Calibri" w:cs="Calibri"/>
        </w:rPr>
      </w:pPr>
      <w:r w:rsidRPr="00ED4EDD">
        <w:rPr>
          <w:rFonts w:ascii="Calibri" w:hAnsi="Calibri" w:cs="Calibri"/>
        </w:rPr>
        <w:t xml:space="preserve">Działalność edukacyjna </w:t>
      </w:r>
      <w:r w:rsidR="00B15510">
        <w:rPr>
          <w:rFonts w:ascii="Calibri" w:hAnsi="Calibri" w:cs="Calibri"/>
        </w:rPr>
        <w:t xml:space="preserve">w Olsztynie </w:t>
      </w:r>
      <w:r w:rsidRPr="00ED4EDD">
        <w:rPr>
          <w:rFonts w:ascii="Calibri" w:hAnsi="Calibri" w:cs="Calibri"/>
        </w:rPr>
        <w:t xml:space="preserve">prowadzona jest nie tylko przez jednostki samorządowe, ale również m.in. przez stowarzyszenia i osoby fizyczne. </w:t>
      </w:r>
      <w:r w:rsidR="00B15510">
        <w:rPr>
          <w:rFonts w:ascii="Calibri" w:hAnsi="Calibri" w:cs="Calibri"/>
        </w:rPr>
        <w:t>Oferta edukacyjna dostępna jest na wszystkich poziomach: p</w:t>
      </w:r>
      <w:r w:rsidR="00B15510" w:rsidRPr="00ED4EDD">
        <w:rPr>
          <w:rFonts w:ascii="Calibri" w:hAnsi="Calibri" w:cs="Calibri"/>
        </w:rPr>
        <w:t>odstawowym, ponadpodstawowym</w:t>
      </w:r>
      <w:r w:rsidR="00940D69">
        <w:rPr>
          <w:rFonts w:ascii="Calibri" w:hAnsi="Calibri" w:cs="Calibri"/>
        </w:rPr>
        <w:t xml:space="preserve">, a także wyższym. </w:t>
      </w:r>
      <w:r w:rsidR="00940D69" w:rsidRPr="0026784B">
        <w:t>W roku szkolnym 2018/2019 Miasto Olsztyn było organem prowadzącym dla 69 jednostek oświatowych, w tym dla: 25 samodzielnych przedszkoli, 1 zespołu szkolno-przedszkolnego,</w:t>
      </w:r>
      <w:r w:rsidR="00940D69">
        <w:t xml:space="preserve"> </w:t>
      </w:r>
      <w:r w:rsidR="00940D69" w:rsidRPr="0026784B">
        <w:t>17 samodzielnych szkół podstawowych, 2 samodzielnych liceów ogólnokształcących, 8 zespołów szkół ogólnokształcących (w tym Z</w:t>
      </w:r>
      <w:r w:rsidR="00792DC0">
        <w:t>espół Szkół Chemicznych i Ogólnokształcących</w:t>
      </w:r>
      <w:r w:rsidR="00940D69" w:rsidRPr="0026784B">
        <w:t>), 7 zespołów szkół zawodowych, 2 poradni psychologiczno-pedagogicznych, 2 specjalnych ośrodków szkolno-wychowawczych, 2 zespołów szkół/placówek specjalnych funkcjonujących w szpitalach, Pałacu Młodzieży, Szkolnego Schroniska Młodzieżowego, Ośrodka Doskonalenia Nauczycieli.</w:t>
      </w:r>
    </w:p>
    <w:p w14:paraId="4E165334" w14:textId="5C06C5F1" w:rsidR="00930DFC" w:rsidRPr="00ED4EDD" w:rsidRDefault="00930DFC" w:rsidP="00930DFC">
      <w:pPr>
        <w:autoSpaceDE w:val="0"/>
        <w:autoSpaceDN w:val="0"/>
        <w:adjustRightInd w:val="0"/>
        <w:spacing w:after="120" w:line="240" w:lineRule="auto"/>
        <w:jc w:val="both"/>
        <w:rPr>
          <w:rFonts w:ascii="Calibri" w:hAnsi="Calibri" w:cs="Calibri"/>
        </w:rPr>
      </w:pPr>
      <w:r w:rsidRPr="00ED4EDD">
        <w:rPr>
          <w:rFonts w:ascii="Calibri" w:hAnsi="Calibri" w:cs="Calibri"/>
        </w:rPr>
        <w:t xml:space="preserve">Najczęściej oferują kształcenie w kierunkach powiązanych z branżami: elektryczną i elektroniczną, gastronomiczno-spożywczą, medyczną (technik farmaceuta, technik masażysta), usług kosmetycznych, informatyczną, ekonomiczną i handlową, administracyjną, samochodową i budowlaną, ale także pojawiają się zawody charakterystyczne dla kierunku rozwoju regionu m.in. technik turystyki wiejskiej, technologii drewna, technik ochrony środowiska. Pojawiają się nowe specjalności, np. logistyka </w:t>
      </w:r>
      <w:r>
        <w:rPr>
          <w:rFonts w:ascii="Calibri" w:hAnsi="Calibri" w:cs="Calibri"/>
        </w:rPr>
        <w:br/>
      </w:r>
      <w:r w:rsidRPr="00ED4EDD">
        <w:rPr>
          <w:rFonts w:ascii="Calibri" w:hAnsi="Calibri" w:cs="Calibri"/>
        </w:rPr>
        <w:t xml:space="preserve">i spedycja, a także powracają wcześniej zlikwidowane, takie jak kierunki związane z transportem kolejowym. Ofertę kształcenia ponadpodstawowego uzupełniają szkoły prywatne bądź prowadzone przez stowarzyszenia. </w:t>
      </w:r>
    </w:p>
    <w:p w14:paraId="4982CC8E" w14:textId="4B3D571A" w:rsidR="00930DFC" w:rsidRDefault="00B15510" w:rsidP="00930DFC">
      <w:pPr>
        <w:tabs>
          <w:tab w:val="num" w:pos="720"/>
        </w:tabs>
        <w:jc w:val="both"/>
      </w:pPr>
      <w:r>
        <w:t>Wyzwaniem</w:t>
      </w:r>
      <w:r w:rsidR="00930DFC" w:rsidRPr="00ED4EDD">
        <w:t xml:space="preserve"> pozostaje wciąż niedostateczne dopasowanie oferty edukacyjnej na każdym poziomie </w:t>
      </w:r>
      <w:r w:rsidR="00930DFC">
        <w:br/>
      </w:r>
      <w:r w:rsidR="00930DFC" w:rsidRPr="00ED4EDD">
        <w:t>(w szczególności kształcenia zawodowego) do trendów na rynku pracy i oczekiwań młodzieży, ale także do inteligentnych specjalizacji województwa warmińsko-mazurskiego. Kompetencje najczęściej obecnie poszukiwane na polskim rynku pracy to: umiejętności techniczne, cyfrowe oraz menedżerskie i sprzedażowe. Pracodawcy podkreślają również rosnące zapotrzebowanie na kompetencje miękkie. Wśród nich wymieniają umiejętność współpracy, komunikatywność, kreatywność. Poszukiwane są również określone kompetencje merytoryczne</w:t>
      </w:r>
      <w:r>
        <w:t xml:space="preserve">: </w:t>
      </w:r>
      <w:r w:rsidR="00930DFC" w:rsidRPr="00ED4EDD">
        <w:t>umiejętność analizy, wyciągania wniosków oraz znajomość określonych zagadnień prawnych</w:t>
      </w:r>
      <w:r w:rsidR="00930DFC" w:rsidRPr="00ED4EDD">
        <w:rPr>
          <w:rStyle w:val="Odwoanieprzypisudolnego"/>
        </w:rPr>
        <w:footnoteReference w:id="87"/>
      </w:r>
      <w:r w:rsidR="00930DFC" w:rsidRPr="00ED4EDD">
        <w:t>.</w:t>
      </w:r>
    </w:p>
    <w:p w14:paraId="39EE352F" w14:textId="7F2DC06F" w:rsidR="00930DFC" w:rsidRPr="00ED4EDD" w:rsidRDefault="00930DFC" w:rsidP="00930DFC">
      <w:pPr>
        <w:tabs>
          <w:tab w:val="num" w:pos="720"/>
        </w:tabs>
        <w:jc w:val="both"/>
      </w:pPr>
      <w:r w:rsidRPr="00ED4EDD">
        <w:t>6 najlepszych zawodów w 2020 r. wg miesięcznika „Perspektywy”</w:t>
      </w:r>
      <w:r w:rsidRPr="00ED4EDD">
        <w:rPr>
          <w:rStyle w:val="Odwoanieprzypisudolnego"/>
        </w:rPr>
        <w:footnoteReference w:id="88"/>
      </w:r>
      <w:r w:rsidRPr="00ED4EDD">
        <w:t xml:space="preserve"> wskazuje nie tylko najbardziej obiecujące zawody na najbliższy czas, ale także:</w:t>
      </w:r>
    </w:p>
    <w:p w14:paraId="027B1E80" w14:textId="77777777" w:rsidR="00930DFC" w:rsidRPr="00ED4EDD" w:rsidRDefault="00930DFC" w:rsidP="00930DFC">
      <w:pPr>
        <w:pStyle w:val="Akapitzlist"/>
        <w:numPr>
          <w:ilvl w:val="0"/>
          <w:numId w:val="9"/>
        </w:numPr>
        <w:tabs>
          <w:tab w:val="num" w:pos="720"/>
        </w:tabs>
        <w:jc w:val="both"/>
      </w:pPr>
      <w:r w:rsidRPr="00ED4EDD">
        <w:t>programista stron internetowych</w:t>
      </w:r>
    </w:p>
    <w:p w14:paraId="484DC07C" w14:textId="77777777" w:rsidR="00930DFC" w:rsidRPr="00ED4EDD" w:rsidRDefault="00930DFC" w:rsidP="00930DFC">
      <w:pPr>
        <w:pStyle w:val="Akapitzlist"/>
        <w:numPr>
          <w:ilvl w:val="0"/>
          <w:numId w:val="9"/>
        </w:numPr>
        <w:tabs>
          <w:tab w:val="num" w:pos="720"/>
        </w:tabs>
        <w:jc w:val="both"/>
      </w:pPr>
      <w:r w:rsidRPr="00ED4EDD">
        <w:t>robotyk</w:t>
      </w:r>
    </w:p>
    <w:p w14:paraId="69DE206D" w14:textId="77777777" w:rsidR="00930DFC" w:rsidRPr="00ED4EDD" w:rsidRDefault="00930DFC" w:rsidP="00930DFC">
      <w:pPr>
        <w:pStyle w:val="Akapitzlist"/>
        <w:numPr>
          <w:ilvl w:val="0"/>
          <w:numId w:val="9"/>
        </w:numPr>
        <w:tabs>
          <w:tab w:val="num" w:pos="720"/>
        </w:tabs>
        <w:jc w:val="both"/>
      </w:pPr>
      <w:r w:rsidRPr="00ED4EDD">
        <w:t>projektant interfejsów</w:t>
      </w:r>
    </w:p>
    <w:p w14:paraId="098EDC1A" w14:textId="77777777" w:rsidR="00930DFC" w:rsidRPr="00ED4EDD" w:rsidRDefault="00930DFC" w:rsidP="00930DFC">
      <w:pPr>
        <w:pStyle w:val="Akapitzlist"/>
        <w:numPr>
          <w:ilvl w:val="0"/>
          <w:numId w:val="9"/>
        </w:numPr>
        <w:tabs>
          <w:tab w:val="num" w:pos="720"/>
        </w:tabs>
        <w:jc w:val="both"/>
      </w:pPr>
      <w:r w:rsidRPr="00ED4EDD">
        <w:t>kierownik projektów</w:t>
      </w:r>
    </w:p>
    <w:p w14:paraId="489E9781" w14:textId="77777777" w:rsidR="00930DFC" w:rsidRPr="00ED4EDD" w:rsidRDefault="00930DFC" w:rsidP="00930DFC">
      <w:pPr>
        <w:pStyle w:val="Akapitzlist"/>
        <w:numPr>
          <w:ilvl w:val="0"/>
          <w:numId w:val="9"/>
        </w:numPr>
        <w:tabs>
          <w:tab w:val="num" w:pos="720"/>
        </w:tabs>
        <w:jc w:val="both"/>
      </w:pPr>
      <w:r w:rsidRPr="00ED4EDD">
        <w:t>serwisant sprzętu elektronicznego</w:t>
      </w:r>
    </w:p>
    <w:p w14:paraId="07270356" w14:textId="77777777" w:rsidR="00930DFC" w:rsidRPr="00ED4EDD" w:rsidRDefault="00930DFC" w:rsidP="00930DFC">
      <w:pPr>
        <w:pStyle w:val="Akapitzlist"/>
        <w:numPr>
          <w:ilvl w:val="0"/>
          <w:numId w:val="9"/>
        </w:numPr>
        <w:tabs>
          <w:tab w:val="num" w:pos="720"/>
        </w:tabs>
        <w:jc w:val="both"/>
      </w:pPr>
      <w:r w:rsidRPr="00ED4EDD">
        <w:t>trener personalny.</w:t>
      </w:r>
    </w:p>
    <w:p w14:paraId="7EB7BB0D" w14:textId="08BB3778" w:rsidR="00930DFC" w:rsidRDefault="00792DC0" w:rsidP="00930DFC">
      <w:pPr>
        <w:jc w:val="both"/>
      </w:pPr>
      <w:r w:rsidRPr="00C04382">
        <w:rPr>
          <w:shd w:val="clear" w:color="auto" w:fill="FFFFFF" w:themeFill="background1"/>
        </w:rPr>
        <w:t xml:space="preserve">Analizując ofertę edukacyjną </w:t>
      </w:r>
      <w:r w:rsidR="00C04382" w:rsidRPr="00C04382">
        <w:rPr>
          <w:shd w:val="clear" w:color="auto" w:fill="FFFFFF" w:themeFill="background1"/>
        </w:rPr>
        <w:t xml:space="preserve">pod kątem kierunków wpisujących się w inteligentne specjalizacje </w:t>
      </w:r>
      <w:r w:rsidR="00930DFC" w:rsidRPr="00C04382">
        <w:rPr>
          <w:shd w:val="clear" w:color="auto" w:fill="FFFFFF" w:themeFill="background1"/>
        </w:rPr>
        <w:t xml:space="preserve">województwa, w szkołach MOF </w:t>
      </w:r>
      <w:r w:rsidR="00930DFC">
        <w:t xml:space="preserve">Olsztyna </w:t>
      </w:r>
      <w:r w:rsidR="00C04382">
        <w:t xml:space="preserve">obserwuje się </w:t>
      </w:r>
      <w:r>
        <w:t>deficyt w zakresie</w:t>
      </w:r>
      <w:r w:rsidR="00930DFC">
        <w:t xml:space="preserve"> </w:t>
      </w:r>
      <w:r w:rsidR="00930DFC" w:rsidRPr="00ED4EDD">
        <w:t xml:space="preserve">kształcenia </w:t>
      </w:r>
      <w:r w:rsidR="00930DFC">
        <w:t>związan</w:t>
      </w:r>
      <w:r w:rsidR="00C04382">
        <w:t xml:space="preserve">ego </w:t>
      </w:r>
      <w:r w:rsidR="00C04382">
        <w:br/>
      </w:r>
      <w:r w:rsidR="00930DFC" w:rsidRPr="00ED4EDD">
        <w:lastRenderedPageBreak/>
        <w:t>z ekonomią wody (np. szkutnictwem i sz</w:t>
      </w:r>
      <w:r w:rsidR="00930DFC">
        <w:t xml:space="preserve">eroko pojętą produkcją jachtów), a także szerszej oferty kształcenia w zawodach związanych </w:t>
      </w:r>
      <w:r w:rsidR="00930DFC" w:rsidRPr="00ED4EDD">
        <w:t xml:space="preserve">drewnem i meblarstwem (np. </w:t>
      </w:r>
      <w:r w:rsidR="00930DFC">
        <w:t xml:space="preserve">brak kierunków związanych </w:t>
      </w:r>
      <w:r w:rsidR="00C04382">
        <w:br/>
      </w:r>
      <w:r w:rsidR="00930DFC">
        <w:t>z projektowaniem i konserwacją</w:t>
      </w:r>
      <w:r w:rsidR="00930DFC" w:rsidRPr="00ED4EDD">
        <w:t xml:space="preserve"> mebli czy projektowani</w:t>
      </w:r>
      <w:r w:rsidR="00930DFC">
        <w:t>em</w:t>
      </w:r>
      <w:r w:rsidR="00930DFC" w:rsidRPr="00ED4EDD">
        <w:t xml:space="preserve"> wnętrz).</w:t>
      </w:r>
    </w:p>
    <w:p w14:paraId="114B9B9D" w14:textId="0B2EA678" w:rsidR="0090227A" w:rsidRPr="00ED4EDD" w:rsidRDefault="00EF6E19" w:rsidP="00930DFC">
      <w:pPr>
        <w:jc w:val="both"/>
      </w:pPr>
      <w:r>
        <w:t>Uwzględniając powyższe, i</w:t>
      </w:r>
      <w:r w:rsidR="0090227A">
        <w:t>stotnymi z punkt</w:t>
      </w:r>
      <w:r>
        <w:t xml:space="preserve">u widzenia rozwoju Olsztyna </w:t>
      </w:r>
      <w:r w:rsidR="0018453A">
        <w:t xml:space="preserve">przyjmuje się </w:t>
      </w:r>
      <w:r>
        <w:t>branże oparte na gospodarce cyfrowej (m.in. mechanizacja i automatyzacja procesów technologicznych, robotyzacja, wykorzystanie IT w edukacji, turystyce), kierunki techniczne związane z inteligentnymi specjalizacjami regionalnymi, kierunki oparte na nowoczesnych technologiach i innowacjach związanych ze zrównoważonym korzystaniem z zasobów środowiska (w tym m.in. OZE, „zielona” i niskowęglowa gospodarka, gospodarka cyrkularna), logistyka, a także usługi około</w:t>
      </w:r>
      <w:r w:rsidR="008E00FE">
        <w:t xml:space="preserve"> </w:t>
      </w:r>
      <w:r>
        <w:t>medyczne i usługi opieki senioralnej.</w:t>
      </w:r>
    </w:p>
    <w:p w14:paraId="698FE67E" w14:textId="77777777" w:rsidR="00930DFC" w:rsidRPr="00ED4EDD" w:rsidRDefault="00930DFC" w:rsidP="00930DFC">
      <w:pPr>
        <w:jc w:val="both"/>
      </w:pPr>
      <w:r w:rsidRPr="00ED4EDD">
        <w:t>Biorąc pod uwagę aktualne trendy edukacyjne – konieczność wzmacniania wiedzy i umiejętności uczniów w zakresie przedmiotów STEM</w:t>
      </w:r>
      <w:r w:rsidRPr="00ED4EDD">
        <w:rPr>
          <w:rStyle w:val="Odwoanieprzypisudolnego"/>
        </w:rPr>
        <w:footnoteReference w:id="89"/>
      </w:r>
      <w:r w:rsidRPr="00ED4EDD">
        <w:t>, języków obcych i kompetencji miękkich – można wskazać istotne możliwości poprawy sytuacji MOF w tym zakresie. Obecnie udział uczniów w organizowanych przez szkoły bezpłatnych zajęciach dodatkowych z tego zakresu, a także projektach i innych działaniach w MOF oraz w poszczególnych gminach wskazuje, że z jednej strony istnieje zapotrzebowanie na takie przedsięwzięcia, a z drugiej, że występuje luka, którą mogą wypełnić wspólne inicjatywy.</w:t>
      </w:r>
    </w:p>
    <w:p w14:paraId="508A6AE1" w14:textId="27B4306A" w:rsidR="00930DFC" w:rsidRPr="00ED4EDD" w:rsidRDefault="00930DFC" w:rsidP="00930DFC">
      <w:pPr>
        <w:jc w:val="both"/>
      </w:pPr>
      <w:r w:rsidRPr="00ED4EDD">
        <w:t xml:space="preserve">Dla oceny bieżącej sytuacji przeanalizowano dane za rok szkolny 2018/2019 zebrane we wszystkich szkołach prowadzonych przez gminy MOF. Szkoły przekazały informacje dotyczące liczby uczniów </w:t>
      </w:r>
      <w:r>
        <w:br/>
      </w:r>
      <w:r w:rsidRPr="00ED4EDD">
        <w:t xml:space="preserve">i nauczycieli biorących udział w bezpłatnych dodatkowych zajęciach (odbywających się regularnie przez dłuższy czas) oraz projektach i programach (jednorazowych lub niezwiązanych z regularnymi zajęciami) dotyczących zajęć z zakresu STEM, języków obcych i kompetencji miękkich, przy czym ocenę, co zaliczyć do poszczególnych rodzajów zajęć pozostawiono samym szkołom. Zapytano także o </w:t>
      </w:r>
      <w:r w:rsidR="00206773">
        <w:t xml:space="preserve">liczbę </w:t>
      </w:r>
      <w:r w:rsidRPr="00ED4EDD">
        <w:t xml:space="preserve"> prowadzonych oddziałów dwujęzycznych (tzw. „klas dwujęzycznych”) – zgodnie z definicją ustawową</w:t>
      </w:r>
      <w:r w:rsidRPr="00ED4EDD">
        <w:rPr>
          <w:rStyle w:val="Odwoanieprzypisudolnego"/>
        </w:rPr>
        <w:footnoteReference w:id="90"/>
      </w:r>
      <w:r w:rsidRPr="00ED4EDD">
        <w:t>.</w:t>
      </w:r>
    </w:p>
    <w:p w14:paraId="69332449" w14:textId="4B16712E" w:rsidR="00930DFC" w:rsidRPr="00ED4EDD" w:rsidRDefault="00C91ED1" w:rsidP="00930DFC">
      <w:pPr>
        <w:jc w:val="both"/>
      </w:pPr>
      <w:r>
        <w:t>Przeprowadzona a</w:t>
      </w:r>
      <w:r w:rsidR="00930DFC" w:rsidRPr="00ED4EDD">
        <w:t>naliz</w:t>
      </w:r>
      <w:r>
        <w:t>a</w:t>
      </w:r>
      <w:r w:rsidR="00930DFC" w:rsidRPr="00ED4EDD">
        <w:t xml:space="preserve"> wykazał</w:t>
      </w:r>
      <w:r>
        <w:t>a</w:t>
      </w:r>
      <w:r w:rsidR="00930DFC" w:rsidRPr="00ED4EDD">
        <w:t xml:space="preserve">, że niespełna </w:t>
      </w:r>
      <w:r w:rsidR="00F0236C">
        <w:t>1/5</w:t>
      </w:r>
      <w:r w:rsidR="00930DFC" w:rsidRPr="00ED4EDD">
        <w:t xml:space="preserve"> uczniów w MOF Olsztyna </w:t>
      </w:r>
      <w:r>
        <w:t>brał</w:t>
      </w:r>
      <w:r w:rsidR="00F0236C">
        <w:t>a</w:t>
      </w:r>
      <w:r>
        <w:t xml:space="preserve"> </w:t>
      </w:r>
      <w:r w:rsidR="00930DFC" w:rsidRPr="00ED4EDD">
        <w:t xml:space="preserve">udział </w:t>
      </w:r>
      <w:r>
        <w:br/>
      </w:r>
      <w:r w:rsidR="00930DFC" w:rsidRPr="00ED4EDD">
        <w:t>w regularnych bezpłatnych dodatkowych zajęciach z zakresu STEM</w:t>
      </w:r>
      <w:r w:rsidR="00930DFC" w:rsidRPr="00ED4EDD">
        <w:rPr>
          <w:rStyle w:val="Odwoanieprzypisudolnego"/>
        </w:rPr>
        <w:footnoteReference w:id="91"/>
      </w:r>
      <w:r w:rsidR="00930DFC" w:rsidRPr="00ED4EDD">
        <w:t>. Odsetek uczniów w nich uczestniczących różni się znacząco w poszczególnych gminach</w:t>
      </w:r>
      <w:r>
        <w:t xml:space="preserve"> (Barczewo, Stawiguda – 11%, Gietrzwałd – </w:t>
      </w:r>
      <w:r w:rsidR="006D5EAA">
        <w:t>58</w:t>
      </w:r>
      <w:r>
        <w:t>%)</w:t>
      </w:r>
      <w:r w:rsidR="00930DFC" w:rsidRPr="00ED4EDD">
        <w:t xml:space="preserve">. Należy przy tym dodać, że również charakter i atrakcyjność tych zajęć były bardzo zróżnicowane – mogły to być tradycyjne kółka szachowe, warsztaty z programowania czy robotyki, ale także zajęcia mające na celu realizację przez uczniów całkiem złożonych projektów badawczych. </w:t>
      </w:r>
    </w:p>
    <w:p w14:paraId="7D8F7F2F" w14:textId="1B043F1C" w:rsidR="006D5EAA" w:rsidRPr="00ED4EDD" w:rsidRDefault="006D5EAA" w:rsidP="006D5EAA">
      <w:pPr>
        <w:jc w:val="both"/>
      </w:pPr>
      <w:r w:rsidRPr="00ED4EDD">
        <w:t xml:space="preserve">Znacznie mniejszy odsetek uczniów brał udział w regularnych bezpłatnych zajęciach dodatkowych </w:t>
      </w:r>
      <w:r>
        <w:br/>
      </w:r>
      <w:r w:rsidRPr="00ED4EDD">
        <w:t>z zakresu język</w:t>
      </w:r>
      <w:r>
        <w:t xml:space="preserve">ów obcych. </w:t>
      </w:r>
      <w:r w:rsidR="00F0236C">
        <w:t>Średnio w</w:t>
      </w:r>
      <w:r>
        <w:t xml:space="preserve"> gminach MOF</w:t>
      </w:r>
      <w:r w:rsidR="00F74786">
        <w:t xml:space="preserve"> zaledwie </w:t>
      </w:r>
      <w:r w:rsidR="00F0236C">
        <w:t>10</w:t>
      </w:r>
      <w:r w:rsidR="00F74786">
        <w:t xml:space="preserve">% uczniów </w:t>
      </w:r>
      <w:r w:rsidR="00F0236C">
        <w:t xml:space="preserve">uczestniczyło </w:t>
      </w:r>
      <w:r w:rsidR="00F74786">
        <w:t>w zajęciach językowych</w:t>
      </w:r>
      <w:r w:rsidR="00C9002B">
        <w:t xml:space="preserve"> – najwięcej w Gietrzwałdzie (31%). W Jonkowie nie odnotowano udziału uczniów </w:t>
      </w:r>
      <w:r w:rsidR="008C4FCC">
        <w:br/>
      </w:r>
      <w:r w:rsidR="00C9002B">
        <w:t>w dodatkowych zajęciach języka obcego.</w:t>
      </w:r>
      <w:r w:rsidRPr="00ED4EDD">
        <w:t xml:space="preserve"> </w:t>
      </w:r>
      <w:r w:rsidR="00F74786">
        <w:t>P</w:t>
      </w:r>
      <w:r w:rsidRPr="00ED4EDD">
        <w:t>rzyczyn</w:t>
      </w:r>
      <w:r w:rsidR="00F74786">
        <w:t>ą</w:t>
      </w:r>
      <w:r w:rsidRPr="00ED4EDD">
        <w:t xml:space="preserve"> takiej sytuacji </w:t>
      </w:r>
      <w:r w:rsidR="00F74786">
        <w:t xml:space="preserve">może być </w:t>
      </w:r>
      <w:r w:rsidRPr="00ED4EDD">
        <w:t xml:space="preserve">między innymi problem </w:t>
      </w:r>
      <w:r w:rsidR="008C4FCC">
        <w:br/>
      </w:r>
      <w:r w:rsidRPr="00ED4EDD">
        <w:t>z dostępnością kadry nauczycielskiej o odpowiednich kwalifikacjach</w:t>
      </w:r>
      <w:r w:rsidR="00F74786">
        <w:t xml:space="preserve">, jak również niedostateczne </w:t>
      </w:r>
      <w:r w:rsidRPr="00ED4EDD">
        <w:t>środk</w:t>
      </w:r>
      <w:r w:rsidR="00F74786">
        <w:t>i</w:t>
      </w:r>
      <w:r w:rsidRPr="00ED4EDD">
        <w:t xml:space="preserve"> finansow</w:t>
      </w:r>
      <w:r w:rsidR="00F74786">
        <w:t>e kierowane na kształcenie języków obcych</w:t>
      </w:r>
      <w:r w:rsidRPr="00ED4EDD">
        <w:t xml:space="preserve">. </w:t>
      </w:r>
      <w:r w:rsidR="00F74786">
        <w:t xml:space="preserve">Zauważalny jest także problem </w:t>
      </w:r>
      <w:r w:rsidRPr="00ED4EDD">
        <w:t xml:space="preserve">dostępu uczniów do zajęć z zakresu technologii cyfrowych, a także samego wykorzystania tych technologii jako narzędzi </w:t>
      </w:r>
      <w:r w:rsidR="00F74786">
        <w:br/>
      </w:r>
      <w:r w:rsidRPr="00ED4EDD">
        <w:lastRenderedPageBreak/>
        <w:t>w procesie uczenia – aby zwiększyć ten dostęp, konieczne jest umożliwienie nabycia odpowiednich kompetencji kadrze nauczycielskiej.</w:t>
      </w:r>
    </w:p>
    <w:p w14:paraId="2A4B3E77" w14:textId="332694A1" w:rsidR="00F74786" w:rsidRPr="00ED4EDD" w:rsidRDefault="00F74786" w:rsidP="00F74786">
      <w:pPr>
        <w:jc w:val="both"/>
      </w:pPr>
      <w:r w:rsidRPr="00ED4EDD">
        <w:t xml:space="preserve">Nieco </w:t>
      </w:r>
      <w:r>
        <w:t xml:space="preserve">korzystniej </w:t>
      </w:r>
      <w:r w:rsidR="00F0236C">
        <w:t>niż w przypadku zaję</w:t>
      </w:r>
      <w:r w:rsidR="00C9002B">
        <w:t>ć</w:t>
      </w:r>
      <w:r w:rsidR="00F0236C">
        <w:t xml:space="preserve"> z języków obcych </w:t>
      </w:r>
      <w:r w:rsidRPr="00ED4EDD">
        <w:t xml:space="preserve">przedstawia się uczestnictwo uczniów </w:t>
      </w:r>
      <w:r w:rsidR="00E80A3B">
        <w:br/>
      </w:r>
      <w:r w:rsidRPr="00ED4EDD">
        <w:t xml:space="preserve">w różnego rodzaju zajęciach wspierających rozwój kompetencji miękkich. </w:t>
      </w:r>
      <w:r w:rsidR="00C9002B">
        <w:t>Jednakże w omawianym przypadku zauważalna jest dysproporcja</w:t>
      </w:r>
      <w:r w:rsidR="00E80A3B">
        <w:t xml:space="preserve"> intensywności udziału uczniów</w:t>
      </w:r>
      <w:r w:rsidR="00C9002B">
        <w:t xml:space="preserve"> - w Olsztynie w zajęciach rozwijających kompetencje miękkie uczestniczył co piąty uczeń,</w:t>
      </w:r>
      <w:r w:rsidRPr="00ED4EDD">
        <w:t xml:space="preserve"> natomiast w gminach z wyłączeniem Olsztyna zaledwie co dziesiąty.</w:t>
      </w:r>
    </w:p>
    <w:p w14:paraId="6A03E998" w14:textId="335BFB05" w:rsidR="00930DFC" w:rsidRDefault="00930DFC" w:rsidP="006D5EAA">
      <w:pPr>
        <w:spacing w:after="0"/>
        <w:jc w:val="both"/>
      </w:pPr>
    </w:p>
    <w:p w14:paraId="65C17686" w14:textId="24B5AF77" w:rsidR="008E0AF2" w:rsidRPr="008E0AF2" w:rsidRDefault="008E0AF2" w:rsidP="008E0AF2">
      <w:pPr>
        <w:pStyle w:val="Legenda"/>
        <w:rPr>
          <w:sz w:val="22"/>
          <w:szCs w:val="22"/>
          <w:lang w:val="pl-PL"/>
        </w:rPr>
      </w:pPr>
      <w:bookmarkStart w:id="244" w:name="_Toc73516137"/>
      <w:r w:rsidRPr="008E0AF2">
        <w:rPr>
          <w:sz w:val="22"/>
          <w:szCs w:val="22"/>
        </w:rPr>
        <w:t xml:space="preserve">Wykres </w:t>
      </w:r>
      <w:r w:rsidRPr="008E0AF2">
        <w:rPr>
          <w:sz w:val="22"/>
          <w:szCs w:val="22"/>
        </w:rPr>
        <w:fldChar w:fldCharType="begin"/>
      </w:r>
      <w:r w:rsidRPr="008E0AF2">
        <w:rPr>
          <w:sz w:val="22"/>
          <w:szCs w:val="22"/>
        </w:rPr>
        <w:instrText xml:space="preserve"> SEQ Wykres \* ARABIC </w:instrText>
      </w:r>
      <w:r w:rsidRPr="008E0AF2">
        <w:rPr>
          <w:sz w:val="22"/>
          <w:szCs w:val="22"/>
        </w:rPr>
        <w:fldChar w:fldCharType="separate"/>
      </w:r>
      <w:r w:rsidR="00AD58C3">
        <w:rPr>
          <w:noProof/>
          <w:sz w:val="22"/>
          <w:szCs w:val="22"/>
        </w:rPr>
        <w:t>75</w:t>
      </w:r>
      <w:r w:rsidRPr="008E0AF2">
        <w:rPr>
          <w:sz w:val="22"/>
          <w:szCs w:val="22"/>
        </w:rPr>
        <w:fldChar w:fldCharType="end"/>
      </w:r>
      <w:r w:rsidRPr="008E0AF2">
        <w:rPr>
          <w:sz w:val="22"/>
          <w:szCs w:val="22"/>
        </w:rPr>
        <w:t xml:space="preserve">. </w:t>
      </w:r>
      <w:r w:rsidRPr="008E0AF2">
        <w:rPr>
          <w:bCs/>
          <w:sz w:val="22"/>
          <w:szCs w:val="22"/>
          <w:lang w:val="en-US"/>
        </w:rPr>
        <w:t>Odsetek uczniów uczestniczących w zajęciach i programach z zakresu STEM, języków obcych i kompetencji miękkich w ogólnej liczbie uczniów w gminie (rok szkolny 2018/2019)</w:t>
      </w:r>
      <w:bookmarkEnd w:id="244"/>
    </w:p>
    <w:p w14:paraId="6DFF2D5B" w14:textId="2E524A38" w:rsidR="00C91ED1" w:rsidRPr="00ED4EDD" w:rsidRDefault="00B70D54" w:rsidP="00930DFC">
      <w:pPr>
        <w:spacing w:after="0"/>
        <w:jc w:val="center"/>
      </w:pPr>
      <w:r>
        <w:rPr>
          <w:noProof/>
          <w:lang w:eastAsia="pl-PL"/>
        </w:rPr>
        <w:drawing>
          <wp:inline distT="0" distB="0" distL="0" distR="0" wp14:anchorId="25F61133" wp14:editId="2E4CE292">
            <wp:extent cx="4572000" cy="2743200"/>
            <wp:effectExtent l="0" t="0" r="0" b="0"/>
            <wp:docPr id="45" name="Wykres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33256DB2" w14:textId="12F5724C" w:rsidR="00930DFC" w:rsidRPr="008E0AF2" w:rsidRDefault="00C91ED1" w:rsidP="00C91ED1">
      <w:pPr>
        <w:jc w:val="center"/>
        <w:rPr>
          <w:i/>
          <w:sz w:val="20"/>
          <w:szCs w:val="20"/>
        </w:rPr>
      </w:pPr>
      <w:r w:rsidRPr="008E0AF2">
        <w:rPr>
          <w:i/>
          <w:sz w:val="20"/>
          <w:szCs w:val="20"/>
        </w:rPr>
        <w:t>ź</w:t>
      </w:r>
      <w:r w:rsidR="00930DFC" w:rsidRPr="008E0AF2">
        <w:rPr>
          <w:i/>
          <w:sz w:val="20"/>
          <w:szCs w:val="20"/>
        </w:rPr>
        <w:t xml:space="preserve">ródło: </w:t>
      </w:r>
      <w:r w:rsidRPr="008E0AF2">
        <w:rPr>
          <w:i/>
          <w:sz w:val="20"/>
          <w:szCs w:val="20"/>
        </w:rPr>
        <w:t>o</w:t>
      </w:r>
      <w:r w:rsidR="00930DFC" w:rsidRPr="008E0AF2">
        <w:rPr>
          <w:i/>
          <w:sz w:val="20"/>
          <w:szCs w:val="20"/>
        </w:rPr>
        <w:t>pracowanie własne na podstawie danych uzyskanych z gmin MOF Olsztyna</w:t>
      </w:r>
    </w:p>
    <w:p w14:paraId="728371CF" w14:textId="5B10B7AD" w:rsidR="00930DFC" w:rsidRPr="00ED4EDD" w:rsidRDefault="00930DFC" w:rsidP="00930DFC">
      <w:pPr>
        <w:spacing w:after="0"/>
        <w:jc w:val="center"/>
      </w:pPr>
    </w:p>
    <w:p w14:paraId="19CE322A" w14:textId="0C677A33" w:rsidR="00930DFC" w:rsidRPr="00ED4EDD" w:rsidRDefault="00930DFC" w:rsidP="00930DFC">
      <w:pPr>
        <w:spacing w:after="120"/>
        <w:jc w:val="both"/>
      </w:pPr>
      <w:r w:rsidRPr="00ED4EDD">
        <w:t>Należy dodać, że poza regularnymi zajęciami, uczniowie szkół uczestniczą też w różnego rodzaju projektach i programach dotyczących trzech omawianych obszarów. Tutaj również występuje spore zróżnicowanie intensywności udziału szkół w poszczególnych gminach, jednak tylko pojedyncze szkoły w całym MOF nie organizowały żadnych zajęć z zakresu</w:t>
      </w:r>
      <w:r w:rsidR="00BA1707">
        <w:t xml:space="preserve"> objętego analizą</w:t>
      </w:r>
      <w:r w:rsidRPr="00ED4EDD">
        <w:t>.</w:t>
      </w:r>
    </w:p>
    <w:p w14:paraId="16672E48" w14:textId="614D6D85" w:rsidR="00930DFC" w:rsidRDefault="00930DFC" w:rsidP="00930DFC">
      <w:pPr>
        <w:spacing w:after="120"/>
        <w:jc w:val="both"/>
      </w:pPr>
      <w:r w:rsidRPr="00ED4EDD">
        <w:t>Natomiast b</w:t>
      </w:r>
      <w:r>
        <w:t xml:space="preserve">ardzo </w:t>
      </w:r>
      <w:r w:rsidRPr="00ED4EDD">
        <w:t>niewiele szkół w MOF, bo tylko dwie w Olsztynie, ma w swojej ofercie tzw. „klasy dwujęzyczne”. Niewątpliwie przyczyną tego stanu jest przede wszystkim niedostatek odpowiednio wykwalifikowanej kadry nauczycielskiej.</w:t>
      </w:r>
    </w:p>
    <w:p w14:paraId="00F17A9C" w14:textId="1F2E5DFC" w:rsidR="00AB5A7E" w:rsidRPr="00AB5A7E" w:rsidRDefault="00AB5A7E" w:rsidP="00AB5A7E">
      <w:pPr>
        <w:spacing w:after="120"/>
        <w:jc w:val="both"/>
      </w:pPr>
      <w:r w:rsidRPr="00AB5A7E">
        <w:t>Jednostki oświatowe prowadzone przez miasto Olsztyn znajdują się w większości osiedli w mieście. Najwięcej takich jednostek znajduje się w osiedlach Pojezierze (8), Ko</w:t>
      </w:r>
      <w:r w:rsidR="000F3FDB">
        <w:t>r</w:t>
      </w:r>
      <w:r w:rsidRPr="00AB5A7E">
        <w:t xml:space="preserve">moran, Kościuszki, Nagórki (po 7). Jednakże w 4 z 23 osiedli nie znajduje się żadna taka jednostka. Wskaźnik jednostek oświatowych na 1 tys. mieszkańców pokazuje, że 3 osiedla posiadają jedną jednostkę lub więcej na </w:t>
      </w:r>
      <w:r w:rsidR="00E37BD0">
        <w:t xml:space="preserve">1 tys. </w:t>
      </w:r>
      <w:r w:rsidRPr="00AB5A7E">
        <w:t>mieszkańców. Są to umiejscowione centralnie Śródmieście, Nad Jeziorem Długim i Kościuszki. Większość dzielnic (14), osiąga wartość wskaźnika niższą niż 0,4. Są wśród nich zarówno gęsto zaludnione dzielnice mieszkalne, jak i obrzeżne osiedla z małą liczbą mieszkańców.</w:t>
      </w:r>
    </w:p>
    <w:p w14:paraId="5E492089" w14:textId="365AF177" w:rsidR="00AB5A7E" w:rsidRPr="00AB5A7E" w:rsidRDefault="00AB5A7E" w:rsidP="00AB5A7E">
      <w:pPr>
        <w:spacing w:after="120"/>
        <w:jc w:val="both"/>
        <w:rPr>
          <w:i/>
          <w:iCs/>
        </w:rPr>
      </w:pPr>
    </w:p>
    <w:p w14:paraId="767F01BF" w14:textId="6D50BD9D" w:rsidR="00311624" w:rsidRPr="008E0AF2" w:rsidRDefault="00311624" w:rsidP="00311624">
      <w:pPr>
        <w:pStyle w:val="Legenda"/>
        <w:keepNext/>
        <w:rPr>
          <w:sz w:val="22"/>
          <w:szCs w:val="22"/>
          <w:lang w:val="pl-PL"/>
        </w:rPr>
      </w:pPr>
      <w:bookmarkStart w:id="245" w:name="_Toc73534993"/>
      <w:r w:rsidRPr="008E0AF2">
        <w:rPr>
          <w:sz w:val="22"/>
          <w:szCs w:val="22"/>
          <w:lang w:val="pl-PL"/>
        </w:rPr>
        <w:lastRenderedPageBreak/>
        <w:t xml:space="preserve">Tabela </w:t>
      </w:r>
      <w:r w:rsidRPr="008E0AF2">
        <w:rPr>
          <w:sz w:val="22"/>
          <w:szCs w:val="22"/>
        </w:rPr>
        <w:fldChar w:fldCharType="begin"/>
      </w:r>
      <w:r w:rsidRPr="008E0AF2">
        <w:rPr>
          <w:sz w:val="22"/>
          <w:szCs w:val="22"/>
          <w:lang w:val="pl-PL"/>
        </w:rPr>
        <w:instrText xml:space="preserve"> SEQ Tabela \* ARABIC </w:instrText>
      </w:r>
      <w:r w:rsidRPr="008E0AF2">
        <w:rPr>
          <w:sz w:val="22"/>
          <w:szCs w:val="22"/>
        </w:rPr>
        <w:fldChar w:fldCharType="separate"/>
      </w:r>
      <w:r w:rsidR="00AD58C3">
        <w:rPr>
          <w:noProof/>
          <w:sz w:val="22"/>
          <w:szCs w:val="22"/>
          <w:lang w:val="pl-PL"/>
        </w:rPr>
        <w:t>30</w:t>
      </w:r>
      <w:r w:rsidRPr="008E0AF2">
        <w:rPr>
          <w:sz w:val="22"/>
          <w:szCs w:val="22"/>
        </w:rPr>
        <w:fldChar w:fldCharType="end"/>
      </w:r>
      <w:r w:rsidRPr="008E0AF2">
        <w:rPr>
          <w:sz w:val="22"/>
          <w:szCs w:val="22"/>
          <w:lang w:val="pl-PL"/>
        </w:rPr>
        <w:t>. Jednostki oświatowe w poszczególnych dzielnicach</w:t>
      </w:r>
      <w:r w:rsidR="008E0AF2">
        <w:rPr>
          <w:sz w:val="22"/>
          <w:szCs w:val="22"/>
          <w:lang w:val="pl-PL"/>
        </w:rPr>
        <w:t xml:space="preserve"> Olsztyna</w:t>
      </w:r>
      <w:bookmarkEnd w:id="245"/>
      <w:r w:rsidRPr="008E0AF2">
        <w:rPr>
          <w:sz w:val="22"/>
          <w:szCs w:val="22"/>
          <w:lang w:val="pl-PL"/>
        </w:rPr>
        <w:t xml:space="preserve"> </w:t>
      </w:r>
    </w:p>
    <w:tbl>
      <w:tblPr>
        <w:tblW w:w="8937" w:type="dxa"/>
        <w:jc w:val="center"/>
        <w:tblCellMar>
          <w:left w:w="70" w:type="dxa"/>
          <w:right w:w="70" w:type="dxa"/>
        </w:tblCellMar>
        <w:tblLook w:val="04A0" w:firstRow="1" w:lastRow="0" w:firstColumn="1" w:lastColumn="0" w:noHBand="0" w:noVBand="1"/>
      </w:tblPr>
      <w:tblGrid>
        <w:gridCol w:w="3305"/>
        <w:gridCol w:w="2240"/>
        <w:gridCol w:w="3392"/>
      </w:tblGrid>
      <w:tr w:rsidR="00AB5A7E" w:rsidRPr="00AB5A7E" w14:paraId="060799F5" w14:textId="77777777" w:rsidTr="00A12C6F">
        <w:trPr>
          <w:trHeight w:val="600"/>
          <w:jc w:val="center"/>
        </w:trPr>
        <w:tc>
          <w:tcPr>
            <w:tcW w:w="3305"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367209DA" w14:textId="77777777" w:rsidR="00AB5A7E" w:rsidRPr="00A12C6F" w:rsidRDefault="00AB5A7E" w:rsidP="00D35041">
            <w:pPr>
              <w:spacing w:after="0"/>
              <w:jc w:val="center"/>
              <w:rPr>
                <w:b/>
              </w:rPr>
            </w:pPr>
            <w:r w:rsidRPr="00A12C6F">
              <w:rPr>
                <w:b/>
              </w:rPr>
              <w:t>Osiedle</w:t>
            </w:r>
          </w:p>
        </w:tc>
        <w:tc>
          <w:tcPr>
            <w:tcW w:w="2240" w:type="dxa"/>
            <w:tcBorders>
              <w:top w:val="single" w:sz="4" w:space="0" w:color="auto"/>
              <w:left w:val="nil"/>
              <w:bottom w:val="single" w:sz="4" w:space="0" w:color="auto"/>
              <w:right w:val="single" w:sz="4" w:space="0" w:color="auto"/>
            </w:tcBorders>
            <w:shd w:val="clear" w:color="auto" w:fill="92D050"/>
            <w:vAlign w:val="center"/>
            <w:hideMark/>
          </w:tcPr>
          <w:p w14:paraId="4FF0C11E" w14:textId="77777777" w:rsidR="00AB5A7E" w:rsidRPr="00A12C6F" w:rsidRDefault="00AB5A7E" w:rsidP="00D35041">
            <w:pPr>
              <w:spacing w:after="0"/>
              <w:jc w:val="center"/>
              <w:rPr>
                <w:b/>
              </w:rPr>
            </w:pPr>
            <w:r w:rsidRPr="00A12C6F">
              <w:rPr>
                <w:b/>
              </w:rPr>
              <w:t>Łączna liczba jednostek oświatowych</w:t>
            </w:r>
          </w:p>
        </w:tc>
        <w:tc>
          <w:tcPr>
            <w:tcW w:w="3392" w:type="dxa"/>
            <w:tcBorders>
              <w:top w:val="single" w:sz="4" w:space="0" w:color="auto"/>
              <w:left w:val="nil"/>
              <w:bottom w:val="single" w:sz="4" w:space="0" w:color="auto"/>
              <w:right w:val="single" w:sz="4" w:space="0" w:color="auto"/>
            </w:tcBorders>
            <w:shd w:val="clear" w:color="auto" w:fill="92D050"/>
            <w:vAlign w:val="center"/>
            <w:hideMark/>
          </w:tcPr>
          <w:p w14:paraId="622D7C54" w14:textId="77777777" w:rsidR="00AB5A7E" w:rsidRPr="00A12C6F" w:rsidRDefault="00AB5A7E" w:rsidP="00D35041">
            <w:pPr>
              <w:spacing w:after="0"/>
              <w:jc w:val="center"/>
              <w:rPr>
                <w:b/>
              </w:rPr>
            </w:pPr>
            <w:r w:rsidRPr="00A12C6F">
              <w:rPr>
                <w:b/>
              </w:rPr>
              <w:t>Jednostki oświatowe na 1 tys. mieszkańców</w:t>
            </w:r>
          </w:p>
        </w:tc>
      </w:tr>
      <w:tr w:rsidR="00AB5A7E" w:rsidRPr="00AB5A7E" w14:paraId="0A85C0BF"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6CA9EDA5" w14:textId="77777777" w:rsidR="00AB5A7E" w:rsidRPr="00AB5A7E" w:rsidRDefault="00AB5A7E" w:rsidP="00D35041">
            <w:pPr>
              <w:spacing w:after="0"/>
              <w:jc w:val="center"/>
            </w:pPr>
            <w:r w:rsidRPr="00AB5A7E">
              <w:t>Śródmieście</w:t>
            </w:r>
          </w:p>
        </w:tc>
        <w:tc>
          <w:tcPr>
            <w:tcW w:w="2240" w:type="dxa"/>
            <w:tcBorders>
              <w:top w:val="nil"/>
              <w:left w:val="nil"/>
              <w:bottom w:val="single" w:sz="4" w:space="0" w:color="auto"/>
              <w:right w:val="single" w:sz="4" w:space="0" w:color="auto"/>
            </w:tcBorders>
            <w:shd w:val="clear" w:color="auto" w:fill="auto"/>
            <w:noWrap/>
            <w:vAlign w:val="center"/>
            <w:hideMark/>
          </w:tcPr>
          <w:p w14:paraId="4E0EC222" w14:textId="77777777" w:rsidR="00AB5A7E" w:rsidRPr="00AB5A7E" w:rsidRDefault="00AB5A7E" w:rsidP="00D35041">
            <w:pPr>
              <w:spacing w:after="0"/>
              <w:jc w:val="center"/>
            </w:pPr>
            <w:r w:rsidRPr="00AB5A7E">
              <w:t>4</w:t>
            </w:r>
          </w:p>
        </w:tc>
        <w:tc>
          <w:tcPr>
            <w:tcW w:w="3392" w:type="dxa"/>
            <w:tcBorders>
              <w:top w:val="nil"/>
              <w:left w:val="nil"/>
              <w:bottom w:val="single" w:sz="4" w:space="0" w:color="auto"/>
              <w:right w:val="single" w:sz="4" w:space="0" w:color="auto"/>
            </w:tcBorders>
            <w:shd w:val="clear" w:color="auto" w:fill="auto"/>
            <w:noWrap/>
            <w:vAlign w:val="center"/>
            <w:hideMark/>
          </w:tcPr>
          <w:p w14:paraId="273A8179" w14:textId="77777777" w:rsidR="00AB5A7E" w:rsidRPr="00AB5A7E" w:rsidRDefault="00AB5A7E" w:rsidP="00D35041">
            <w:pPr>
              <w:spacing w:after="0"/>
              <w:jc w:val="center"/>
            </w:pPr>
            <w:r w:rsidRPr="00AB5A7E">
              <w:t>1,31</w:t>
            </w:r>
          </w:p>
        </w:tc>
      </w:tr>
      <w:tr w:rsidR="00AB5A7E" w:rsidRPr="00AB5A7E" w14:paraId="61A653CC"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4840254B" w14:textId="77777777" w:rsidR="00AB5A7E" w:rsidRPr="00AB5A7E" w:rsidRDefault="00AB5A7E" w:rsidP="00D35041">
            <w:pPr>
              <w:spacing w:after="0"/>
              <w:jc w:val="center"/>
            </w:pPr>
            <w:r w:rsidRPr="00AB5A7E">
              <w:t>Kościuszki</w:t>
            </w:r>
          </w:p>
        </w:tc>
        <w:tc>
          <w:tcPr>
            <w:tcW w:w="2240" w:type="dxa"/>
            <w:tcBorders>
              <w:top w:val="nil"/>
              <w:left w:val="nil"/>
              <w:bottom w:val="single" w:sz="4" w:space="0" w:color="auto"/>
              <w:right w:val="single" w:sz="4" w:space="0" w:color="auto"/>
            </w:tcBorders>
            <w:shd w:val="clear" w:color="auto" w:fill="auto"/>
            <w:noWrap/>
            <w:vAlign w:val="center"/>
            <w:hideMark/>
          </w:tcPr>
          <w:p w14:paraId="5FE39A24" w14:textId="77777777" w:rsidR="00AB5A7E" w:rsidRPr="00AB5A7E" w:rsidRDefault="00AB5A7E" w:rsidP="00D35041">
            <w:pPr>
              <w:spacing w:after="0"/>
              <w:jc w:val="center"/>
            </w:pPr>
            <w:r w:rsidRPr="00AB5A7E">
              <w:t>7</w:t>
            </w:r>
          </w:p>
        </w:tc>
        <w:tc>
          <w:tcPr>
            <w:tcW w:w="3392" w:type="dxa"/>
            <w:tcBorders>
              <w:top w:val="nil"/>
              <w:left w:val="nil"/>
              <w:bottom w:val="single" w:sz="4" w:space="0" w:color="auto"/>
              <w:right w:val="single" w:sz="4" w:space="0" w:color="auto"/>
            </w:tcBorders>
            <w:shd w:val="clear" w:color="auto" w:fill="auto"/>
            <w:noWrap/>
            <w:vAlign w:val="center"/>
            <w:hideMark/>
          </w:tcPr>
          <w:p w14:paraId="399D467F" w14:textId="77777777" w:rsidR="00AB5A7E" w:rsidRPr="00AB5A7E" w:rsidRDefault="00AB5A7E" w:rsidP="00D35041">
            <w:pPr>
              <w:spacing w:after="0"/>
              <w:jc w:val="center"/>
            </w:pPr>
            <w:r w:rsidRPr="00AB5A7E">
              <w:t>1,07</w:t>
            </w:r>
          </w:p>
        </w:tc>
      </w:tr>
      <w:tr w:rsidR="00AB5A7E" w:rsidRPr="00AB5A7E" w14:paraId="0194179F"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44E994E6" w14:textId="77777777" w:rsidR="00AB5A7E" w:rsidRPr="00AB5A7E" w:rsidRDefault="00AB5A7E" w:rsidP="00D35041">
            <w:pPr>
              <w:spacing w:after="0"/>
              <w:jc w:val="center"/>
            </w:pPr>
            <w:r w:rsidRPr="00AB5A7E">
              <w:t>Nad Jeziorem Długim</w:t>
            </w:r>
          </w:p>
        </w:tc>
        <w:tc>
          <w:tcPr>
            <w:tcW w:w="2240" w:type="dxa"/>
            <w:tcBorders>
              <w:top w:val="nil"/>
              <w:left w:val="nil"/>
              <w:bottom w:val="single" w:sz="4" w:space="0" w:color="auto"/>
              <w:right w:val="single" w:sz="4" w:space="0" w:color="auto"/>
            </w:tcBorders>
            <w:shd w:val="clear" w:color="auto" w:fill="auto"/>
            <w:noWrap/>
            <w:vAlign w:val="center"/>
            <w:hideMark/>
          </w:tcPr>
          <w:p w14:paraId="50020296" w14:textId="77777777" w:rsidR="00AB5A7E" w:rsidRPr="00AB5A7E" w:rsidRDefault="00AB5A7E" w:rsidP="00D35041">
            <w:pPr>
              <w:spacing w:after="0"/>
              <w:jc w:val="center"/>
            </w:pPr>
            <w:r w:rsidRPr="00AB5A7E">
              <w:t>4</w:t>
            </w:r>
          </w:p>
        </w:tc>
        <w:tc>
          <w:tcPr>
            <w:tcW w:w="3392" w:type="dxa"/>
            <w:tcBorders>
              <w:top w:val="nil"/>
              <w:left w:val="nil"/>
              <w:bottom w:val="single" w:sz="4" w:space="0" w:color="auto"/>
              <w:right w:val="single" w:sz="4" w:space="0" w:color="auto"/>
            </w:tcBorders>
            <w:shd w:val="clear" w:color="auto" w:fill="auto"/>
            <w:noWrap/>
            <w:vAlign w:val="center"/>
            <w:hideMark/>
          </w:tcPr>
          <w:p w14:paraId="782A15D2" w14:textId="77777777" w:rsidR="00AB5A7E" w:rsidRPr="00AB5A7E" w:rsidRDefault="00AB5A7E" w:rsidP="00D35041">
            <w:pPr>
              <w:spacing w:after="0"/>
              <w:jc w:val="center"/>
            </w:pPr>
            <w:r w:rsidRPr="00AB5A7E">
              <w:t>1,00</w:t>
            </w:r>
          </w:p>
        </w:tc>
      </w:tr>
      <w:tr w:rsidR="00AB5A7E" w:rsidRPr="00AB5A7E" w14:paraId="21DBA4E5"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295AEBD4" w14:textId="77777777" w:rsidR="00AB5A7E" w:rsidRPr="00AB5A7E" w:rsidRDefault="00AB5A7E" w:rsidP="00D35041">
            <w:pPr>
              <w:spacing w:after="0"/>
              <w:jc w:val="center"/>
            </w:pPr>
            <w:r w:rsidRPr="00AB5A7E">
              <w:t>Zatorze</w:t>
            </w:r>
          </w:p>
        </w:tc>
        <w:tc>
          <w:tcPr>
            <w:tcW w:w="2240" w:type="dxa"/>
            <w:tcBorders>
              <w:top w:val="nil"/>
              <w:left w:val="nil"/>
              <w:bottom w:val="single" w:sz="4" w:space="0" w:color="auto"/>
              <w:right w:val="single" w:sz="4" w:space="0" w:color="auto"/>
            </w:tcBorders>
            <w:shd w:val="clear" w:color="auto" w:fill="auto"/>
            <w:noWrap/>
            <w:vAlign w:val="center"/>
            <w:hideMark/>
          </w:tcPr>
          <w:p w14:paraId="2015FF48" w14:textId="77777777" w:rsidR="00AB5A7E" w:rsidRPr="00AB5A7E" w:rsidRDefault="00AB5A7E" w:rsidP="00D35041">
            <w:pPr>
              <w:spacing w:after="0"/>
              <w:jc w:val="center"/>
            </w:pPr>
            <w:r w:rsidRPr="00AB5A7E">
              <w:t>5</w:t>
            </w:r>
          </w:p>
        </w:tc>
        <w:tc>
          <w:tcPr>
            <w:tcW w:w="3392" w:type="dxa"/>
            <w:tcBorders>
              <w:top w:val="nil"/>
              <w:left w:val="nil"/>
              <w:bottom w:val="single" w:sz="4" w:space="0" w:color="auto"/>
              <w:right w:val="single" w:sz="4" w:space="0" w:color="auto"/>
            </w:tcBorders>
            <w:shd w:val="clear" w:color="auto" w:fill="auto"/>
            <w:noWrap/>
            <w:vAlign w:val="center"/>
            <w:hideMark/>
          </w:tcPr>
          <w:p w14:paraId="06EF3547" w14:textId="77777777" w:rsidR="00AB5A7E" w:rsidRPr="00AB5A7E" w:rsidRDefault="00AB5A7E" w:rsidP="00D35041">
            <w:pPr>
              <w:spacing w:after="0"/>
              <w:jc w:val="center"/>
            </w:pPr>
            <w:r w:rsidRPr="00AB5A7E">
              <w:t>0,80</w:t>
            </w:r>
          </w:p>
        </w:tc>
      </w:tr>
      <w:tr w:rsidR="00AB5A7E" w:rsidRPr="00AB5A7E" w14:paraId="1EDD3AB6"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0251BAF3" w14:textId="77777777" w:rsidR="00AB5A7E" w:rsidRPr="00AB5A7E" w:rsidRDefault="00AB5A7E" w:rsidP="00D35041">
            <w:pPr>
              <w:spacing w:after="0"/>
              <w:jc w:val="center"/>
            </w:pPr>
            <w:r w:rsidRPr="00AB5A7E">
              <w:t>Pojezierze</w:t>
            </w:r>
          </w:p>
        </w:tc>
        <w:tc>
          <w:tcPr>
            <w:tcW w:w="2240" w:type="dxa"/>
            <w:tcBorders>
              <w:top w:val="nil"/>
              <w:left w:val="nil"/>
              <w:bottom w:val="single" w:sz="4" w:space="0" w:color="auto"/>
              <w:right w:val="single" w:sz="4" w:space="0" w:color="auto"/>
            </w:tcBorders>
            <w:shd w:val="clear" w:color="auto" w:fill="auto"/>
            <w:noWrap/>
            <w:vAlign w:val="center"/>
            <w:hideMark/>
          </w:tcPr>
          <w:p w14:paraId="147DBEA1" w14:textId="77777777" w:rsidR="00AB5A7E" w:rsidRPr="00AB5A7E" w:rsidRDefault="00AB5A7E" w:rsidP="00D35041">
            <w:pPr>
              <w:spacing w:after="0"/>
              <w:jc w:val="center"/>
            </w:pPr>
            <w:r w:rsidRPr="00AB5A7E">
              <w:t>8</w:t>
            </w:r>
          </w:p>
        </w:tc>
        <w:tc>
          <w:tcPr>
            <w:tcW w:w="3392" w:type="dxa"/>
            <w:tcBorders>
              <w:top w:val="nil"/>
              <w:left w:val="nil"/>
              <w:bottom w:val="single" w:sz="4" w:space="0" w:color="auto"/>
              <w:right w:val="single" w:sz="4" w:space="0" w:color="auto"/>
            </w:tcBorders>
            <w:shd w:val="clear" w:color="auto" w:fill="auto"/>
            <w:noWrap/>
            <w:vAlign w:val="center"/>
            <w:hideMark/>
          </w:tcPr>
          <w:p w14:paraId="3706E71E" w14:textId="77777777" w:rsidR="00AB5A7E" w:rsidRPr="00AB5A7E" w:rsidRDefault="00AB5A7E" w:rsidP="00D35041">
            <w:pPr>
              <w:spacing w:after="0"/>
              <w:jc w:val="center"/>
            </w:pPr>
            <w:r w:rsidRPr="00AB5A7E">
              <w:t>0,69</w:t>
            </w:r>
          </w:p>
        </w:tc>
      </w:tr>
      <w:tr w:rsidR="00AB5A7E" w:rsidRPr="00AB5A7E" w14:paraId="0A4A6F24"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28221AF4" w14:textId="77777777" w:rsidR="00AB5A7E" w:rsidRPr="00AB5A7E" w:rsidRDefault="00AB5A7E" w:rsidP="00D35041">
            <w:pPr>
              <w:spacing w:after="0"/>
              <w:jc w:val="center"/>
            </w:pPr>
            <w:r w:rsidRPr="00AB5A7E">
              <w:t>Wojska Polskiego</w:t>
            </w:r>
          </w:p>
        </w:tc>
        <w:tc>
          <w:tcPr>
            <w:tcW w:w="2240" w:type="dxa"/>
            <w:tcBorders>
              <w:top w:val="nil"/>
              <w:left w:val="nil"/>
              <w:bottom w:val="single" w:sz="4" w:space="0" w:color="auto"/>
              <w:right w:val="single" w:sz="4" w:space="0" w:color="auto"/>
            </w:tcBorders>
            <w:shd w:val="clear" w:color="auto" w:fill="auto"/>
            <w:noWrap/>
            <w:vAlign w:val="center"/>
            <w:hideMark/>
          </w:tcPr>
          <w:p w14:paraId="3F70DD61" w14:textId="77777777" w:rsidR="00AB5A7E" w:rsidRPr="00AB5A7E" w:rsidRDefault="00AB5A7E" w:rsidP="00D35041">
            <w:pPr>
              <w:spacing w:after="0"/>
              <w:jc w:val="center"/>
            </w:pPr>
            <w:r w:rsidRPr="00AB5A7E">
              <w:t>4</w:t>
            </w:r>
          </w:p>
        </w:tc>
        <w:tc>
          <w:tcPr>
            <w:tcW w:w="3392" w:type="dxa"/>
            <w:tcBorders>
              <w:top w:val="nil"/>
              <w:left w:val="nil"/>
              <w:bottom w:val="single" w:sz="4" w:space="0" w:color="auto"/>
              <w:right w:val="single" w:sz="4" w:space="0" w:color="auto"/>
            </w:tcBorders>
            <w:shd w:val="clear" w:color="auto" w:fill="auto"/>
            <w:noWrap/>
            <w:vAlign w:val="center"/>
            <w:hideMark/>
          </w:tcPr>
          <w:p w14:paraId="67E9AACD" w14:textId="77777777" w:rsidR="00AB5A7E" w:rsidRPr="00AB5A7E" w:rsidRDefault="00AB5A7E" w:rsidP="00D35041">
            <w:pPr>
              <w:spacing w:after="0"/>
              <w:jc w:val="center"/>
            </w:pPr>
            <w:r w:rsidRPr="00AB5A7E">
              <w:t>0,63</w:t>
            </w:r>
          </w:p>
        </w:tc>
      </w:tr>
      <w:tr w:rsidR="00AB5A7E" w:rsidRPr="00AB5A7E" w14:paraId="65DC8242"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6496646F" w14:textId="77777777" w:rsidR="00AB5A7E" w:rsidRPr="00AB5A7E" w:rsidRDefault="00AB5A7E" w:rsidP="00D35041">
            <w:pPr>
              <w:spacing w:after="0"/>
              <w:jc w:val="center"/>
            </w:pPr>
            <w:r w:rsidRPr="00AB5A7E">
              <w:t>Nagórki</w:t>
            </w:r>
          </w:p>
        </w:tc>
        <w:tc>
          <w:tcPr>
            <w:tcW w:w="2240" w:type="dxa"/>
            <w:tcBorders>
              <w:top w:val="nil"/>
              <w:left w:val="nil"/>
              <w:bottom w:val="single" w:sz="4" w:space="0" w:color="auto"/>
              <w:right w:val="single" w:sz="4" w:space="0" w:color="auto"/>
            </w:tcBorders>
            <w:shd w:val="clear" w:color="auto" w:fill="auto"/>
            <w:noWrap/>
            <w:vAlign w:val="center"/>
            <w:hideMark/>
          </w:tcPr>
          <w:p w14:paraId="7897E48A" w14:textId="77777777" w:rsidR="00AB5A7E" w:rsidRPr="00AB5A7E" w:rsidRDefault="00AB5A7E" w:rsidP="00D35041">
            <w:pPr>
              <w:spacing w:after="0"/>
              <w:jc w:val="center"/>
            </w:pPr>
            <w:r w:rsidRPr="00AB5A7E">
              <w:t>7</w:t>
            </w:r>
          </w:p>
        </w:tc>
        <w:tc>
          <w:tcPr>
            <w:tcW w:w="3392" w:type="dxa"/>
            <w:tcBorders>
              <w:top w:val="nil"/>
              <w:left w:val="nil"/>
              <w:bottom w:val="single" w:sz="4" w:space="0" w:color="auto"/>
              <w:right w:val="single" w:sz="4" w:space="0" w:color="auto"/>
            </w:tcBorders>
            <w:shd w:val="clear" w:color="auto" w:fill="auto"/>
            <w:noWrap/>
            <w:vAlign w:val="center"/>
            <w:hideMark/>
          </w:tcPr>
          <w:p w14:paraId="762789C0" w14:textId="77777777" w:rsidR="00AB5A7E" w:rsidRPr="00AB5A7E" w:rsidRDefault="00AB5A7E" w:rsidP="00D35041">
            <w:pPr>
              <w:spacing w:after="0"/>
              <w:jc w:val="center"/>
            </w:pPr>
            <w:r w:rsidRPr="00AB5A7E">
              <w:t>0,62</w:t>
            </w:r>
          </w:p>
        </w:tc>
      </w:tr>
      <w:tr w:rsidR="00AB5A7E" w:rsidRPr="00AB5A7E" w14:paraId="4034A54D"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577E1363" w14:textId="77777777" w:rsidR="00AB5A7E" w:rsidRPr="00AB5A7E" w:rsidRDefault="00AB5A7E" w:rsidP="00D35041">
            <w:pPr>
              <w:spacing w:after="0"/>
              <w:jc w:val="center"/>
            </w:pPr>
            <w:r w:rsidRPr="00AB5A7E">
              <w:t>Kortowo</w:t>
            </w:r>
          </w:p>
        </w:tc>
        <w:tc>
          <w:tcPr>
            <w:tcW w:w="2240" w:type="dxa"/>
            <w:tcBorders>
              <w:top w:val="nil"/>
              <w:left w:val="nil"/>
              <w:bottom w:val="single" w:sz="4" w:space="0" w:color="auto"/>
              <w:right w:val="single" w:sz="4" w:space="0" w:color="auto"/>
            </w:tcBorders>
            <w:shd w:val="clear" w:color="auto" w:fill="auto"/>
            <w:noWrap/>
            <w:vAlign w:val="center"/>
            <w:hideMark/>
          </w:tcPr>
          <w:p w14:paraId="1ABAAF02" w14:textId="77777777" w:rsidR="00AB5A7E" w:rsidRPr="00AB5A7E" w:rsidRDefault="00AB5A7E" w:rsidP="00D35041">
            <w:pPr>
              <w:spacing w:after="0"/>
              <w:jc w:val="center"/>
            </w:pPr>
            <w:r w:rsidRPr="00AB5A7E">
              <w:t>1</w:t>
            </w:r>
          </w:p>
        </w:tc>
        <w:tc>
          <w:tcPr>
            <w:tcW w:w="3392" w:type="dxa"/>
            <w:tcBorders>
              <w:top w:val="nil"/>
              <w:left w:val="nil"/>
              <w:bottom w:val="single" w:sz="4" w:space="0" w:color="auto"/>
              <w:right w:val="single" w:sz="4" w:space="0" w:color="auto"/>
            </w:tcBorders>
            <w:shd w:val="clear" w:color="auto" w:fill="auto"/>
            <w:noWrap/>
            <w:vAlign w:val="center"/>
            <w:hideMark/>
          </w:tcPr>
          <w:p w14:paraId="06D8A4BD" w14:textId="77777777" w:rsidR="00AB5A7E" w:rsidRPr="00AB5A7E" w:rsidRDefault="00AB5A7E" w:rsidP="00D35041">
            <w:pPr>
              <w:spacing w:after="0"/>
              <w:jc w:val="center"/>
            </w:pPr>
            <w:r w:rsidRPr="00AB5A7E">
              <w:t>0,55</w:t>
            </w:r>
          </w:p>
        </w:tc>
      </w:tr>
      <w:tr w:rsidR="00AB5A7E" w:rsidRPr="00AB5A7E" w14:paraId="2EC79454"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3EB64F1E" w14:textId="7DFD20B2" w:rsidR="00AB5A7E" w:rsidRPr="00AB5A7E" w:rsidRDefault="00AB5A7E" w:rsidP="00D35041">
            <w:pPr>
              <w:spacing w:after="0"/>
              <w:jc w:val="center"/>
            </w:pPr>
            <w:r w:rsidRPr="00AB5A7E">
              <w:t>Ko</w:t>
            </w:r>
            <w:r w:rsidR="000F3FDB">
              <w:t>r</w:t>
            </w:r>
            <w:r w:rsidRPr="00AB5A7E">
              <w:t>moran</w:t>
            </w:r>
          </w:p>
        </w:tc>
        <w:tc>
          <w:tcPr>
            <w:tcW w:w="2240" w:type="dxa"/>
            <w:tcBorders>
              <w:top w:val="nil"/>
              <w:left w:val="nil"/>
              <w:bottom w:val="single" w:sz="4" w:space="0" w:color="auto"/>
              <w:right w:val="single" w:sz="4" w:space="0" w:color="auto"/>
            </w:tcBorders>
            <w:shd w:val="clear" w:color="auto" w:fill="auto"/>
            <w:noWrap/>
            <w:vAlign w:val="center"/>
            <w:hideMark/>
          </w:tcPr>
          <w:p w14:paraId="73060B0F" w14:textId="77777777" w:rsidR="00AB5A7E" w:rsidRPr="00AB5A7E" w:rsidRDefault="00AB5A7E" w:rsidP="00D35041">
            <w:pPr>
              <w:spacing w:after="0"/>
              <w:jc w:val="center"/>
            </w:pPr>
            <w:r w:rsidRPr="00AB5A7E">
              <w:t>7</w:t>
            </w:r>
          </w:p>
        </w:tc>
        <w:tc>
          <w:tcPr>
            <w:tcW w:w="3392" w:type="dxa"/>
            <w:tcBorders>
              <w:top w:val="nil"/>
              <w:left w:val="nil"/>
              <w:bottom w:val="single" w:sz="4" w:space="0" w:color="auto"/>
              <w:right w:val="single" w:sz="4" w:space="0" w:color="auto"/>
            </w:tcBorders>
            <w:shd w:val="clear" w:color="auto" w:fill="auto"/>
            <w:noWrap/>
            <w:vAlign w:val="center"/>
            <w:hideMark/>
          </w:tcPr>
          <w:p w14:paraId="49E3447F" w14:textId="77777777" w:rsidR="00AB5A7E" w:rsidRPr="00AB5A7E" w:rsidRDefault="00AB5A7E" w:rsidP="00D35041">
            <w:pPr>
              <w:spacing w:after="0"/>
              <w:jc w:val="center"/>
            </w:pPr>
            <w:r w:rsidRPr="00AB5A7E">
              <w:t>0,51</w:t>
            </w:r>
          </w:p>
        </w:tc>
      </w:tr>
      <w:tr w:rsidR="00AB5A7E" w:rsidRPr="00AB5A7E" w14:paraId="390AD3AF"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39922C57" w14:textId="77777777" w:rsidR="00AB5A7E" w:rsidRPr="00AB5A7E" w:rsidRDefault="00AB5A7E" w:rsidP="00D35041">
            <w:pPr>
              <w:spacing w:after="0"/>
              <w:jc w:val="center"/>
            </w:pPr>
            <w:r w:rsidRPr="00AB5A7E">
              <w:t>Mazurskie</w:t>
            </w:r>
          </w:p>
        </w:tc>
        <w:tc>
          <w:tcPr>
            <w:tcW w:w="2240" w:type="dxa"/>
            <w:tcBorders>
              <w:top w:val="nil"/>
              <w:left w:val="nil"/>
              <w:bottom w:val="single" w:sz="4" w:space="0" w:color="auto"/>
              <w:right w:val="single" w:sz="4" w:space="0" w:color="auto"/>
            </w:tcBorders>
            <w:shd w:val="clear" w:color="auto" w:fill="auto"/>
            <w:noWrap/>
            <w:vAlign w:val="center"/>
            <w:hideMark/>
          </w:tcPr>
          <w:p w14:paraId="37BBC692" w14:textId="77777777" w:rsidR="00AB5A7E" w:rsidRPr="00AB5A7E" w:rsidRDefault="00AB5A7E" w:rsidP="00D35041">
            <w:pPr>
              <w:spacing w:after="0"/>
              <w:jc w:val="center"/>
            </w:pPr>
            <w:r w:rsidRPr="00AB5A7E">
              <w:t>2</w:t>
            </w:r>
          </w:p>
        </w:tc>
        <w:tc>
          <w:tcPr>
            <w:tcW w:w="3392" w:type="dxa"/>
            <w:tcBorders>
              <w:top w:val="nil"/>
              <w:left w:val="nil"/>
              <w:bottom w:val="single" w:sz="4" w:space="0" w:color="auto"/>
              <w:right w:val="single" w:sz="4" w:space="0" w:color="auto"/>
            </w:tcBorders>
            <w:shd w:val="clear" w:color="auto" w:fill="auto"/>
            <w:noWrap/>
            <w:vAlign w:val="center"/>
            <w:hideMark/>
          </w:tcPr>
          <w:p w14:paraId="39BD9506" w14:textId="77777777" w:rsidR="00AB5A7E" w:rsidRPr="00AB5A7E" w:rsidRDefault="00AB5A7E" w:rsidP="00D35041">
            <w:pPr>
              <w:spacing w:after="0"/>
              <w:jc w:val="center"/>
            </w:pPr>
            <w:r w:rsidRPr="00AB5A7E">
              <w:t>0,39</w:t>
            </w:r>
          </w:p>
        </w:tc>
      </w:tr>
      <w:tr w:rsidR="00AB5A7E" w:rsidRPr="00AB5A7E" w14:paraId="120C270C"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6F67A581" w14:textId="77777777" w:rsidR="00AB5A7E" w:rsidRPr="00AB5A7E" w:rsidRDefault="00AB5A7E" w:rsidP="00D35041">
            <w:pPr>
              <w:spacing w:after="0"/>
              <w:jc w:val="center"/>
            </w:pPr>
            <w:r w:rsidRPr="00AB5A7E">
              <w:t>Podleśna</w:t>
            </w:r>
          </w:p>
        </w:tc>
        <w:tc>
          <w:tcPr>
            <w:tcW w:w="2240" w:type="dxa"/>
            <w:tcBorders>
              <w:top w:val="nil"/>
              <w:left w:val="nil"/>
              <w:bottom w:val="single" w:sz="4" w:space="0" w:color="auto"/>
              <w:right w:val="single" w:sz="4" w:space="0" w:color="auto"/>
            </w:tcBorders>
            <w:shd w:val="clear" w:color="auto" w:fill="auto"/>
            <w:noWrap/>
            <w:vAlign w:val="center"/>
            <w:hideMark/>
          </w:tcPr>
          <w:p w14:paraId="76454A42" w14:textId="77777777" w:rsidR="00AB5A7E" w:rsidRPr="00AB5A7E" w:rsidRDefault="00AB5A7E" w:rsidP="00D35041">
            <w:pPr>
              <w:spacing w:after="0"/>
              <w:jc w:val="center"/>
            </w:pPr>
            <w:r w:rsidRPr="00AB5A7E">
              <w:t>4</w:t>
            </w:r>
          </w:p>
        </w:tc>
        <w:tc>
          <w:tcPr>
            <w:tcW w:w="3392" w:type="dxa"/>
            <w:tcBorders>
              <w:top w:val="nil"/>
              <w:left w:val="nil"/>
              <w:bottom w:val="single" w:sz="4" w:space="0" w:color="auto"/>
              <w:right w:val="single" w:sz="4" w:space="0" w:color="auto"/>
            </w:tcBorders>
            <w:shd w:val="clear" w:color="auto" w:fill="auto"/>
            <w:noWrap/>
            <w:vAlign w:val="center"/>
            <w:hideMark/>
          </w:tcPr>
          <w:p w14:paraId="5B3EC4AE" w14:textId="77777777" w:rsidR="00AB5A7E" w:rsidRPr="00AB5A7E" w:rsidRDefault="00AB5A7E" w:rsidP="00D35041">
            <w:pPr>
              <w:spacing w:after="0"/>
              <w:jc w:val="center"/>
            </w:pPr>
            <w:r w:rsidRPr="00AB5A7E">
              <w:t>0,37</w:t>
            </w:r>
          </w:p>
        </w:tc>
      </w:tr>
      <w:tr w:rsidR="00AB5A7E" w:rsidRPr="00AB5A7E" w14:paraId="2FEDB2B4"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7742B70C" w14:textId="77777777" w:rsidR="00AB5A7E" w:rsidRPr="00AB5A7E" w:rsidRDefault="00AB5A7E" w:rsidP="00D35041">
            <w:pPr>
              <w:spacing w:after="0"/>
              <w:jc w:val="center"/>
            </w:pPr>
            <w:r w:rsidRPr="00AB5A7E">
              <w:t>Dajtki</w:t>
            </w:r>
          </w:p>
        </w:tc>
        <w:tc>
          <w:tcPr>
            <w:tcW w:w="2240" w:type="dxa"/>
            <w:tcBorders>
              <w:top w:val="nil"/>
              <w:left w:val="nil"/>
              <w:bottom w:val="single" w:sz="4" w:space="0" w:color="auto"/>
              <w:right w:val="single" w:sz="4" w:space="0" w:color="auto"/>
            </w:tcBorders>
            <w:shd w:val="clear" w:color="auto" w:fill="auto"/>
            <w:noWrap/>
            <w:vAlign w:val="center"/>
            <w:hideMark/>
          </w:tcPr>
          <w:p w14:paraId="55753055" w14:textId="77777777" w:rsidR="00AB5A7E" w:rsidRPr="00AB5A7E" w:rsidRDefault="00AB5A7E" w:rsidP="00D35041">
            <w:pPr>
              <w:spacing w:after="0"/>
              <w:jc w:val="center"/>
            </w:pPr>
            <w:r w:rsidRPr="00AB5A7E">
              <w:t>2</w:t>
            </w:r>
          </w:p>
        </w:tc>
        <w:tc>
          <w:tcPr>
            <w:tcW w:w="3392" w:type="dxa"/>
            <w:tcBorders>
              <w:top w:val="nil"/>
              <w:left w:val="nil"/>
              <w:bottom w:val="single" w:sz="4" w:space="0" w:color="auto"/>
              <w:right w:val="single" w:sz="4" w:space="0" w:color="auto"/>
            </w:tcBorders>
            <w:shd w:val="clear" w:color="auto" w:fill="auto"/>
            <w:noWrap/>
            <w:vAlign w:val="center"/>
            <w:hideMark/>
          </w:tcPr>
          <w:p w14:paraId="0BCC1927" w14:textId="77777777" w:rsidR="00AB5A7E" w:rsidRPr="00AB5A7E" w:rsidRDefault="00AB5A7E" w:rsidP="00D35041">
            <w:pPr>
              <w:spacing w:after="0"/>
              <w:jc w:val="center"/>
            </w:pPr>
            <w:r w:rsidRPr="00AB5A7E">
              <w:t>0,35</w:t>
            </w:r>
          </w:p>
        </w:tc>
      </w:tr>
      <w:tr w:rsidR="00AB5A7E" w:rsidRPr="00AB5A7E" w14:paraId="79819854"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4CED6C72" w14:textId="77777777" w:rsidR="00AB5A7E" w:rsidRPr="00AB5A7E" w:rsidRDefault="00AB5A7E" w:rsidP="00D35041">
            <w:pPr>
              <w:spacing w:after="0"/>
              <w:jc w:val="center"/>
            </w:pPr>
            <w:r w:rsidRPr="00AB5A7E">
              <w:t>Kętrzyńskiego</w:t>
            </w:r>
          </w:p>
        </w:tc>
        <w:tc>
          <w:tcPr>
            <w:tcW w:w="2240" w:type="dxa"/>
            <w:tcBorders>
              <w:top w:val="nil"/>
              <w:left w:val="nil"/>
              <w:bottom w:val="single" w:sz="4" w:space="0" w:color="auto"/>
              <w:right w:val="single" w:sz="4" w:space="0" w:color="auto"/>
            </w:tcBorders>
            <w:shd w:val="clear" w:color="auto" w:fill="auto"/>
            <w:noWrap/>
            <w:vAlign w:val="center"/>
            <w:hideMark/>
          </w:tcPr>
          <w:p w14:paraId="4B662F13" w14:textId="77777777" w:rsidR="00AB5A7E" w:rsidRPr="00AB5A7E" w:rsidRDefault="00AB5A7E" w:rsidP="00D35041">
            <w:pPr>
              <w:spacing w:after="0"/>
              <w:jc w:val="center"/>
            </w:pPr>
            <w:r w:rsidRPr="00AB5A7E">
              <w:t>2</w:t>
            </w:r>
          </w:p>
        </w:tc>
        <w:tc>
          <w:tcPr>
            <w:tcW w:w="3392" w:type="dxa"/>
            <w:tcBorders>
              <w:top w:val="nil"/>
              <w:left w:val="nil"/>
              <w:bottom w:val="single" w:sz="4" w:space="0" w:color="auto"/>
              <w:right w:val="single" w:sz="4" w:space="0" w:color="auto"/>
            </w:tcBorders>
            <w:shd w:val="clear" w:color="auto" w:fill="auto"/>
            <w:noWrap/>
            <w:vAlign w:val="center"/>
            <w:hideMark/>
          </w:tcPr>
          <w:p w14:paraId="2A28C7B1" w14:textId="77777777" w:rsidR="00AB5A7E" w:rsidRPr="00AB5A7E" w:rsidRDefault="00AB5A7E" w:rsidP="00D35041">
            <w:pPr>
              <w:spacing w:after="0"/>
              <w:jc w:val="center"/>
            </w:pPr>
            <w:r w:rsidRPr="00AB5A7E">
              <w:t>0,29</w:t>
            </w:r>
          </w:p>
        </w:tc>
      </w:tr>
      <w:tr w:rsidR="00AB5A7E" w:rsidRPr="00AB5A7E" w14:paraId="4422A33B"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7BBDD635" w14:textId="77777777" w:rsidR="00AB5A7E" w:rsidRPr="00AB5A7E" w:rsidRDefault="00AB5A7E" w:rsidP="00D35041">
            <w:pPr>
              <w:spacing w:after="0"/>
              <w:jc w:val="center"/>
            </w:pPr>
            <w:r w:rsidRPr="00AB5A7E">
              <w:t>Gutkowo</w:t>
            </w:r>
          </w:p>
        </w:tc>
        <w:tc>
          <w:tcPr>
            <w:tcW w:w="2240" w:type="dxa"/>
            <w:tcBorders>
              <w:top w:val="nil"/>
              <w:left w:val="nil"/>
              <w:bottom w:val="single" w:sz="4" w:space="0" w:color="auto"/>
              <w:right w:val="single" w:sz="4" w:space="0" w:color="auto"/>
            </w:tcBorders>
            <w:shd w:val="clear" w:color="auto" w:fill="auto"/>
            <w:noWrap/>
            <w:vAlign w:val="center"/>
            <w:hideMark/>
          </w:tcPr>
          <w:p w14:paraId="3CCFADA9" w14:textId="77777777" w:rsidR="00AB5A7E" w:rsidRPr="00AB5A7E" w:rsidRDefault="00AB5A7E" w:rsidP="00D35041">
            <w:pPr>
              <w:spacing w:after="0"/>
              <w:jc w:val="center"/>
            </w:pPr>
            <w:r w:rsidRPr="00AB5A7E">
              <w:t>1</w:t>
            </w:r>
          </w:p>
        </w:tc>
        <w:tc>
          <w:tcPr>
            <w:tcW w:w="3392" w:type="dxa"/>
            <w:tcBorders>
              <w:top w:val="nil"/>
              <w:left w:val="nil"/>
              <w:bottom w:val="single" w:sz="4" w:space="0" w:color="auto"/>
              <w:right w:val="single" w:sz="4" w:space="0" w:color="auto"/>
            </w:tcBorders>
            <w:shd w:val="clear" w:color="auto" w:fill="auto"/>
            <w:noWrap/>
            <w:vAlign w:val="center"/>
            <w:hideMark/>
          </w:tcPr>
          <w:p w14:paraId="0645F05C" w14:textId="77777777" w:rsidR="00AB5A7E" w:rsidRPr="00AB5A7E" w:rsidRDefault="00AB5A7E" w:rsidP="00D35041">
            <w:pPr>
              <w:spacing w:after="0"/>
              <w:jc w:val="center"/>
            </w:pPr>
            <w:r w:rsidRPr="00AB5A7E">
              <w:t>0,25</w:t>
            </w:r>
          </w:p>
        </w:tc>
      </w:tr>
      <w:tr w:rsidR="00AB5A7E" w:rsidRPr="00AB5A7E" w14:paraId="7CE779DE"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7FDCF5E8" w14:textId="77777777" w:rsidR="00AB5A7E" w:rsidRPr="00AB5A7E" w:rsidRDefault="00AB5A7E" w:rsidP="00D35041">
            <w:pPr>
              <w:spacing w:after="0"/>
              <w:jc w:val="center"/>
            </w:pPr>
            <w:r w:rsidRPr="00AB5A7E">
              <w:t>Pieczewo</w:t>
            </w:r>
          </w:p>
        </w:tc>
        <w:tc>
          <w:tcPr>
            <w:tcW w:w="2240" w:type="dxa"/>
            <w:tcBorders>
              <w:top w:val="nil"/>
              <w:left w:val="nil"/>
              <w:bottom w:val="single" w:sz="4" w:space="0" w:color="auto"/>
              <w:right w:val="single" w:sz="4" w:space="0" w:color="auto"/>
            </w:tcBorders>
            <w:shd w:val="clear" w:color="auto" w:fill="auto"/>
            <w:noWrap/>
            <w:vAlign w:val="center"/>
            <w:hideMark/>
          </w:tcPr>
          <w:p w14:paraId="5AD2BF90" w14:textId="77777777" w:rsidR="00AB5A7E" w:rsidRPr="00AB5A7E" w:rsidRDefault="00AB5A7E" w:rsidP="00D35041">
            <w:pPr>
              <w:spacing w:after="0"/>
              <w:jc w:val="center"/>
            </w:pPr>
            <w:r w:rsidRPr="00AB5A7E">
              <w:t>2</w:t>
            </w:r>
          </w:p>
        </w:tc>
        <w:tc>
          <w:tcPr>
            <w:tcW w:w="3392" w:type="dxa"/>
            <w:tcBorders>
              <w:top w:val="nil"/>
              <w:left w:val="nil"/>
              <w:bottom w:val="single" w:sz="4" w:space="0" w:color="auto"/>
              <w:right w:val="single" w:sz="4" w:space="0" w:color="auto"/>
            </w:tcBorders>
            <w:shd w:val="clear" w:color="auto" w:fill="auto"/>
            <w:noWrap/>
            <w:vAlign w:val="center"/>
            <w:hideMark/>
          </w:tcPr>
          <w:p w14:paraId="620BE1EF" w14:textId="77777777" w:rsidR="00AB5A7E" w:rsidRPr="00AB5A7E" w:rsidRDefault="00AB5A7E" w:rsidP="00D35041">
            <w:pPr>
              <w:spacing w:after="0"/>
              <w:jc w:val="center"/>
            </w:pPr>
            <w:r w:rsidRPr="00AB5A7E">
              <w:t>0,20</w:t>
            </w:r>
          </w:p>
        </w:tc>
      </w:tr>
      <w:tr w:rsidR="00AB5A7E" w:rsidRPr="00AB5A7E" w14:paraId="27282F0C"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573B3701" w14:textId="77777777" w:rsidR="00AB5A7E" w:rsidRPr="00AB5A7E" w:rsidRDefault="00AB5A7E" w:rsidP="00D35041">
            <w:pPr>
              <w:spacing w:after="0"/>
              <w:jc w:val="center"/>
            </w:pPr>
            <w:r w:rsidRPr="00AB5A7E">
              <w:t>Podgrodzie</w:t>
            </w:r>
          </w:p>
        </w:tc>
        <w:tc>
          <w:tcPr>
            <w:tcW w:w="2240" w:type="dxa"/>
            <w:tcBorders>
              <w:top w:val="nil"/>
              <w:left w:val="nil"/>
              <w:bottom w:val="single" w:sz="4" w:space="0" w:color="auto"/>
              <w:right w:val="single" w:sz="4" w:space="0" w:color="auto"/>
            </w:tcBorders>
            <w:shd w:val="clear" w:color="auto" w:fill="auto"/>
            <w:noWrap/>
            <w:vAlign w:val="center"/>
            <w:hideMark/>
          </w:tcPr>
          <w:p w14:paraId="15B9F6DC" w14:textId="77777777" w:rsidR="00AB5A7E" w:rsidRPr="00AB5A7E" w:rsidRDefault="00AB5A7E" w:rsidP="00D35041">
            <w:pPr>
              <w:spacing w:after="0"/>
              <w:jc w:val="center"/>
            </w:pPr>
            <w:r w:rsidRPr="00AB5A7E">
              <w:t>2</w:t>
            </w:r>
          </w:p>
        </w:tc>
        <w:tc>
          <w:tcPr>
            <w:tcW w:w="3392" w:type="dxa"/>
            <w:tcBorders>
              <w:top w:val="nil"/>
              <w:left w:val="nil"/>
              <w:bottom w:val="single" w:sz="4" w:space="0" w:color="auto"/>
              <w:right w:val="single" w:sz="4" w:space="0" w:color="auto"/>
            </w:tcBorders>
            <w:shd w:val="clear" w:color="auto" w:fill="auto"/>
            <w:noWrap/>
            <w:vAlign w:val="center"/>
            <w:hideMark/>
          </w:tcPr>
          <w:p w14:paraId="1A401311" w14:textId="77777777" w:rsidR="00AB5A7E" w:rsidRPr="00AB5A7E" w:rsidRDefault="00AB5A7E" w:rsidP="00D35041">
            <w:pPr>
              <w:spacing w:after="0"/>
              <w:jc w:val="center"/>
            </w:pPr>
            <w:r w:rsidRPr="00AB5A7E">
              <w:t>0,20</w:t>
            </w:r>
          </w:p>
        </w:tc>
      </w:tr>
      <w:tr w:rsidR="00AB5A7E" w:rsidRPr="00AB5A7E" w14:paraId="7667475D"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4BA197DB" w14:textId="77777777" w:rsidR="00AB5A7E" w:rsidRPr="00AB5A7E" w:rsidRDefault="00AB5A7E" w:rsidP="00D35041">
            <w:pPr>
              <w:spacing w:after="0"/>
              <w:jc w:val="center"/>
            </w:pPr>
            <w:r w:rsidRPr="00AB5A7E">
              <w:t>Jaroty</w:t>
            </w:r>
          </w:p>
        </w:tc>
        <w:tc>
          <w:tcPr>
            <w:tcW w:w="2240" w:type="dxa"/>
            <w:tcBorders>
              <w:top w:val="nil"/>
              <w:left w:val="nil"/>
              <w:bottom w:val="single" w:sz="4" w:space="0" w:color="auto"/>
              <w:right w:val="single" w:sz="4" w:space="0" w:color="auto"/>
            </w:tcBorders>
            <w:shd w:val="clear" w:color="auto" w:fill="auto"/>
            <w:noWrap/>
            <w:vAlign w:val="center"/>
            <w:hideMark/>
          </w:tcPr>
          <w:p w14:paraId="114B84C1" w14:textId="77777777" w:rsidR="00AB5A7E" w:rsidRPr="00AB5A7E" w:rsidRDefault="00AB5A7E" w:rsidP="00D35041">
            <w:pPr>
              <w:spacing w:after="0"/>
              <w:jc w:val="center"/>
            </w:pPr>
            <w:r w:rsidRPr="00AB5A7E">
              <w:t>5</w:t>
            </w:r>
          </w:p>
        </w:tc>
        <w:tc>
          <w:tcPr>
            <w:tcW w:w="3392" w:type="dxa"/>
            <w:tcBorders>
              <w:top w:val="nil"/>
              <w:left w:val="nil"/>
              <w:bottom w:val="single" w:sz="4" w:space="0" w:color="auto"/>
              <w:right w:val="single" w:sz="4" w:space="0" w:color="auto"/>
            </w:tcBorders>
            <w:shd w:val="clear" w:color="auto" w:fill="auto"/>
            <w:noWrap/>
            <w:vAlign w:val="center"/>
            <w:hideMark/>
          </w:tcPr>
          <w:p w14:paraId="19308B93" w14:textId="77777777" w:rsidR="00AB5A7E" w:rsidRPr="00AB5A7E" w:rsidRDefault="00AB5A7E" w:rsidP="00D35041">
            <w:pPr>
              <w:spacing w:after="0"/>
              <w:jc w:val="center"/>
            </w:pPr>
            <w:r w:rsidRPr="00AB5A7E">
              <w:t>0,19</w:t>
            </w:r>
          </w:p>
        </w:tc>
      </w:tr>
      <w:tr w:rsidR="00AB5A7E" w:rsidRPr="00AB5A7E" w14:paraId="1D2B3877"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7329A721" w14:textId="77777777" w:rsidR="00AB5A7E" w:rsidRPr="00AB5A7E" w:rsidRDefault="00AB5A7E" w:rsidP="00D35041">
            <w:pPr>
              <w:spacing w:after="0"/>
              <w:jc w:val="center"/>
            </w:pPr>
            <w:r w:rsidRPr="00AB5A7E">
              <w:t>Grunwaldzkie</w:t>
            </w:r>
          </w:p>
        </w:tc>
        <w:tc>
          <w:tcPr>
            <w:tcW w:w="2240" w:type="dxa"/>
            <w:tcBorders>
              <w:top w:val="nil"/>
              <w:left w:val="nil"/>
              <w:bottom w:val="single" w:sz="4" w:space="0" w:color="auto"/>
              <w:right w:val="single" w:sz="4" w:space="0" w:color="auto"/>
            </w:tcBorders>
            <w:shd w:val="clear" w:color="auto" w:fill="auto"/>
            <w:noWrap/>
            <w:vAlign w:val="center"/>
            <w:hideMark/>
          </w:tcPr>
          <w:p w14:paraId="1FFD9001" w14:textId="77777777" w:rsidR="00AB5A7E" w:rsidRPr="00AB5A7E" w:rsidRDefault="00AB5A7E" w:rsidP="00D35041">
            <w:pPr>
              <w:spacing w:after="0"/>
              <w:jc w:val="center"/>
            </w:pPr>
            <w:r w:rsidRPr="00AB5A7E">
              <w:t>1</w:t>
            </w:r>
          </w:p>
        </w:tc>
        <w:tc>
          <w:tcPr>
            <w:tcW w:w="3392" w:type="dxa"/>
            <w:tcBorders>
              <w:top w:val="nil"/>
              <w:left w:val="nil"/>
              <w:bottom w:val="single" w:sz="4" w:space="0" w:color="auto"/>
              <w:right w:val="single" w:sz="4" w:space="0" w:color="auto"/>
            </w:tcBorders>
            <w:shd w:val="clear" w:color="auto" w:fill="auto"/>
            <w:noWrap/>
            <w:vAlign w:val="center"/>
            <w:hideMark/>
          </w:tcPr>
          <w:p w14:paraId="5D8A494F" w14:textId="77777777" w:rsidR="00AB5A7E" w:rsidRPr="00AB5A7E" w:rsidRDefault="00AB5A7E" w:rsidP="00D35041">
            <w:pPr>
              <w:spacing w:after="0"/>
              <w:jc w:val="center"/>
            </w:pPr>
            <w:r w:rsidRPr="00AB5A7E">
              <w:t>0,18</w:t>
            </w:r>
          </w:p>
        </w:tc>
      </w:tr>
      <w:tr w:rsidR="00AB5A7E" w:rsidRPr="00AB5A7E" w14:paraId="3BE659C1"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1E21DBC3" w14:textId="77777777" w:rsidR="00AB5A7E" w:rsidRPr="00AB5A7E" w:rsidRDefault="00AB5A7E" w:rsidP="00D35041">
            <w:pPr>
              <w:spacing w:after="0"/>
              <w:jc w:val="center"/>
            </w:pPr>
            <w:r w:rsidRPr="00AB5A7E">
              <w:t>Generałów</w:t>
            </w:r>
          </w:p>
        </w:tc>
        <w:tc>
          <w:tcPr>
            <w:tcW w:w="2240" w:type="dxa"/>
            <w:tcBorders>
              <w:top w:val="nil"/>
              <w:left w:val="nil"/>
              <w:bottom w:val="single" w:sz="4" w:space="0" w:color="auto"/>
              <w:right w:val="single" w:sz="4" w:space="0" w:color="auto"/>
            </w:tcBorders>
            <w:shd w:val="clear" w:color="auto" w:fill="auto"/>
            <w:noWrap/>
            <w:vAlign w:val="center"/>
            <w:hideMark/>
          </w:tcPr>
          <w:p w14:paraId="13F899F7" w14:textId="77777777" w:rsidR="00AB5A7E" w:rsidRPr="00AB5A7E" w:rsidRDefault="00AB5A7E" w:rsidP="00D35041">
            <w:pPr>
              <w:spacing w:after="0"/>
              <w:jc w:val="center"/>
            </w:pPr>
            <w:r w:rsidRPr="00AB5A7E">
              <w:t>1</w:t>
            </w:r>
          </w:p>
        </w:tc>
        <w:tc>
          <w:tcPr>
            <w:tcW w:w="3392" w:type="dxa"/>
            <w:tcBorders>
              <w:top w:val="nil"/>
              <w:left w:val="nil"/>
              <w:bottom w:val="single" w:sz="4" w:space="0" w:color="auto"/>
              <w:right w:val="single" w:sz="4" w:space="0" w:color="auto"/>
            </w:tcBorders>
            <w:shd w:val="clear" w:color="auto" w:fill="auto"/>
            <w:noWrap/>
            <w:vAlign w:val="center"/>
            <w:hideMark/>
          </w:tcPr>
          <w:p w14:paraId="43374F34" w14:textId="77777777" w:rsidR="00AB5A7E" w:rsidRPr="00AB5A7E" w:rsidRDefault="00AB5A7E" w:rsidP="00D35041">
            <w:pPr>
              <w:spacing w:after="0"/>
              <w:jc w:val="center"/>
            </w:pPr>
            <w:r w:rsidRPr="00AB5A7E">
              <w:t>0,09</w:t>
            </w:r>
          </w:p>
        </w:tc>
      </w:tr>
      <w:tr w:rsidR="00AB5A7E" w:rsidRPr="00AB5A7E" w14:paraId="4484E254"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0F0E0F1E" w14:textId="77777777" w:rsidR="00AB5A7E" w:rsidRPr="00AB5A7E" w:rsidRDefault="00AB5A7E" w:rsidP="00D35041">
            <w:pPr>
              <w:spacing w:after="0"/>
              <w:jc w:val="center"/>
            </w:pPr>
            <w:r w:rsidRPr="00AB5A7E">
              <w:t>Brzeziny</w:t>
            </w:r>
          </w:p>
        </w:tc>
        <w:tc>
          <w:tcPr>
            <w:tcW w:w="2240" w:type="dxa"/>
            <w:tcBorders>
              <w:top w:val="nil"/>
              <w:left w:val="nil"/>
              <w:bottom w:val="single" w:sz="4" w:space="0" w:color="auto"/>
              <w:right w:val="single" w:sz="4" w:space="0" w:color="auto"/>
            </w:tcBorders>
            <w:shd w:val="clear" w:color="auto" w:fill="auto"/>
            <w:noWrap/>
            <w:vAlign w:val="center"/>
            <w:hideMark/>
          </w:tcPr>
          <w:p w14:paraId="2966A8BF" w14:textId="77777777" w:rsidR="00AB5A7E" w:rsidRPr="00AB5A7E" w:rsidRDefault="00AB5A7E" w:rsidP="00D35041">
            <w:pPr>
              <w:spacing w:after="0"/>
              <w:jc w:val="center"/>
            </w:pPr>
            <w:r w:rsidRPr="00AB5A7E">
              <w:t>0</w:t>
            </w:r>
          </w:p>
        </w:tc>
        <w:tc>
          <w:tcPr>
            <w:tcW w:w="3392" w:type="dxa"/>
            <w:tcBorders>
              <w:top w:val="nil"/>
              <w:left w:val="nil"/>
              <w:bottom w:val="single" w:sz="4" w:space="0" w:color="auto"/>
              <w:right w:val="single" w:sz="4" w:space="0" w:color="auto"/>
            </w:tcBorders>
            <w:shd w:val="clear" w:color="auto" w:fill="auto"/>
            <w:noWrap/>
            <w:vAlign w:val="center"/>
            <w:hideMark/>
          </w:tcPr>
          <w:p w14:paraId="62647FBA" w14:textId="77777777" w:rsidR="00AB5A7E" w:rsidRPr="00AB5A7E" w:rsidRDefault="00AB5A7E" w:rsidP="00D35041">
            <w:pPr>
              <w:spacing w:after="0"/>
              <w:jc w:val="center"/>
            </w:pPr>
            <w:r w:rsidRPr="00AB5A7E">
              <w:t>0,00</w:t>
            </w:r>
          </w:p>
        </w:tc>
      </w:tr>
      <w:tr w:rsidR="00AB5A7E" w:rsidRPr="00AB5A7E" w14:paraId="2ABCF593"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38EB8F9A" w14:textId="77777777" w:rsidR="00AB5A7E" w:rsidRPr="00AB5A7E" w:rsidRDefault="00AB5A7E" w:rsidP="00D35041">
            <w:pPr>
              <w:spacing w:after="0"/>
              <w:jc w:val="center"/>
            </w:pPr>
            <w:r w:rsidRPr="00AB5A7E">
              <w:t>Likusy</w:t>
            </w:r>
          </w:p>
        </w:tc>
        <w:tc>
          <w:tcPr>
            <w:tcW w:w="2240" w:type="dxa"/>
            <w:tcBorders>
              <w:top w:val="nil"/>
              <w:left w:val="nil"/>
              <w:bottom w:val="single" w:sz="4" w:space="0" w:color="auto"/>
              <w:right w:val="single" w:sz="4" w:space="0" w:color="auto"/>
            </w:tcBorders>
            <w:shd w:val="clear" w:color="auto" w:fill="auto"/>
            <w:noWrap/>
            <w:vAlign w:val="center"/>
            <w:hideMark/>
          </w:tcPr>
          <w:p w14:paraId="3FF0CDAE" w14:textId="77777777" w:rsidR="00AB5A7E" w:rsidRPr="00AB5A7E" w:rsidRDefault="00AB5A7E" w:rsidP="00D35041">
            <w:pPr>
              <w:spacing w:after="0"/>
              <w:jc w:val="center"/>
            </w:pPr>
            <w:r w:rsidRPr="00AB5A7E">
              <w:t>0</w:t>
            </w:r>
          </w:p>
        </w:tc>
        <w:tc>
          <w:tcPr>
            <w:tcW w:w="3392" w:type="dxa"/>
            <w:tcBorders>
              <w:top w:val="nil"/>
              <w:left w:val="nil"/>
              <w:bottom w:val="single" w:sz="4" w:space="0" w:color="auto"/>
              <w:right w:val="single" w:sz="4" w:space="0" w:color="auto"/>
            </w:tcBorders>
            <w:shd w:val="clear" w:color="auto" w:fill="auto"/>
            <w:noWrap/>
            <w:vAlign w:val="center"/>
            <w:hideMark/>
          </w:tcPr>
          <w:p w14:paraId="140F51AC" w14:textId="77777777" w:rsidR="00AB5A7E" w:rsidRPr="00AB5A7E" w:rsidRDefault="00AB5A7E" w:rsidP="00D35041">
            <w:pPr>
              <w:spacing w:after="0"/>
              <w:jc w:val="center"/>
            </w:pPr>
            <w:r w:rsidRPr="00AB5A7E">
              <w:t>0,00</w:t>
            </w:r>
          </w:p>
        </w:tc>
      </w:tr>
      <w:tr w:rsidR="00AB5A7E" w:rsidRPr="00AB5A7E" w14:paraId="7BBDE48F"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2E25C3D2" w14:textId="77777777" w:rsidR="00AB5A7E" w:rsidRPr="00AB5A7E" w:rsidRDefault="00AB5A7E" w:rsidP="00D35041">
            <w:pPr>
              <w:spacing w:after="0"/>
              <w:jc w:val="center"/>
            </w:pPr>
            <w:r w:rsidRPr="00AB5A7E">
              <w:t>Redykajny</w:t>
            </w:r>
          </w:p>
        </w:tc>
        <w:tc>
          <w:tcPr>
            <w:tcW w:w="2240" w:type="dxa"/>
            <w:tcBorders>
              <w:top w:val="nil"/>
              <w:left w:val="nil"/>
              <w:bottom w:val="single" w:sz="4" w:space="0" w:color="auto"/>
              <w:right w:val="single" w:sz="4" w:space="0" w:color="auto"/>
            </w:tcBorders>
            <w:shd w:val="clear" w:color="auto" w:fill="auto"/>
            <w:noWrap/>
            <w:vAlign w:val="center"/>
            <w:hideMark/>
          </w:tcPr>
          <w:p w14:paraId="79D62AB3" w14:textId="77777777" w:rsidR="00AB5A7E" w:rsidRPr="00AB5A7E" w:rsidRDefault="00AB5A7E" w:rsidP="00D35041">
            <w:pPr>
              <w:spacing w:after="0"/>
              <w:jc w:val="center"/>
            </w:pPr>
            <w:r w:rsidRPr="00AB5A7E">
              <w:t>0</w:t>
            </w:r>
          </w:p>
        </w:tc>
        <w:tc>
          <w:tcPr>
            <w:tcW w:w="3392" w:type="dxa"/>
            <w:tcBorders>
              <w:top w:val="nil"/>
              <w:left w:val="nil"/>
              <w:bottom w:val="single" w:sz="4" w:space="0" w:color="auto"/>
              <w:right w:val="single" w:sz="4" w:space="0" w:color="auto"/>
            </w:tcBorders>
            <w:shd w:val="clear" w:color="auto" w:fill="auto"/>
            <w:noWrap/>
            <w:vAlign w:val="center"/>
            <w:hideMark/>
          </w:tcPr>
          <w:p w14:paraId="283105F2" w14:textId="77777777" w:rsidR="00AB5A7E" w:rsidRPr="00AB5A7E" w:rsidRDefault="00AB5A7E" w:rsidP="00D35041">
            <w:pPr>
              <w:spacing w:after="0"/>
              <w:jc w:val="center"/>
            </w:pPr>
            <w:r w:rsidRPr="00AB5A7E">
              <w:t>0,00</w:t>
            </w:r>
          </w:p>
        </w:tc>
      </w:tr>
      <w:tr w:rsidR="00AB5A7E" w:rsidRPr="00AB5A7E" w14:paraId="392E4ADD" w14:textId="77777777" w:rsidTr="00A12C6F">
        <w:trPr>
          <w:trHeight w:val="300"/>
          <w:jc w:val="center"/>
        </w:trPr>
        <w:tc>
          <w:tcPr>
            <w:tcW w:w="3305" w:type="dxa"/>
            <w:tcBorders>
              <w:top w:val="nil"/>
              <w:left w:val="single" w:sz="4" w:space="0" w:color="auto"/>
              <w:bottom w:val="single" w:sz="4" w:space="0" w:color="auto"/>
              <w:right w:val="single" w:sz="4" w:space="0" w:color="auto"/>
            </w:tcBorders>
            <w:shd w:val="clear" w:color="auto" w:fill="auto"/>
            <w:noWrap/>
            <w:vAlign w:val="center"/>
            <w:hideMark/>
          </w:tcPr>
          <w:p w14:paraId="3EF64560" w14:textId="77777777" w:rsidR="00AB5A7E" w:rsidRPr="00AB5A7E" w:rsidRDefault="00AB5A7E" w:rsidP="00D35041">
            <w:pPr>
              <w:spacing w:after="0"/>
              <w:jc w:val="center"/>
            </w:pPr>
            <w:r w:rsidRPr="00AB5A7E">
              <w:t>Zielona Górka</w:t>
            </w:r>
          </w:p>
        </w:tc>
        <w:tc>
          <w:tcPr>
            <w:tcW w:w="2240" w:type="dxa"/>
            <w:tcBorders>
              <w:top w:val="nil"/>
              <w:left w:val="nil"/>
              <w:bottom w:val="single" w:sz="4" w:space="0" w:color="auto"/>
              <w:right w:val="single" w:sz="4" w:space="0" w:color="auto"/>
            </w:tcBorders>
            <w:shd w:val="clear" w:color="auto" w:fill="auto"/>
            <w:noWrap/>
            <w:vAlign w:val="center"/>
            <w:hideMark/>
          </w:tcPr>
          <w:p w14:paraId="08D03E6F" w14:textId="77777777" w:rsidR="00AB5A7E" w:rsidRPr="00AB5A7E" w:rsidRDefault="00AB5A7E" w:rsidP="00D35041">
            <w:pPr>
              <w:spacing w:after="0"/>
              <w:jc w:val="center"/>
            </w:pPr>
            <w:r w:rsidRPr="00AB5A7E">
              <w:t>0</w:t>
            </w:r>
          </w:p>
        </w:tc>
        <w:tc>
          <w:tcPr>
            <w:tcW w:w="3392" w:type="dxa"/>
            <w:tcBorders>
              <w:top w:val="nil"/>
              <w:left w:val="nil"/>
              <w:bottom w:val="single" w:sz="4" w:space="0" w:color="auto"/>
              <w:right w:val="single" w:sz="4" w:space="0" w:color="auto"/>
            </w:tcBorders>
            <w:shd w:val="clear" w:color="auto" w:fill="auto"/>
            <w:noWrap/>
            <w:vAlign w:val="center"/>
            <w:hideMark/>
          </w:tcPr>
          <w:p w14:paraId="37F7D189" w14:textId="77777777" w:rsidR="00AB5A7E" w:rsidRPr="00AB5A7E" w:rsidRDefault="00AB5A7E" w:rsidP="00D35041">
            <w:pPr>
              <w:spacing w:after="0"/>
              <w:jc w:val="center"/>
            </w:pPr>
            <w:r w:rsidRPr="00AB5A7E">
              <w:t>0,00</w:t>
            </w:r>
          </w:p>
        </w:tc>
      </w:tr>
    </w:tbl>
    <w:p w14:paraId="3FFACECF" w14:textId="10145B82" w:rsidR="00AB5A7E" w:rsidRDefault="008E0AF2" w:rsidP="008E0AF2">
      <w:pPr>
        <w:spacing w:after="120"/>
        <w:jc w:val="center"/>
        <w:rPr>
          <w:i/>
          <w:sz w:val="20"/>
        </w:rPr>
      </w:pPr>
      <w:r w:rsidRPr="008E0AF2">
        <w:rPr>
          <w:i/>
          <w:sz w:val="20"/>
        </w:rPr>
        <w:t>ź</w:t>
      </w:r>
      <w:r w:rsidR="00A12C6F" w:rsidRPr="008E0AF2">
        <w:rPr>
          <w:i/>
          <w:sz w:val="20"/>
        </w:rPr>
        <w:t>ródło danych: https://olsztyn.eu/edukacja/jednostki-oswiatowe/jednostki-oswiatowe-prowadzone-przez-miasto-olsztyn.html i opracowanie własne</w:t>
      </w:r>
    </w:p>
    <w:p w14:paraId="78074D49" w14:textId="54E97913" w:rsidR="008E0AF2" w:rsidRDefault="008E0AF2">
      <w:pPr>
        <w:rPr>
          <w:i/>
          <w:sz w:val="20"/>
        </w:rPr>
      </w:pPr>
      <w:r>
        <w:rPr>
          <w:i/>
          <w:sz w:val="20"/>
        </w:rPr>
        <w:br w:type="page"/>
      </w:r>
    </w:p>
    <w:p w14:paraId="6C596A53" w14:textId="0F4031BE" w:rsidR="00E170BA" w:rsidRPr="00E170BA" w:rsidRDefault="00E170BA" w:rsidP="00E170BA">
      <w:pPr>
        <w:pStyle w:val="Legenda"/>
        <w:rPr>
          <w:sz w:val="22"/>
          <w:szCs w:val="22"/>
          <w:lang w:val="pl-PL"/>
        </w:rPr>
      </w:pPr>
      <w:bookmarkStart w:id="246" w:name="_Toc73516181"/>
      <w:r w:rsidRPr="00E170BA">
        <w:rPr>
          <w:sz w:val="22"/>
          <w:szCs w:val="22"/>
          <w:lang w:val="pl-PL"/>
        </w:rPr>
        <w:lastRenderedPageBreak/>
        <w:t xml:space="preserve">Rysunek </w:t>
      </w:r>
      <w:r w:rsidRPr="00E170BA">
        <w:rPr>
          <w:sz w:val="22"/>
          <w:szCs w:val="22"/>
        </w:rPr>
        <w:fldChar w:fldCharType="begin"/>
      </w:r>
      <w:r w:rsidRPr="00E170BA">
        <w:rPr>
          <w:sz w:val="22"/>
          <w:szCs w:val="22"/>
          <w:lang w:val="pl-PL"/>
        </w:rPr>
        <w:instrText xml:space="preserve"> SEQ Rysunek \* ARABIC </w:instrText>
      </w:r>
      <w:r w:rsidRPr="00E170BA">
        <w:rPr>
          <w:sz w:val="22"/>
          <w:szCs w:val="22"/>
        </w:rPr>
        <w:fldChar w:fldCharType="separate"/>
      </w:r>
      <w:r w:rsidR="00AD58C3">
        <w:rPr>
          <w:noProof/>
          <w:sz w:val="22"/>
          <w:szCs w:val="22"/>
          <w:lang w:val="pl-PL"/>
        </w:rPr>
        <w:t>16</w:t>
      </w:r>
      <w:r w:rsidRPr="00E170BA">
        <w:rPr>
          <w:sz w:val="22"/>
          <w:szCs w:val="22"/>
        </w:rPr>
        <w:fldChar w:fldCharType="end"/>
      </w:r>
      <w:r w:rsidRPr="00E170BA">
        <w:rPr>
          <w:sz w:val="22"/>
          <w:szCs w:val="22"/>
          <w:lang w:val="pl-PL"/>
        </w:rPr>
        <w:t xml:space="preserve">. Jednostki oświatowe na 1 tys. mieszkańców w </w:t>
      </w:r>
      <w:r>
        <w:rPr>
          <w:sz w:val="22"/>
          <w:szCs w:val="22"/>
          <w:lang w:val="pl-PL"/>
        </w:rPr>
        <w:t>Olsztynie</w:t>
      </w:r>
      <w:bookmarkEnd w:id="246"/>
    </w:p>
    <w:p w14:paraId="0A3C7C73" w14:textId="77777777" w:rsidR="00AA5E33" w:rsidRDefault="00AB5A7E" w:rsidP="00AA5E33">
      <w:pPr>
        <w:keepNext/>
        <w:spacing w:after="120"/>
        <w:jc w:val="center"/>
      </w:pPr>
      <w:r w:rsidRPr="00AB5A7E">
        <w:rPr>
          <w:noProof/>
          <w:lang w:eastAsia="pl-PL"/>
        </w:rPr>
        <w:drawing>
          <wp:inline distT="0" distB="0" distL="0" distR="0" wp14:anchorId="66D92F9B" wp14:editId="35043A1B">
            <wp:extent cx="5760720" cy="5039995"/>
            <wp:effectExtent l="0" t="0" r="0" b="8255"/>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60720" cy="5039995"/>
                    </a:xfrm>
                    <a:prstGeom prst="rect">
                      <a:avLst/>
                    </a:prstGeom>
                  </pic:spPr>
                </pic:pic>
              </a:graphicData>
            </a:graphic>
          </wp:inline>
        </w:drawing>
      </w:r>
    </w:p>
    <w:p w14:paraId="13DCC2D4" w14:textId="3E120C08" w:rsidR="00AB5A7E" w:rsidRPr="003F5DFC" w:rsidRDefault="00AA5E33" w:rsidP="00AA5E33">
      <w:pPr>
        <w:pStyle w:val="Legenda"/>
        <w:jc w:val="center"/>
        <w:rPr>
          <w:sz w:val="20"/>
          <w:lang w:val="pl-PL"/>
        </w:rPr>
      </w:pPr>
      <w:r w:rsidRPr="00AA5E33">
        <w:rPr>
          <w:sz w:val="20"/>
          <w:lang w:val="pl-PL"/>
        </w:rPr>
        <w:t xml:space="preserve">Źródło danych: https://olsztyn.eu/edukacja/jednostki-oswiatowe/jednostki-oswiatowe-prowadzone-przez-miasto-olsztyn.html i opracowanie własne. </w:t>
      </w:r>
      <w:r w:rsidRPr="003F5DFC">
        <w:rPr>
          <w:sz w:val="20"/>
          <w:lang w:val="pl-PL"/>
        </w:rPr>
        <w:t>Podkład: Mapa Akustyczna Olsztyna; str. 10</w:t>
      </w:r>
    </w:p>
    <w:p w14:paraId="0F673C67" w14:textId="77777777" w:rsidR="00930DFC" w:rsidRPr="00ED4EDD" w:rsidRDefault="00930DFC" w:rsidP="00930DFC">
      <w:pPr>
        <w:spacing w:after="120"/>
        <w:jc w:val="both"/>
      </w:pPr>
    </w:p>
    <w:p w14:paraId="0684F065" w14:textId="45E8176F" w:rsidR="00930DFC" w:rsidRPr="00ED4EDD" w:rsidRDefault="00836250" w:rsidP="00930DFC">
      <w:pPr>
        <w:pStyle w:val="Nagwek3"/>
        <w:rPr>
          <w:sz w:val="22"/>
          <w:szCs w:val="22"/>
        </w:rPr>
      </w:pPr>
      <w:bookmarkStart w:id="247" w:name="_Toc49504799"/>
      <w:bookmarkStart w:id="248" w:name="_Toc73534938"/>
      <w:r>
        <w:rPr>
          <w:sz w:val="22"/>
          <w:szCs w:val="22"/>
        </w:rPr>
        <w:t xml:space="preserve">4.1.1 </w:t>
      </w:r>
      <w:r w:rsidR="00930DFC" w:rsidRPr="00ED4EDD">
        <w:rPr>
          <w:sz w:val="22"/>
          <w:szCs w:val="22"/>
        </w:rPr>
        <w:t>Opieka żłobkowa</w:t>
      </w:r>
      <w:bookmarkEnd w:id="247"/>
      <w:bookmarkEnd w:id="248"/>
    </w:p>
    <w:p w14:paraId="35071647" w14:textId="44EC0968" w:rsidR="00930DFC" w:rsidRDefault="00BC07EA" w:rsidP="00930DFC">
      <w:pPr>
        <w:jc w:val="both"/>
      </w:pPr>
      <w:r>
        <w:t>W latach 2013-2019 we wszystkich omawianych miastach Polski Wschodniej widoczny jest stały przyrost dzieci najmłodszych objętych opieką w żłobkach oraz klubach dziecięcych.</w:t>
      </w:r>
      <w:r w:rsidR="00665CA6">
        <w:t xml:space="preserve"> W Olsztynie odsetek dzieci </w:t>
      </w:r>
      <w:r w:rsidR="0038252B">
        <w:t xml:space="preserve">w wieku do 3 lat </w:t>
      </w:r>
      <w:r w:rsidR="00665CA6">
        <w:t>objętych opieką wzrósł o blisko 52%</w:t>
      </w:r>
      <w:r>
        <w:t xml:space="preserve"> </w:t>
      </w:r>
      <w:r w:rsidR="00665CA6">
        <w:t xml:space="preserve">w roku 2019 w porównaniu do roku 2013. </w:t>
      </w:r>
      <w:r w:rsidR="001C6AD9">
        <w:t>Przybywa też miejsc zapewniających najmłodszym pomoc instytucjonalną (żłobk</w:t>
      </w:r>
      <w:r w:rsidR="0038252B">
        <w:t>ów</w:t>
      </w:r>
      <w:r w:rsidR="001C6AD9">
        <w:t>, klub</w:t>
      </w:r>
      <w:r w:rsidR="0038252B">
        <w:t>ów</w:t>
      </w:r>
      <w:r w:rsidR="001C6AD9">
        <w:t xml:space="preserve"> dziecięc</w:t>
      </w:r>
      <w:r w:rsidR="0038252B">
        <w:t>ych</w:t>
      </w:r>
      <w:r w:rsidR="001C6AD9">
        <w:t xml:space="preserve">). </w:t>
      </w:r>
      <w:r w:rsidR="0038252B">
        <w:t>Liczba miejsc opieki w przeliczeniu na 1000 dzieci w</w:t>
      </w:r>
      <w:r w:rsidR="001C6AD9">
        <w:t xml:space="preserve"> </w:t>
      </w:r>
      <w:r w:rsidR="0038252B">
        <w:t xml:space="preserve">Olsztynie zwiększyła się o 100 miejsc (w </w:t>
      </w:r>
      <w:r w:rsidR="001C6AD9">
        <w:t xml:space="preserve">roku 2019 </w:t>
      </w:r>
      <w:r w:rsidR="0038252B">
        <w:t>w porównaniu do roku 2014)</w:t>
      </w:r>
      <w:r w:rsidR="001C6AD9">
        <w:t xml:space="preserve">. Największy wzrost </w:t>
      </w:r>
      <w:r w:rsidR="0038252B">
        <w:t xml:space="preserve">w tym zakresie </w:t>
      </w:r>
      <w:r w:rsidR="001C6AD9">
        <w:t xml:space="preserve">odnotowano w Lublinie </w:t>
      </w:r>
      <w:r w:rsidR="0038252B">
        <w:t>– w badanym okresie więcej o 127 miejsc na 1000 dzieci.</w:t>
      </w:r>
    </w:p>
    <w:p w14:paraId="2E31BED0" w14:textId="7167EE31" w:rsidR="001970E8" w:rsidRDefault="001970E8">
      <w:r>
        <w:br w:type="page"/>
      </w:r>
    </w:p>
    <w:p w14:paraId="77F1743C" w14:textId="75395CFD" w:rsidR="001970E8" w:rsidRPr="001970E8" w:rsidRDefault="001970E8" w:rsidP="001970E8">
      <w:pPr>
        <w:pStyle w:val="Legenda"/>
        <w:rPr>
          <w:sz w:val="22"/>
          <w:szCs w:val="22"/>
          <w:lang w:val="pl-PL"/>
        </w:rPr>
      </w:pPr>
      <w:bookmarkStart w:id="249" w:name="_Toc73516138"/>
      <w:r w:rsidRPr="001970E8">
        <w:rPr>
          <w:sz w:val="22"/>
          <w:szCs w:val="22"/>
        </w:rPr>
        <w:lastRenderedPageBreak/>
        <w:t xml:space="preserve">Wykres </w:t>
      </w:r>
      <w:r w:rsidRPr="001970E8">
        <w:rPr>
          <w:sz w:val="22"/>
          <w:szCs w:val="22"/>
        </w:rPr>
        <w:fldChar w:fldCharType="begin"/>
      </w:r>
      <w:r w:rsidRPr="001970E8">
        <w:rPr>
          <w:sz w:val="22"/>
          <w:szCs w:val="22"/>
        </w:rPr>
        <w:instrText xml:space="preserve"> SEQ Wykres \* ARABIC </w:instrText>
      </w:r>
      <w:r w:rsidRPr="001970E8">
        <w:rPr>
          <w:sz w:val="22"/>
          <w:szCs w:val="22"/>
        </w:rPr>
        <w:fldChar w:fldCharType="separate"/>
      </w:r>
      <w:r w:rsidR="00AD58C3">
        <w:rPr>
          <w:noProof/>
          <w:sz w:val="22"/>
          <w:szCs w:val="22"/>
        </w:rPr>
        <w:t>76</w:t>
      </w:r>
      <w:r w:rsidRPr="001970E8">
        <w:rPr>
          <w:sz w:val="22"/>
          <w:szCs w:val="22"/>
        </w:rPr>
        <w:fldChar w:fldCharType="end"/>
      </w:r>
      <w:r w:rsidRPr="001970E8">
        <w:rPr>
          <w:sz w:val="22"/>
          <w:szCs w:val="22"/>
        </w:rPr>
        <w:t xml:space="preserve">. </w:t>
      </w:r>
      <w:r w:rsidRPr="001970E8">
        <w:rPr>
          <w:bCs/>
          <w:sz w:val="22"/>
          <w:szCs w:val="22"/>
          <w:lang w:val="pl-PL"/>
        </w:rPr>
        <w:t xml:space="preserve">Miejsca </w:t>
      </w:r>
      <w:r w:rsidRPr="001970E8">
        <w:rPr>
          <w:bCs/>
          <w:sz w:val="22"/>
          <w:szCs w:val="22"/>
          <w:lang w:val="en-US"/>
        </w:rPr>
        <w:t>w żłobkach i klubach dziecięcych na 1000 dzieci w wieku do lat 3 w latach 20</w:t>
      </w:r>
      <w:r w:rsidRPr="001970E8">
        <w:rPr>
          <w:bCs/>
          <w:sz w:val="22"/>
          <w:szCs w:val="22"/>
          <w:lang w:val="pl-PL"/>
        </w:rPr>
        <w:t>14</w:t>
      </w:r>
      <w:r w:rsidRPr="001970E8">
        <w:rPr>
          <w:bCs/>
          <w:sz w:val="22"/>
          <w:szCs w:val="22"/>
          <w:lang w:val="en-US"/>
        </w:rPr>
        <w:t xml:space="preserve"> </w:t>
      </w:r>
      <w:r>
        <w:rPr>
          <w:bCs/>
          <w:sz w:val="22"/>
          <w:szCs w:val="22"/>
          <w:lang w:val="en-US"/>
        </w:rPr>
        <w:br/>
      </w:r>
      <w:r w:rsidRPr="001970E8">
        <w:rPr>
          <w:bCs/>
          <w:sz w:val="22"/>
          <w:szCs w:val="22"/>
          <w:lang w:val="en-US"/>
        </w:rPr>
        <w:t>i 2019</w:t>
      </w:r>
      <w:bookmarkEnd w:id="249"/>
    </w:p>
    <w:p w14:paraId="6BEE757C" w14:textId="02FC9A90" w:rsidR="00930DFC" w:rsidRPr="00ED4EDD" w:rsidRDefault="001C6AD9" w:rsidP="00930DFC">
      <w:pPr>
        <w:spacing w:after="0"/>
        <w:jc w:val="center"/>
      </w:pPr>
      <w:r>
        <w:rPr>
          <w:noProof/>
          <w:lang w:eastAsia="pl-PL"/>
        </w:rPr>
        <w:drawing>
          <wp:inline distT="0" distB="0" distL="0" distR="0" wp14:anchorId="2FC230F3" wp14:editId="1707526F">
            <wp:extent cx="4579315" cy="2523744"/>
            <wp:effectExtent l="0" t="0" r="12065" b="10160"/>
            <wp:docPr id="50" name="Wykres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6375DC9C" w14:textId="77777777" w:rsidR="005677C0" w:rsidRDefault="005677C0" w:rsidP="005677C0">
      <w:pPr>
        <w:spacing w:after="0" w:line="240" w:lineRule="auto"/>
        <w:jc w:val="center"/>
        <w:rPr>
          <w:i/>
          <w:sz w:val="20"/>
          <w:szCs w:val="20"/>
        </w:rPr>
      </w:pPr>
      <w:r>
        <w:rPr>
          <w:i/>
          <w:sz w:val="20"/>
          <w:szCs w:val="20"/>
        </w:rPr>
        <w:t>ź</w:t>
      </w:r>
      <w:r w:rsidRPr="00057995">
        <w:rPr>
          <w:i/>
          <w:sz w:val="20"/>
          <w:szCs w:val="20"/>
        </w:rPr>
        <w:t>ródło:</w:t>
      </w:r>
      <w:r w:rsidRPr="0091031D">
        <w:rPr>
          <w:i/>
          <w:sz w:val="20"/>
          <w:szCs w:val="20"/>
        </w:rPr>
        <w:t xml:space="preserve"> opracowanie własne na podstawie danych GUS</w:t>
      </w:r>
      <w:r>
        <w:rPr>
          <w:i/>
          <w:sz w:val="20"/>
          <w:szCs w:val="20"/>
        </w:rPr>
        <w:t xml:space="preserve"> </w:t>
      </w:r>
    </w:p>
    <w:p w14:paraId="3AAA4E09" w14:textId="77777777" w:rsidR="00930DFC" w:rsidRPr="00ED4EDD" w:rsidRDefault="00930DFC" w:rsidP="00930DFC"/>
    <w:p w14:paraId="7D75DB63" w14:textId="639623DB" w:rsidR="00930DFC" w:rsidRDefault="0038252B" w:rsidP="004A67B1">
      <w:pPr>
        <w:spacing w:after="0"/>
        <w:jc w:val="both"/>
      </w:pPr>
      <w:r>
        <w:t>Na uwagę zwraca fakt, że liczba miejsc w żłobkach i klubach dziecięcych nie zaspokaja w pełni popytu na tego rodzaju opiekę. Pomimo wyraźnego wzrostu, jaki nastąpił na przestrzeni lat 2014-2019</w:t>
      </w:r>
      <w:r w:rsidR="004A67B1">
        <w:t xml:space="preserve"> </w:t>
      </w:r>
      <w:r w:rsidR="004A67B1">
        <w:br/>
        <w:t>(w Olsztynie więcej o 10,2% dzieciom zapewniono opiekę instytucjonalną)</w:t>
      </w:r>
      <w:r>
        <w:t xml:space="preserve">, deficyt w tym zakresie </w:t>
      </w:r>
      <w:r w:rsidR="004A67B1">
        <w:t>jest znaczny w każdym z analizowanych miast Polski Wschodniej.</w:t>
      </w:r>
    </w:p>
    <w:p w14:paraId="11EA6852" w14:textId="5EBD435D" w:rsidR="001970E8" w:rsidRDefault="001970E8" w:rsidP="004A67B1">
      <w:pPr>
        <w:spacing w:after="0"/>
        <w:jc w:val="both"/>
      </w:pPr>
    </w:p>
    <w:p w14:paraId="43374C29" w14:textId="11E5B4F0" w:rsidR="001970E8" w:rsidRPr="001970E8" w:rsidRDefault="001970E8" w:rsidP="001970E8">
      <w:pPr>
        <w:pStyle w:val="Legenda"/>
        <w:rPr>
          <w:sz w:val="22"/>
          <w:szCs w:val="22"/>
          <w:lang w:val="pl-PL"/>
        </w:rPr>
      </w:pPr>
      <w:bookmarkStart w:id="250" w:name="_Toc73516139"/>
      <w:r w:rsidRPr="001970E8">
        <w:rPr>
          <w:sz w:val="22"/>
          <w:szCs w:val="22"/>
        </w:rPr>
        <w:t xml:space="preserve">Wykres </w:t>
      </w:r>
      <w:r w:rsidRPr="001970E8">
        <w:rPr>
          <w:sz w:val="22"/>
          <w:szCs w:val="22"/>
        </w:rPr>
        <w:fldChar w:fldCharType="begin"/>
      </w:r>
      <w:r w:rsidRPr="001970E8">
        <w:rPr>
          <w:sz w:val="22"/>
          <w:szCs w:val="22"/>
        </w:rPr>
        <w:instrText xml:space="preserve"> SEQ Wykres \* ARABIC </w:instrText>
      </w:r>
      <w:r w:rsidRPr="001970E8">
        <w:rPr>
          <w:sz w:val="22"/>
          <w:szCs w:val="22"/>
        </w:rPr>
        <w:fldChar w:fldCharType="separate"/>
      </w:r>
      <w:r w:rsidR="00AD58C3">
        <w:rPr>
          <w:noProof/>
          <w:sz w:val="22"/>
          <w:szCs w:val="22"/>
        </w:rPr>
        <w:t>77</w:t>
      </w:r>
      <w:r w:rsidRPr="001970E8">
        <w:rPr>
          <w:sz w:val="22"/>
          <w:szCs w:val="22"/>
        </w:rPr>
        <w:fldChar w:fldCharType="end"/>
      </w:r>
      <w:r w:rsidRPr="001970E8">
        <w:rPr>
          <w:sz w:val="22"/>
          <w:szCs w:val="22"/>
        </w:rPr>
        <w:t xml:space="preserve">. </w:t>
      </w:r>
      <w:r w:rsidRPr="001970E8">
        <w:rPr>
          <w:bCs/>
          <w:sz w:val="22"/>
          <w:szCs w:val="22"/>
          <w:lang w:val="pl-PL"/>
        </w:rPr>
        <w:t>Odsetek dzieci objętych opieką w żłobkach i klubach dziecięcych w latach 2014 i 2019</w:t>
      </w:r>
      <w:bookmarkEnd w:id="250"/>
    </w:p>
    <w:p w14:paraId="2291DEE3" w14:textId="66D792CF" w:rsidR="001C6AD9" w:rsidRPr="00ED4EDD" w:rsidRDefault="001C6AD9" w:rsidP="0038252B">
      <w:pPr>
        <w:spacing w:after="0"/>
        <w:jc w:val="center"/>
      </w:pPr>
      <w:r>
        <w:rPr>
          <w:noProof/>
          <w:lang w:eastAsia="pl-PL"/>
        </w:rPr>
        <w:drawing>
          <wp:inline distT="0" distB="0" distL="0" distR="0" wp14:anchorId="7727EA4F" wp14:editId="16929B0E">
            <wp:extent cx="4520793" cy="2538374"/>
            <wp:effectExtent l="0" t="0" r="13335" b="14605"/>
            <wp:docPr id="49" name="Wykres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470270A6" w14:textId="77777777" w:rsidR="00715A60" w:rsidRDefault="00715A60" w:rsidP="00715A60">
      <w:pPr>
        <w:spacing w:after="0" w:line="240" w:lineRule="auto"/>
        <w:jc w:val="center"/>
        <w:rPr>
          <w:i/>
          <w:sz w:val="20"/>
          <w:szCs w:val="20"/>
        </w:rPr>
      </w:pPr>
      <w:r>
        <w:rPr>
          <w:i/>
          <w:sz w:val="20"/>
          <w:szCs w:val="20"/>
        </w:rPr>
        <w:t>ź</w:t>
      </w:r>
      <w:r w:rsidRPr="00057995">
        <w:rPr>
          <w:i/>
          <w:sz w:val="20"/>
          <w:szCs w:val="20"/>
        </w:rPr>
        <w:t>ródło:</w:t>
      </w:r>
      <w:r w:rsidRPr="0091031D">
        <w:rPr>
          <w:i/>
          <w:sz w:val="20"/>
          <w:szCs w:val="20"/>
        </w:rPr>
        <w:t xml:space="preserve"> opracowanie własne na podstawie danych GUS</w:t>
      </w:r>
      <w:r>
        <w:rPr>
          <w:i/>
          <w:sz w:val="20"/>
          <w:szCs w:val="20"/>
        </w:rPr>
        <w:t xml:space="preserve"> </w:t>
      </w:r>
    </w:p>
    <w:p w14:paraId="011A750E" w14:textId="30F98D49" w:rsidR="00930DFC" w:rsidRPr="00ED4EDD" w:rsidRDefault="00930DFC" w:rsidP="00930DFC">
      <w:pPr>
        <w:spacing w:after="0"/>
        <w:jc w:val="center"/>
      </w:pPr>
    </w:p>
    <w:p w14:paraId="6F900B6B" w14:textId="6C01638F" w:rsidR="00295B66" w:rsidRDefault="00295B66">
      <w:r>
        <w:br w:type="page"/>
      </w:r>
    </w:p>
    <w:p w14:paraId="69A0EF19" w14:textId="53A5FA48" w:rsidR="00295B66" w:rsidRPr="00295B66" w:rsidRDefault="00295B66" w:rsidP="00295B66">
      <w:pPr>
        <w:pStyle w:val="Legenda"/>
        <w:rPr>
          <w:sz w:val="22"/>
          <w:szCs w:val="22"/>
          <w:lang w:val="pl-PL"/>
        </w:rPr>
      </w:pPr>
      <w:bookmarkStart w:id="251" w:name="_Toc73516140"/>
      <w:r w:rsidRPr="00295B66">
        <w:rPr>
          <w:sz w:val="22"/>
          <w:szCs w:val="22"/>
        </w:rPr>
        <w:lastRenderedPageBreak/>
        <w:t xml:space="preserve">Wykres </w:t>
      </w:r>
      <w:r w:rsidRPr="00295B66">
        <w:rPr>
          <w:sz w:val="22"/>
          <w:szCs w:val="22"/>
        </w:rPr>
        <w:fldChar w:fldCharType="begin"/>
      </w:r>
      <w:r w:rsidRPr="00295B66">
        <w:rPr>
          <w:sz w:val="22"/>
          <w:szCs w:val="22"/>
        </w:rPr>
        <w:instrText xml:space="preserve"> SEQ Wykres \* ARABIC </w:instrText>
      </w:r>
      <w:r w:rsidRPr="00295B66">
        <w:rPr>
          <w:sz w:val="22"/>
          <w:szCs w:val="22"/>
        </w:rPr>
        <w:fldChar w:fldCharType="separate"/>
      </w:r>
      <w:r w:rsidR="00AD58C3">
        <w:rPr>
          <w:noProof/>
          <w:sz w:val="22"/>
          <w:szCs w:val="22"/>
        </w:rPr>
        <w:t>78</w:t>
      </w:r>
      <w:r w:rsidRPr="00295B66">
        <w:rPr>
          <w:sz w:val="22"/>
          <w:szCs w:val="22"/>
        </w:rPr>
        <w:fldChar w:fldCharType="end"/>
      </w:r>
      <w:r w:rsidRPr="00295B66">
        <w:rPr>
          <w:sz w:val="22"/>
          <w:szCs w:val="22"/>
        </w:rPr>
        <w:t xml:space="preserve">. </w:t>
      </w:r>
      <w:r w:rsidRPr="00295B66">
        <w:rPr>
          <w:bCs/>
          <w:sz w:val="22"/>
          <w:szCs w:val="22"/>
          <w:lang w:val="pl-PL"/>
        </w:rPr>
        <w:t>Dostępność miejsc w żłobkach publicznych w Olsztynie w latach 2015-2019</w:t>
      </w:r>
      <w:bookmarkEnd w:id="251"/>
    </w:p>
    <w:p w14:paraId="4669F7F5" w14:textId="77777777" w:rsidR="00930DFC" w:rsidRPr="00ED4EDD" w:rsidRDefault="00930DFC" w:rsidP="00930DFC">
      <w:pPr>
        <w:spacing w:after="0"/>
        <w:jc w:val="center"/>
      </w:pPr>
      <w:r w:rsidRPr="00ED4EDD">
        <w:rPr>
          <w:noProof/>
          <w:lang w:eastAsia="pl-PL"/>
        </w:rPr>
        <w:drawing>
          <wp:inline distT="0" distB="0" distL="0" distR="0" wp14:anchorId="0C88CCDD" wp14:editId="18C0ED24">
            <wp:extent cx="4257675" cy="2476500"/>
            <wp:effectExtent l="0" t="0" r="9525" b="0"/>
            <wp:docPr id="41" name="Wykres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6A5A4D57" w14:textId="233DFDF2" w:rsidR="00930DFC" w:rsidRPr="00715A60" w:rsidRDefault="003E5055" w:rsidP="003E5055">
      <w:pPr>
        <w:jc w:val="center"/>
        <w:rPr>
          <w:i/>
          <w:sz w:val="20"/>
          <w:szCs w:val="20"/>
        </w:rPr>
      </w:pPr>
      <w:r w:rsidRPr="00715A60">
        <w:rPr>
          <w:i/>
          <w:sz w:val="20"/>
          <w:szCs w:val="20"/>
        </w:rPr>
        <w:t>ź</w:t>
      </w:r>
      <w:r w:rsidR="00930DFC" w:rsidRPr="00715A60">
        <w:rPr>
          <w:i/>
          <w:sz w:val="20"/>
          <w:szCs w:val="20"/>
        </w:rPr>
        <w:t xml:space="preserve">ródło: </w:t>
      </w:r>
      <w:r w:rsidR="00715A60">
        <w:rPr>
          <w:i/>
          <w:sz w:val="20"/>
          <w:szCs w:val="20"/>
        </w:rPr>
        <w:t xml:space="preserve">opracowano na podstawie </w:t>
      </w:r>
      <w:r w:rsidR="00930DFC" w:rsidRPr="00715A60">
        <w:rPr>
          <w:i/>
          <w:sz w:val="20"/>
          <w:szCs w:val="20"/>
        </w:rPr>
        <w:t>dan</w:t>
      </w:r>
      <w:r w:rsidR="00715A60">
        <w:rPr>
          <w:i/>
          <w:sz w:val="20"/>
          <w:szCs w:val="20"/>
        </w:rPr>
        <w:t>ych</w:t>
      </w:r>
      <w:r w:rsidRPr="00715A60">
        <w:rPr>
          <w:i/>
          <w:sz w:val="20"/>
          <w:szCs w:val="20"/>
        </w:rPr>
        <w:t xml:space="preserve"> </w:t>
      </w:r>
      <w:r w:rsidR="00930DFC" w:rsidRPr="00715A60">
        <w:rPr>
          <w:i/>
          <w:sz w:val="20"/>
          <w:szCs w:val="20"/>
        </w:rPr>
        <w:t>gminy Olsztyn</w:t>
      </w:r>
    </w:p>
    <w:p w14:paraId="2555EC8E" w14:textId="299DC776" w:rsidR="00930DFC" w:rsidRPr="00ED4EDD" w:rsidRDefault="00295B66" w:rsidP="00715A60">
      <w:pPr>
        <w:shd w:val="clear" w:color="auto" w:fill="FFFFFF" w:themeFill="background1"/>
        <w:jc w:val="both"/>
      </w:pPr>
      <w:r>
        <w:t xml:space="preserve">Działalność niepublicznych placówek opieki nad dziećmi do lat 3 sprawia, że </w:t>
      </w:r>
      <w:r w:rsidR="00930DFC" w:rsidRPr="00ED4EDD">
        <w:t xml:space="preserve">deficyt miejsc jest </w:t>
      </w:r>
      <w:r>
        <w:br/>
      </w:r>
      <w:r w:rsidR="00930DFC" w:rsidRPr="00ED4EDD">
        <w:t xml:space="preserve">w </w:t>
      </w:r>
      <w:r w:rsidRPr="00ED4EDD">
        <w:t xml:space="preserve">Olsztynie </w:t>
      </w:r>
      <w:r>
        <w:t xml:space="preserve">w </w:t>
      </w:r>
      <w:r w:rsidR="00930DFC" w:rsidRPr="00ED4EDD">
        <w:t xml:space="preserve">rzeczywistości mniejszy. Problemem jednak pozostaje dostępność finansowa takiej opieki – w niepublicznych żłobkach i klubach dziecięcych miesięczne koszty pobytu są dużo wyższe niż </w:t>
      </w:r>
      <w:r w:rsidR="00930DFC">
        <w:br/>
      </w:r>
      <w:r w:rsidR="00930DFC" w:rsidRPr="00ED4EDD">
        <w:t xml:space="preserve">w placówkach </w:t>
      </w:r>
      <w:r w:rsidR="003E5055">
        <w:t>podległych samorządowi</w:t>
      </w:r>
      <w:r w:rsidR="00930DFC" w:rsidRPr="00ED4EDD">
        <w:t xml:space="preserve">. </w:t>
      </w:r>
    </w:p>
    <w:p w14:paraId="6C60D747" w14:textId="40E72679" w:rsidR="00930DFC" w:rsidRDefault="00930DFC" w:rsidP="00715A60">
      <w:pPr>
        <w:shd w:val="clear" w:color="auto" w:fill="FFFFFF" w:themeFill="background1"/>
        <w:jc w:val="both"/>
      </w:pPr>
      <w:r w:rsidRPr="00ED4EDD">
        <w:t xml:space="preserve">Z pewnością deficyt miejsc w żłobkach w Olsztynie ma związek z jego funkcjami aglomeracyjnymi. Jako główny rynek pracy i ośrodek edukacji w MOF stanowi naturalnie także miejsce, do którego mieszkańcy sąsiednich gmin przywożą  swoje dzieci, szukając dla nich miejsca w placówkach opiekuńczych </w:t>
      </w:r>
      <w:r>
        <w:br/>
      </w:r>
      <w:r w:rsidRPr="00ED4EDD">
        <w:t xml:space="preserve">w pobliżu swojego miejsca pracy czy też nauki starszych dzieci. </w:t>
      </w:r>
    </w:p>
    <w:p w14:paraId="4836DE6B" w14:textId="77777777" w:rsidR="00715A60" w:rsidRPr="00ED4EDD" w:rsidRDefault="00715A60" w:rsidP="00715A60">
      <w:pPr>
        <w:shd w:val="clear" w:color="auto" w:fill="FFFFFF" w:themeFill="background1"/>
        <w:jc w:val="both"/>
      </w:pPr>
    </w:p>
    <w:p w14:paraId="5A2FBADF" w14:textId="13071D63" w:rsidR="00930DFC" w:rsidRPr="00ED4EDD" w:rsidRDefault="00836250" w:rsidP="00930DFC">
      <w:pPr>
        <w:pStyle w:val="Nagwek3"/>
        <w:rPr>
          <w:sz w:val="22"/>
          <w:szCs w:val="22"/>
        </w:rPr>
      </w:pPr>
      <w:bookmarkStart w:id="252" w:name="_Toc49504800"/>
      <w:bookmarkStart w:id="253" w:name="_Toc73534939"/>
      <w:r>
        <w:rPr>
          <w:sz w:val="22"/>
          <w:szCs w:val="22"/>
        </w:rPr>
        <w:t>4.1.</w:t>
      </w:r>
      <w:r w:rsidR="000A046D">
        <w:rPr>
          <w:sz w:val="22"/>
          <w:szCs w:val="22"/>
        </w:rPr>
        <w:t>2</w:t>
      </w:r>
      <w:r>
        <w:rPr>
          <w:sz w:val="22"/>
          <w:szCs w:val="22"/>
        </w:rPr>
        <w:t xml:space="preserve"> </w:t>
      </w:r>
      <w:r w:rsidR="00930DFC" w:rsidRPr="00ED4EDD">
        <w:rPr>
          <w:sz w:val="22"/>
          <w:szCs w:val="22"/>
        </w:rPr>
        <w:t>Wychowanie przedszkolne</w:t>
      </w:r>
      <w:bookmarkEnd w:id="252"/>
      <w:bookmarkEnd w:id="253"/>
    </w:p>
    <w:p w14:paraId="22AC9F6F" w14:textId="6A74CEB3" w:rsidR="00483020" w:rsidRDefault="00F1628E" w:rsidP="00930DFC">
      <w:pPr>
        <w:jc w:val="both"/>
      </w:pPr>
      <w:r>
        <w:t xml:space="preserve">We wszystkich analizowanych ośrodkach wojewódzkich </w:t>
      </w:r>
      <w:r w:rsidR="00023ABA">
        <w:t>na przestrzeni lat 2013-2019</w:t>
      </w:r>
      <w:r w:rsidR="00A57C9F">
        <w:t xml:space="preserve"> </w:t>
      </w:r>
      <w:r>
        <w:t>obserwuje się stopniową poprawę w zakresie d</w:t>
      </w:r>
      <w:r w:rsidR="00930DFC" w:rsidRPr="00ED4EDD">
        <w:t>ostępnoś</w:t>
      </w:r>
      <w:r>
        <w:t xml:space="preserve">ci placówek </w:t>
      </w:r>
      <w:r w:rsidR="00930DFC" w:rsidRPr="00ED4EDD">
        <w:t>wychowania przedszkolnego</w:t>
      </w:r>
      <w:r w:rsidR="00A57C9F">
        <w:t xml:space="preserve">. Odsetek dzieci </w:t>
      </w:r>
      <w:r w:rsidR="00517AFF">
        <w:br/>
        <w:t xml:space="preserve">w wieku 3-5 lat </w:t>
      </w:r>
      <w:r w:rsidR="00A57C9F">
        <w:t>objętych wychowaniem przedszkolnym</w:t>
      </w:r>
      <w:r w:rsidR="00517AFF">
        <w:t xml:space="preserve"> </w:t>
      </w:r>
      <w:r w:rsidR="00A57C9F">
        <w:t xml:space="preserve">w Olsztynie </w:t>
      </w:r>
      <w:r w:rsidR="00023ABA">
        <w:t xml:space="preserve">(107,1%) </w:t>
      </w:r>
      <w:r w:rsidR="00A57C9F">
        <w:t>w roku 201</w:t>
      </w:r>
      <w:r w:rsidR="00023ABA">
        <w:t>9</w:t>
      </w:r>
      <w:r w:rsidR="00A57C9F">
        <w:t xml:space="preserve"> przekroczył </w:t>
      </w:r>
      <w:r w:rsidR="00925138">
        <w:t xml:space="preserve">wartości </w:t>
      </w:r>
      <w:r w:rsidR="00483020">
        <w:t>średni</w:t>
      </w:r>
      <w:r w:rsidR="00925138">
        <w:t>e</w:t>
      </w:r>
      <w:r w:rsidR="00483020">
        <w:t xml:space="preserve"> zarejestrowan</w:t>
      </w:r>
      <w:r w:rsidR="00925138">
        <w:t>e</w:t>
      </w:r>
      <w:r w:rsidR="009470AD">
        <w:t>,</w:t>
      </w:r>
      <w:r w:rsidR="00483020">
        <w:t xml:space="preserve"> </w:t>
      </w:r>
      <w:r w:rsidR="00A57C9F">
        <w:t>tak dla</w:t>
      </w:r>
      <w:r w:rsidR="00925138">
        <w:t xml:space="preserve"> całego kraju</w:t>
      </w:r>
      <w:r w:rsidR="00A57C9F">
        <w:t xml:space="preserve"> (8</w:t>
      </w:r>
      <w:r w:rsidR="00023ABA">
        <w:t>8,5</w:t>
      </w:r>
      <w:r w:rsidR="00A57C9F">
        <w:t xml:space="preserve">%), jak i dla </w:t>
      </w:r>
      <w:r w:rsidR="00483020">
        <w:t>województwa warmińsko-mazurskiego (</w:t>
      </w:r>
      <w:r w:rsidR="00023ABA">
        <w:t>81,1</w:t>
      </w:r>
      <w:r w:rsidR="00483020">
        <w:t>%).</w:t>
      </w:r>
      <w:r w:rsidR="00FC7107">
        <w:t xml:space="preserve"> </w:t>
      </w:r>
      <w:r w:rsidR="00483020">
        <w:t>W 201</w:t>
      </w:r>
      <w:r w:rsidR="00023ABA">
        <w:t>9</w:t>
      </w:r>
      <w:r w:rsidR="00483020">
        <w:t xml:space="preserve"> roku </w:t>
      </w:r>
      <w:r w:rsidR="007316E2">
        <w:t xml:space="preserve">6556 </w:t>
      </w:r>
      <w:r w:rsidR="00D64638">
        <w:t xml:space="preserve">dzieci w wieku 3-6 lat </w:t>
      </w:r>
      <w:r w:rsidR="007316E2">
        <w:t>z terenu Olsztyna było objętych wychowaniem na poziomie przedszkolnym</w:t>
      </w:r>
      <w:r w:rsidR="00FC7107">
        <w:t xml:space="preserve"> (107,8%)</w:t>
      </w:r>
      <w:r w:rsidR="007316E2">
        <w:t xml:space="preserve">, w tym </w:t>
      </w:r>
      <w:r w:rsidR="00023ABA">
        <w:t xml:space="preserve">5020 podopiecznych w wieku </w:t>
      </w:r>
      <w:r w:rsidR="00D64638">
        <w:t>3-5 l</w:t>
      </w:r>
      <w:r w:rsidR="00023ABA">
        <w:t>at</w:t>
      </w:r>
      <w:r w:rsidR="00FC7107">
        <w:t xml:space="preserve"> (107,1%)</w:t>
      </w:r>
      <w:r w:rsidR="00483020">
        <w:t xml:space="preserve">. </w:t>
      </w:r>
      <w:r w:rsidR="007316E2">
        <w:t xml:space="preserve">Odsetek </w:t>
      </w:r>
      <w:r w:rsidR="00FC7107">
        <w:t xml:space="preserve">dzieci objętych wychowaniem przedszkolnym - </w:t>
      </w:r>
      <w:r w:rsidR="007316E2">
        <w:t>wy</w:t>
      </w:r>
      <w:r w:rsidR="00D64638">
        <w:t>ższy niż w Olsztynie</w:t>
      </w:r>
      <w:r w:rsidR="00FC7107">
        <w:t xml:space="preserve"> -</w:t>
      </w:r>
      <w:r w:rsidR="00D64638">
        <w:t xml:space="preserve"> odnotowano jedynie w Białymstoku (10</w:t>
      </w:r>
      <w:r w:rsidR="00FC7107">
        <w:t>7,6</w:t>
      </w:r>
      <w:r w:rsidR="00D64638">
        <w:t>%).</w:t>
      </w:r>
    </w:p>
    <w:p w14:paraId="364B3E67" w14:textId="77777777" w:rsidR="009929DF" w:rsidRDefault="009929DF">
      <w:pPr>
        <w:rPr>
          <w:rFonts w:ascii="Calibri" w:eastAsia="Calibri" w:hAnsi="Calibri" w:cs="Mangal"/>
          <w:i/>
          <w:iCs/>
          <w:color w:val="00000A"/>
          <w:kern w:val="1"/>
          <w:lang w:val="en-GB"/>
        </w:rPr>
      </w:pPr>
      <w:r>
        <w:br w:type="page"/>
      </w:r>
    </w:p>
    <w:p w14:paraId="5C8AB372" w14:textId="77777777" w:rsidR="009929DF" w:rsidRDefault="009929DF" w:rsidP="009929DF">
      <w:pPr>
        <w:pStyle w:val="Legenda"/>
        <w:rPr>
          <w:sz w:val="22"/>
          <w:szCs w:val="22"/>
        </w:rPr>
      </w:pPr>
    </w:p>
    <w:p w14:paraId="46555536" w14:textId="062F9649" w:rsidR="009929DF" w:rsidRDefault="00295B66" w:rsidP="009929DF">
      <w:pPr>
        <w:pStyle w:val="Legenda"/>
        <w:rPr>
          <w:bCs/>
          <w:sz w:val="22"/>
          <w:szCs w:val="22"/>
          <w:lang w:val="en-US"/>
        </w:rPr>
      </w:pPr>
      <w:bookmarkStart w:id="254" w:name="_Toc73516141"/>
      <w:r w:rsidRPr="009929DF">
        <w:rPr>
          <w:sz w:val="22"/>
          <w:szCs w:val="22"/>
        </w:rPr>
        <w:t xml:space="preserve">Wykres </w:t>
      </w:r>
      <w:r w:rsidRPr="009929DF">
        <w:rPr>
          <w:sz w:val="22"/>
          <w:szCs w:val="22"/>
        </w:rPr>
        <w:fldChar w:fldCharType="begin"/>
      </w:r>
      <w:r w:rsidRPr="009929DF">
        <w:rPr>
          <w:sz w:val="22"/>
          <w:szCs w:val="22"/>
        </w:rPr>
        <w:instrText xml:space="preserve"> SEQ Wykres \* ARABIC </w:instrText>
      </w:r>
      <w:r w:rsidRPr="009929DF">
        <w:rPr>
          <w:sz w:val="22"/>
          <w:szCs w:val="22"/>
        </w:rPr>
        <w:fldChar w:fldCharType="separate"/>
      </w:r>
      <w:r w:rsidR="00AD58C3">
        <w:rPr>
          <w:noProof/>
          <w:sz w:val="22"/>
          <w:szCs w:val="22"/>
        </w:rPr>
        <w:t>79</w:t>
      </w:r>
      <w:r w:rsidRPr="009929DF">
        <w:rPr>
          <w:sz w:val="22"/>
          <w:szCs w:val="22"/>
        </w:rPr>
        <w:fldChar w:fldCharType="end"/>
      </w:r>
      <w:r w:rsidRPr="009929DF">
        <w:rPr>
          <w:sz w:val="22"/>
          <w:szCs w:val="22"/>
        </w:rPr>
        <w:t>.</w:t>
      </w:r>
      <w:r w:rsidR="009929DF" w:rsidRPr="009929DF">
        <w:rPr>
          <w:sz w:val="22"/>
          <w:szCs w:val="22"/>
        </w:rPr>
        <w:t xml:space="preserve"> </w:t>
      </w:r>
      <w:r w:rsidR="009929DF" w:rsidRPr="009929DF">
        <w:rPr>
          <w:bCs/>
          <w:sz w:val="22"/>
          <w:szCs w:val="22"/>
          <w:lang w:val="en-US"/>
        </w:rPr>
        <w:t xml:space="preserve">Odsetek dzieci </w:t>
      </w:r>
      <w:r w:rsidR="009929DF" w:rsidRPr="009929DF">
        <w:rPr>
          <w:bCs/>
          <w:sz w:val="22"/>
          <w:szCs w:val="22"/>
          <w:lang w:val="pl-PL"/>
        </w:rPr>
        <w:t xml:space="preserve">w wieku 3-5 lat </w:t>
      </w:r>
      <w:r w:rsidR="009929DF" w:rsidRPr="009929DF">
        <w:rPr>
          <w:bCs/>
          <w:sz w:val="22"/>
          <w:szCs w:val="22"/>
          <w:lang w:val="en-US"/>
        </w:rPr>
        <w:t xml:space="preserve">objętych wychowaniem przedszkolnym w latach 2013 </w:t>
      </w:r>
      <w:r w:rsidR="009929DF">
        <w:rPr>
          <w:bCs/>
          <w:sz w:val="22"/>
          <w:szCs w:val="22"/>
          <w:lang w:val="en-US"/>
        </w:rPr>
        <w:br/>
      </w:r>
      <w:r w:rsidR="009929DF" w:rsidRPr="009929DF">
        <w:rPr>
          <w:bCs/>
          <w:sz w:val="22"/>
          <w:szCs w:val="22"/>
          <w:lang w:val="en-US"/>
        </w:rPr>
        <w:t>i 201</w:t>
      </w:r>
      <w:r w:rsidR="00023ABA">
        <w:rPr>
          <w:bCs/>
          <w:sz w:val="22"/>
          <w:szCs w:val="22"/>
          <w:lang w:val="en-US"/>
        </w:rPr>
        <w:t>9</w:t>
      </w:r>
      <w:bookmarkEnd w:id="254"/>
    </w:p>
    <w:p w14:paraId="7B1AFF01" w14:textId="2760A962" w:rsidR="00023ABA" w:rsidRDefault="00023ABA" w:rsidP="00023ABA">
      <w:pPr>
        <w:pStyle w:val="Legenda"/>
        <w:spacing w:before="0" w:after="0" w:line="240" w:lineRule="auto"/>
        <w:jc w:val="center"/>
        <w:rPr>
          <w:bCs/>
          <w:sz w:val="22"/>
          <w:szCs w:val="22"/>
          <w:lang w:val="en-US"/>
        </w:rPr>
      </w:pPr>
      <w:r>
        <w:rPr>
          <w:noProof/>
          <w:lang w:val="pl-PL" w:eastAsia="pl-PL"/>
        </w:rPr>
        <w:drawing>
          <wp:inline distT="0" distB="0" distL="0" distR="0" wp14:anchorId="424EE453" wp14:editId="3BF6674B">
            <wp:extent cx="3847795" cy="2062886"/>
            <wp:effectExtent l="0" t="0" r="635" b="13970"/>
            <wp:docPr id="28" name="Wykres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61DD5AB3" w14:textId="2F199BB4" w:rsidR="00517AFF" w:rsidRDefault="00517AFF" w:rsidP="00023ABA">
      <w:pPr>
        <w:spacing w:after="0" w:line="240" w:lineRule="auto"/>
        <w:jc w:val="center"/>
        <w:rPr>
          <w:i/>
          <w:sz w:val="20"/>
          <w:szCs w:val="20"/>
        </w:rPr>
      </w:pPr>
      <w:r w:rsidRPr="00394AE5">
        <w:rPr>
          <w:i/>
          <w:sz w:val="20"/>
          <w:szCs w:val="20"/>
        </w:rPr>
        <w:t>źródło: opracowanie własne na podstawie danych GUS</w:t>
      </w:r>
    </w:p>
    <w:p w14:paraId="04771007" w14:textId="77777777" w:rsidR="009929DF" w:rsidRPr="00394AE5" w:rsidRDefault="009929DF" w:rsidP="00517AFF">
      <w:pPr>
        <w:spacing w:after="0" w:line="240" w:lineRule="auto"/>
        <w:jc w:val="center"/>
        <w:rPr>
          <w:i/>
          <w:sz w:val="20"/>
          <w:szCs w:val="20"/>
        </w:rPr>
      </w:pPr>
    </w:p>
    <w:p w14:paraId="37A7C14B" w14:textId="535921FC" w:rsidR="00394AE5" w:rsidRDefault="007316E2" w:rsidP="00930DFC">
      <w:pPr>
        <w:jc w:val="both"/>
      </w:pPr>
      <w:r>
        <w:t>W</w:t>
      </w:r>
      <w:r w:rsidR="00926ACE">
        <w:t>skaźnik l</w:t>
      </w:r>
      <w:r w:rsidR="00925138">
        <w:t>iczb</w:t>
      </w:r>
      <w:r w:rsidR="00926ACE">
        <w:t>y</w:t>
      </w:r>
      <w:r w:rsidR="00925138">
        <w:t xml:space="preserve"> dzieci </w:t>
      </w:r>
      <w:r w:rsidR="00926ACE">
        <w:t xml:space="preserve">objętych opieką i edukacją w placówkach wychowania przedszkolnego </w:t>
      </w:r>
      <w:r w:rsidR="00926ACE">
        <w:br/>
        <w:t>jest w Olsztynie jednym z wyższych spośród odnotowanych w miastach Polski Wschodniej</w:t>
      </w:r>
      <w:r w:rsidR="00903766">
        <w:t>. W 201</w:t>
      </w:r>
      <w:r w:rsidR="000C3094">
        <w:t>9</w:t>
      </w:r>
      <w:r w:rsidR="00903766">
        <w:t xml:space="preserve"> roku 1</w:t>
      </w:r>
      <w:r w:rsidR="000C3094">
        <w:t xml:space="preserve"> </w:t>
      </w:r>
      <w:r w:rsidR="00903766">
        <w:t>0</w:t>
      </w:r>
      <w:r w:rsidR="000C3094">
        <w:t>71</w:t>
      </w:r>
      <w:r w:rsidR="00903766">
        <w:t xml:space="preserve"> </w:t>
      </w:r>
      <w:r w:rsidR="000C3094">
        <w:t>dzieci</w:t>
      </w:r>
      <w:r w:rsidR="00903766">
        <w:t xml:space="preserve"> w przeliczeniu na 1000 dzieci w wieku 3-5 lat objętych było opieką na poziomie przedszkolnym (o 1</w:t>
      </w:r>
      <w:r w:rsidR="000C3094">
        <w:t>6,5</w:t>
      </w:r>
      <w:r w:rsidR="00903766">
        <w:t>% więcej w roku 201</w:t>
      </w:r>
      <w:r w:rsidR="000C3094">
        <w:t>9</w:t>
      </w:r>
      <w:r w:rsidR="00903766">
        <w:t xml:space="preserve"> niż w badanym </w:t>
      </w:r>
      <w:r w:rsidR="00D64638">
        <w:t xml:space="preserve">roku </w:t>
      </w:r>
      <w:r w:rsidR="00903766">
        <w:t>2013).</w:t>
      </w:r>
    </w:p>
    <w:p w14:paraId="7B6DBA45" w14:textId="1E635EA0" w:rsidR="009929DF" w:rsidRDefault="009929DF" w:rsidP="009929DF">
      <w:pPr>
        <w:pStyle w:val="Legenda"/>
        <w:rPr>
          <w:bCs/>
          <w:sz w:val="22"/>
          <w:szCs w:val="22"/>
          <w:lang w:val="pl-PL"/>
        </w:rPr>
      </w:pPr>
      <w:bookmarkStart w:id="255" w:name="_Toc73516142"/>
      <w:r w:rsidRPr="009929DF">
        <w:rPr>
          <w:sz w:val="22"/>
          <w:szCs w:val="22"/>
        </w:rPr>
        <w:t xml:space="preserve">Wykres </w:t>
      </w:r>
      <w:r w:rsidRPr="009929DF">
        <w:rPr>
          <w:sz w:val="22"/>
          <w:szCs w:val="22"/>
        </w:rPr>
        <w:fldChar w:fldCharType="begin"/>
      </w:r>
      <w:r w:rsidRPr="009929DF">
        <w:rPr>
          <w:sz w:val="22"/>
          <w:szCs w:val="22"/>
        </w:rPr>
        <w:instrText xml:space="preserve"> SEQ Wykres \* ARABIC </w:instrText>
      </w:r>
      <w:r w:rsidRPr="009929DF">
        <w:rPr>
          <w:sz w:val="22"/>
          <w:szCs w:val="22"/>
        </w:rPr>
        <w:fldChar w:fldCharType="separate"/>
      </w:r>
      <w:r w:rsidR="00AD58C3">
        <w:rPr>
          <w:noProof/>
          <w:sz w:val="22"/>
          <w:szCs w:val="22"/>
        </w:rPr>
        <w:t>80</w:t>
      </w:r>
      <w:r w:rsidRPr="009929DF">
        <w:rPr>
          <w:sz w:val="22"/>
          <w:szCs w:val="22"/>
        </w:rPr>
        <w:fldChar w:fldCharType="end"/>
      </w:r>
      <w:r w:rsidRPr="009929DF">
        <w:rPr>
          <w:sz w:val="22"/>
          <w:szCs w:val="22"/>
        </w:rPr>
        <w:t xml:space="preserve">. </w:t>
      </w:r>
      <w:r w:rsidRPr="009929DF">
        <w:rPr>
          <w:bCs/>
          <w:sz w:val="22"/>
          <w:szCs w:val="22"/>
          <w:lang w:val="pl-PL"/>
        </w:rPr>
        <w:t xml:space="preserve">Liczba dzieci w placówkach wychowania przedszkolnego na 1000 dzieci w wieku 3-5 lat </w:t>
      </w:r>
      <w:r>
        <w:rPr>
          <w:bCs/>
          <w:sz w:val="22"/>
          <w:szCs w:val="22"/>
          <w:lang w:val="pl-PL"/>
        </w:rPr>
        <w:br/>
      </w:r>
      <w:r w:rsidRPr="009929DF">
        <w:rPr>
          <w:bCs/>
          <w:sz w:val="22"/>
          <w:szCs w:val="22"/>
          <w:lang w:val="pl-PL"/>
        </w:rPr>
        <w:t>w latach 201</w:t>
      </w:r>
      <w:r w:rsidR="000C3094">
        <w:rPr>
          <w:bCs/>
          <w:sz w:val="22"/>
          <w:szCs w:val="22"/>
          <w:lang w:val="pl-PL"/>
        </w:rPr>
        <w:t>3</w:t>
      </w:r>
      <w:r w:rsidRPr="009929DF">
        <w:rPr>
          <w:bCs/>
          <w:sz w:val="22"/>
          <w:szCs w:val="22"/>
          <w:lang w:val="pl-PL"/>
        </w:rPr>
        <w:t xml:space="preserve"> i 201</w:t>
      </w:r>
      <w:r w:rsidR="000C3094">
        <w:rPr>
          <w:bCs/>
          <w:sz w:val="22"/>
          <w:szCs w:val="22"/>
          <w:lang w:val="pl-PL"/>
        </w:rPr>
        <w:t>9</w:t>
      </w:r>
      <w:bookmarkEnd w:id="255"/>
    </w:p>
    <w:p w14:paraId="6840AC04" w14:textId="2AD4C5AE" w:rsidR="00394AE5" w:rsidRPr="000C3094" w:rsidRDefault="000C3094" w:rsidP="000C3094">
      <w:pPr>
        <w:pStyle w:val="Legenda"/>
        <w:spacing w:before="0" w:after="0"/>
        <w:jc w:val="center"/>
        <w:rPr>
          <w:bCs/>
          <w:sz w:val="22"/>
          <w:szCs w:val="22"/>
          <w:lang w:val="pl-PL"/>
        </w:rPr>
      </w:pPr>
      <w:r>
        <w:rPr>
          <w:noProof/>
          <w:lang w:val="pl-PL" w:eastAsia="pl-PL"/>
        </w:rPr>
        <w:drawing>
          <wp:inline distT="0" distB="0" distL="0" distR="0" wp14:anchorId="3326BA46" wp14:editId="31F03217">
            <wp:extent cx="4037162" cy="2242868"/>
            <wp:effectExtent l="0" t="0" r="1905" b="5080"/>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111AF395" w14:textId="7DE4293F" w:rsidR="00930DFC" w:rsidRPr="00394AE5" w:rsidRDefault="00394AE5" w:rsidP="000C3094">
      <w:pPr>
        <w:spacing w:after="0" w:line="240" w:lineRule="auto"/>
        <w:jc w:val="center"/>
        <w:rPr>
          <w:i/>
          <w:sz w:val="20"/>
          <w:szCs w:val="20"/>
        </w:rPr>
      </w:pPr>
      <w:r w:rsidRPr="00394AE5">
        <w:rPr>
          <w:i/>
          <w:sz w:val="20"/>
          <w:szCs w:val="20"/>
        </w:rPr>
        <w:t>źr</w:t>
      </w:r>
      <w:r w:rsidR="00930DFC" w:rsidRPr="00394AE5">
        <w:rPr>
          <w:i/>
          <w:sz w:val="20"/>
          <w:szCs w:val="20"/>
        </w:rPr>
        <w:t xml:space="preserve">ódło: </w:t>
      </w:r>
      <w:r w:rsidRPr="00394AE5">
        <w:rPr>
          <w:i/>
          <w:sz w:val="20"/>
          <w:szCs w:val="20"/>
        </w:rPr>
        <w:t>o</w:t>
      </w:r>
      <w:r w:rsidR="00930DFC" w:rsidRPr="00394AE5">
        <w:rPr>
          <w:i/>
          <w:sz w:val="20"/>
          <w:szCs w:val="20"/>
        </w:rPr>
        <w:t>pracowanie własne na podstawie danych GUS</w:t>
      </w:r>
    </w:p>
    <w:p w14:paraId="350F5365" w14:textId="71615D40" w:rsidR="00394AE5" w:rsidRDefault="00394AE5" w:rsidP="00394AE5">
      <w:pPr>
        <w:spacing w:after="0" w:line="240" w:lineRule="auto"/>
        <w:jc w:val="center"/>
      </w:pPr>
    </w:p>
    <w:p w14:paraId="3F4349E6" w14:textId="77777777" w:rsidR="00836250" w:rsidRPr="00ED4EDD" w:rsidRDefault="00836250" w:rsidP="00394AE5">
      <w:pPr>
        <w:spacing w:after="0" w:line="240" w:lineRule="auto"/>
        <w:jc w:val="center"/>
      </w:pPr>
    </w:p>
    <w:p w14:paraId="200C0263" w14:textId="77777777" w:rsidR="00D03EF0" w:rsidRDefault="00D03EF0">
      <w:pPr>
        <w:rPr>
          <w:rFonts w:asciiTheme="majorHAnsi" w:eastAsiaTheme="majorEastAsia" w:hAnsiTheme="majorHAnsi" w:cstheme="majorBidi"/>
          <w:color w:val="1F4D78" w:themeColor="accent1" w:themeShade="7F"/>
        </w:rPr>
      </w:pPr>
      <w:bookmarkStart w:id="256" w:name="_Toc49504801"/>
      <w:r>
        <w:br w:type="page"/>
      </w:r>
    </w:p>
    <w:p w14:paraId="4AB97F01" w14:textId="12B760DF" w:rsidR="00930DFC" w:rsidRPr="00ED4EDD" w:rsidRDefault="00836250" w:rsidP="00930DFC">
      <w:pPr>
        <w:pStyle w:val="Nagwek3"/>
        <w:rPr>
          <w:sz w:val="22"/>
          <w:szCs w:val="22"/>
        </w:rPr>
      </w:pPr>
      <w:bookmarkStart w:id="257" w:name="_Toc73534940"/>
      <w:r>
        <w:rPr>
          <w:sz w:val="22"/>
          <w:szCs w:val="22"/>
        </w:rPr>
        <w:lastRenderedPageBreak/>
        <w:t>4.1.</w:t>
      </w:r>
      <w:r w:rsidR="000A046D">
        <w:rPr>
          <w:sz w:val="22"/>
          <w:szCs w:val="22"/>
        </w:rPr>
        <w:t>3</w:t>
      </w:r>
      <w:r>
        <w:rPr>
          <w:sz w:val="22"/>
          <w:szCs w:val="22"/>
        </w:rPr>
        <w:t xml:space="preserve"> </w:t>
      </w:r>
      <w:r w:rsidR="00930DFC" w:rsidRPr="00ED4EDD">
        <w:rPr>
          <w:sz w:val="22"/>
          <w:szCs w:val="22"/>
        </w:rPr>
        <w:t>Szkolnictwo podstawowe</w:t>
      </w:r>
      <w:bookmarkEnd w:id="256"/>
      <w:bookmarkEnd w:id="257"/>
    </w:p>
    <w:p w14:paraId="494A370F" w14:textId="2B080928" w:rsidR="00930DFC" w:rsidRDefault="003B68FB" w:rsidP="00930DFC">
      <w:pPr>
        <w:jc w:val="both"/>
      </w:pPr>
      <w:r>
        <w:t xml:space="preserve">W analizowanych latach 2013-2019 dokonały się zmiany w systemie edukacji. </w:t>
      </w:r>
      <w:r w:rsidR="00D12A20">
        <w:t>W</w:t>
      </w:r>
      <w:r w:rsidR="00D12A20" w:rsidRPr="00ED4EDD">
        <w:t>raz z poc</w:t>
      </w:r>
      <w:r w:rsidR="00D12A20">
        <w:t>zątkiem roku szkolnego 2017/2018 p</w:t>
      </w:r>
      <w:r w:rsidR="00E52432">
        <w:t>rzeobrażeniom uleg</w:t>
      </w:r>
      <w:r>
        <w:t>ł</w:t>
      </w:r>
      <w:r w:rsidR="00E52432">
        <w:t xml:space="preserve">a sieć szkół </w:t>
      </w:r>
      <w:r w:rsidR="007316E2">
        <w:t>podstawowych</w:t>
      </w:r>
      <w:r w:rsidR="00E52432">
        <w:t xml:space="preserve">. </w:t>
      </w:r>
      <w:r w:rsidR="00D12A20">
        <w:t xml:space="preserve">W miejsce 6-letniej szkoły podstawowej i 3-letniego gimnazjum wprowadzono 8-klasową szkołę podstawową. </w:t>
      </w:r>
    </w:p>
    <w:p w14:paraId="45602AF4" w14:textId="2FC64247" w:rsidR="00D03EF0" w:rsidRPr="00D03EF0" w:rsidRDefault="00D03EF0" w:rsidP="00D03EF0">
      <w:pPr>
        <w:pStyle w:val="Legenda"/>
        <w:rPr>
          <w:sz w:val="22"/>
          <w:szCs w:val="22"/>
        </w:rPr>
      </w:pPr>
      <w:bookmarkStart w:id="258" w:name="_Toc73534994"/>
      <w:r w:rsidRPr="00D03EF0">
        <w:rPr>
          <w:sz w:val="22"/>
          <w:szCs w:val="22"/>
        </w:rPr>
        <w:t xml:space="preserve">Tabela </w:t>
      </w:r>
      <w:r w:rsidRPr="00D03EF0">
        <w:rPr>
          <w:sz w:val="22"/>
          <w:szCs w:val="22"/>
        </w:rPr>
        <w:fldChar w:fldCharType="begin"/>
      </w:r>
      <w:r w:rsidRPr="00D03EF0">
        <w:rPr>
          <w:sz w:val="22"/>
          <w:szCs w:val="22"/>
        </w:rPr>
        <w:instrText xml:space="preserve"> SEQ Tabela \* ARABIC </w:instrText>
      </w:r>
      <w:r w:rsidRPr="00D03EF0">
        <w:rPr>
          <w:sz w:val="22"/>
          <w:szCs w:val="22"/>
        </w:rPr>
        <w:fldChar w:fldCharType="separate"/>
      </w:r>
      <w:r w:rsidR="00AD58C3">
        <w:rPr>
          <w:noProof/>
          <w:sz w:val="22"/>
          <w:szCs w:val="22"/>
        </w:rPr>
        <w:t>31</w:t>
      </w:r>
      <w:r w:rsidRPr="00D03EF0">
        <w:rPr>
          <w:sz w:val="22"/>
          <w:szCs w:val="22"/>
        </w:rPr>
        <w:fldChar w:fldCharType="end"/>
      </w:r>
      <w:r w:rsidRPr="00D03EF0">
        <w:rPr>
          <w:sz w:val="22"/>
          <w:szCs w:val="22"/>
        </w:rPr>
        <w:t xml:space="preserve">. </w:t>
      </w:r>
      <w:r w:rsidRPr="00D03EF0">
        <w:rPr>
          <w:rFonts w:eastAsia="Times New Roman" w:cs="Times New Roman"/>
          <w:bCs/>
          <w:sz w:val="22"/>
          <w:szCs w:val="22"/>
          <w:lang w:eastAsia="pl-PL"/>
        </w:rPr>
        <w:t>Szkoły podstawowe w latach 2013-201</w:t>
      </w:r>
      <w:r w:rsidR="003B68FB">
        <w:rPr>
          <w:rFonts w:eastAsia="Times New Roman" w:cs="Times New Roman"/>
          <w:bCs/>
          <w:sz w:val="22"/>
          <w:szCs w:val="22"/>
          <w:lang w:eastAsia="pl-PL"/>
        </w:rPr>
        <w:t>9</w:t>
      </w:r>
      <w:bookmarkEnd w:id="258"/>
    </w:p>
    <w:tbl>
      <w:tblPr>
        <w:tblW w:w="7087" w:type="dxa"/>
        <w:jc w:val="center"/>
        <w:tblCellMar>
          <w:left w:w="70" w:type="dxa"/>
          <w:right w:w="70" w:type="dxa"/>
        </w:tblCellMar>
        <w:tblLook w:val="04A0" w:firstRow="1" w:lastRow="0" w:firstColumn="1" w:lastColumn="0" w:noHBand="0" w:noVBand="1"/>
      </w:tblPr>
      <w:tblGrid>
        <w:gridCol w:w="1134"/>
        <w:gridCol w:w="851"/>
        <w:gridCol w:w="850"/>
        <w:gridCol w:w="851"/>
        <w:gridCol w:w="850"/>
        <w:gridCol w:w="851"/>
        <w:gridCol w:w="850"/>
        <w:gridCol w:w="850"/>
      </w:tblGrid>
      <w:tr w:rsidR="003B68FB" w:rsidRPr="00771766" w14:paraId="53C30AFC" w14:textId="5BC985AF" w:rsidTr="003B68FB">
        <w:trPr>
          <w:trHeight w:val="268"/>
          <w:jc w:val="center"/>
        </w:trPr>
        <w:tc>
          <w:tcPr>
            <w:tcW w:w="1134" w:type="dxa"/>
            <w:tcBorders>
              <w:top w:val="nil"/>
              <w:left w:val="nil"/>
              <w:bottom w:val="nil"/>
              <w:right w:val="nil"/>
            </w:tcBorders>
            <w:shd w:val="clear" w:color="auto" w:fill="auto"/>
            <w:noWrap/>
            <w:vAlign w:val="bottom"/>
            <w:hideMark/>
          </w:tcPr>
          <w:p w14:paraId="1A7FCEE2" w14:textId="77777777" w:rsidR="003B68FB" w:rsidRPr="00771766" w:rsidRDefault="003B68FB" w:rsidP="00771766">
            <w:pPr>
              <w:spacing w:after="0" w:line="240" w:lineRule="auto"/>
              <w:jc w:val="center"/>
              <w:rPr>
                <w:rFonts w:ascii="Calibri" w:eastAsia="Times New Roman" w:hAnsi="Calibri" w:cs="Times New Roman"/>
                <w:b/>
                <w:bCs/>
                <w:lang w:eastAsia="pl-PL"/>
              </w:rPr>
            </w:pPr>
          </w:p>
        </w:tc>
        <w:tc>
          <w:tcPr>
            <w:tcW w:w="851"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34306477" w14:textId="77777777" w:rsidR="003B68FB" w:rsidRPr="00771766" w:rsidRDefault="003B68FB" w:rsidP="001723EA">
            <w:pPr>
              <w:spacing w:after="0" w:line="240" w:lineRule="auto"/>
              <w:jc w:val="center"/>
              <w:rPr>
                <w:rFonts w:ascii="Calibri" w:eastAsia="Times New Roman" w:hAnsi="Calibri" w:cs="Times New Roman"/>
                <w:b/>
                <w:color w:val="000000"/>
                <w:lang w:eastAsia="pl-PL"/>
              </w:rPr>
            </w:pPr>
            <w:r w:rsidRPr="00771766">
              <w:rPr>
                <w:rFonts w:ascii="Calibri" w:eastAsia="Times New Roman" w:hAnsi="Calibri" w:cs="Times New Roman"/>
                <w:b/>
                <w:color w:val="000000"/>
                <w:lang w:eastAsia="pl-PL"/>
              </w:rPr>
              <w:t>2013</w:t>
            </w:r>
          </w:p>
        </w:tc>
        <w:tc>
          <w:tcPr>
            <w:tcW w:w="850" w:type="dxa"/>
            <w:tcBorders>
              <w:top w:val="single" w:sz="4" w:space="0" w:color="auto"/>
              <w:left w:val="nil"/>
              <w:bottom w:val="single" w:sz="4" w:space="0" w:color="auto"/>
              <w:right w:val="single" w:sz="4" w:space="0" w:color="auto"/>
            </w:tcBorders>
            <w:shd w:val="clear" w:color="auto" w:fill="92D050"/>
            <w:vAlign w:val="center"/>
            <w:hideMark/>
          </w:tcPr>
          <w:p w14:paraId="3F8B08CD" w14:textId="77777777" w:rsidR="003B68FB" w:rsidRPr="00771766" w:rsidRDefault="003B68FB" w:rsidP="001723EA">
            <w:pPr>
              <w:spacing w:after="0" w:line="240" w:lineRule="auto"/>
              <w:jc w:val="center"/>
              <w:rPr>
                <w:rFonts w:ascii="Calibri" w:eastAsia="Times New Roman" w:hAnsi="Calibri" w:cs="Times New Roman"/>
                <w:b/>
                <w:color w:val="000000"/>
                <w:lang w:eastAsia="pl-PL"/>
              </w:rPr>
            </w:pPr>
            <w:r w:rsidRPr="00771766">
              <w:rPr>
                <w:rFonts w:ascii="Calibri" w:eastAsia="Times New Roman" w:hAnsi="Calibri" w:cs="Times New Roman"/>
                <w:b/>
                <w:color w:val="000000"/>
                <w:lang w:eastAsia="pl-PL"/>
              </w:rPr>
              <w:t>2014</w:t>
            </w:r>
          </w:p>
        </w:tc>
        <w:tc>
          <w:tcPr>
            <w:tcW w:w="851" w:type="dxa"/>
            <w:tcBorders>
              <w:top w:val="single" w:sz="4" w:space="0" w:color="auto"/>
              <w:left w:val="nil"/>
              <w:bottom w:val="single" w:sz="4" w:space="0" w:color="auto"/>
              <w:right w:val="single" w:sz="4" w:space="0" w:color="auto"/>
            </w:tcBorders>
            <w:shd w:val="clear" w:color="auto" w:fill="92D050"/>
            <w:vAlign w:val="center"/>
            <w:hideMark/>
          </w:tcPr>
          <w:p w14:paraId="53DD8151" w14:textId="77777777" w:rsidR="003B68FB" w:rsidRPr="00771766" w:rsidRDefault="003B68FB" w:rsidP="001723EA">
            <w:pPr>
              <w:spacing w:after="0" w:line="240" w:lineRule="auto"/>
              <w:jc w:val="center"/>
              <w:rPr>
                <w:rFonts w:ascii="Calibri" w:eastAsia="Times New Roman" w:hAnsi="Calibri" w:cs="Times New Roman"/>
                <w:b/>
                <w:color w:val="000000"/>
                <w:lang w:eastAsia="pl-PL"/>
              </w:rPr>
            </w:pPr>
            <w:r w:rsidRPr="00771766">
              <w:rPr>
                <w:rFonts w:ascii="Calibri" w:eastAsia="Times New Roman" w:hAnsi="Calibri" w:cs="Times New Roman"/>
                <w:b/>
                <w:color w:val="000000"/>
                <w:lang w:eastAsia="pl-PL"/>
              </w:rPr>
              <w:t>2015</w:t>
            </w:r>
          </w:p>
        </w:tc>
        <w:tc>
          <w:tcPr>
            <w:tcW w:w="850" w:type="dxa"/>
            <w:tcBorders>
              <w:top w:val="single" w:sz="4" w:space="0" w:color="auto"/>
              <w:left w:val="nil"/>
              <w:bottom w:val="single" w:sz="4" w:space="0" w:color="auto"/>
              <w:right w:val="single" w:sz="4" w:space="0" w:color="auto"/>
            </w:tcBorders>
            <w:shd w:val="clear" w:color="auto" w:fill="92D050"/>
            <w:vAlign w:val="center"/>
            <w:hideMark/>
          </w:tcPr>
          <w:p w14:paraId="73B6E4AD" w14:textId="77777777" w:rsidR="003B68FB" w:rsidRPr="00771766" w:rsidRDefault="003B68FB" w:rsidP="001723EA">
            <w:pPr>
              <w:spacing w:after="0" w:line="240" w:lineRule="auto"/>
              <w:jc w:val="center"/>
              <w:rPr>
                <w:rFonts w:ascii="Calibri" w:eastAsia="Times New Roman" w:hAnsi="Calibri" w:cs="Times New Roman"/>
                <w:b/>
                <w:color w:val="000000"/>
                <w:lang w:eastAsia="pl-PL"/>
              </w:rPr>
            </w:pPr>
            <w:r w:rsidRPr="00771766">
              <w:rPr>
                <w:rFonts w:ascii="Calibri" w:eastAsia="Times New Roman" w:hAnsi="Calibri" w:cs="Times New Roman"/>
                <w:b/>
                <w:color w:val="000000"/>
                <w:lang w:eastAsia="pl-PL"/>
              </w:rPr>
              <w:t>2016</w:t>
            </w:r>
          </w:p>
        </w:tc>
        <w:tc>
          <w:tcPr>
            <w:tcW w:w="851" w:type="dxa"/>
            <w:tcBorders>
              <w:top w:val="single" w:sz="4" w:space="0" w:color="auto"/>
              <w:left w:val="nil"/>
              <w:bottom w:val="single" w:sz="4" w:space="0" w:color="auto"/>
              <w:right w:val="single" w:sz="4" w:space="0" w:color="auto"/>
            </w:tcBorders>
            <w:shd w:val="clear" w:color="auto" w:fill="92D050"/>
            <w:vAlign w:val="center"/>
            <w:hideMark/>
          </w:tcPr>
          <w:p w14:paraId="4A6FC266" w14:textId="77777777" w:rsidR="003B68FB" w:rsidRPr="00771766" w:rsidRDefault="003B68FB" w:rsidP="001723EA">
            <w:pPr>
              <w:spacing w:after="0" w:line="240" w:lineRule="auto"/>
              <w:jc w:val="center"/>
              <w:rPr>
                <w:rFonts w:ascii="Calibri" w:eastAsia="Times New Roman" w:hAnsi="Calibri" w:cs="Times New Roman"/>
                <w:b/>
                <w:color w:val="000000"/>
                <w:lang w:eastAsia="pl-PL"/>
              </w:rPr>
            </w:pPr>
            <w:r w:rsidRPr="00771766">
              <w:rPr>
                <w:rFonts w:ascii="Calibri" w:eastAsia="Times New Roman" w:hAnsi="Calibri" w:cs="Times New Roman"/>
                <w:b/>
                <w:color w:val="000000"/>
                <w:lang w:eastAsia="pl-PL"/>
              </w:rPr>
              <w:t>2017</w:t>
            </w:r>
          </w:p>
        </w:tc>
        <w:tc>
          <w:tcPr>
            <w:tcW w:w="850" w:type="dxa"/>
            <w:tcBorders>
              <w:top w:val="single" w:sz="4" w:space="0" w:color="auto"/>
              <w:left w:val="nil"/>
              <w:bottom w:val="single" w:sz="4" w:space="0" w:color="auto"/>
              <w:right w:val="single" w:sz="4" w:space="0" w:color="auto"/>
            </w:tcBorders>
            <w:shd w:val="clear" w:color="auto" w:fill="92D050"/>
            <w:vAlign w:val="center"/>
            <w:hideMark/>
          </w:tcPr>
          <w:p w14:paraId="3C819F24" w14:textId="77777777" w:rsidR="003B68FB" w:rsidRPr="00771766" w:rsidRDefault="003B68FB" w:rsidP="001723EA">
            <w:pPr>
              <w:spacing w:after="0" w:line="240" w:lineRule="auto"/>
              <w:jc w:val="center"/>
              <w:rPr>
                <w:rFonts w:ascii="Calibri" w:eastAsia="Times New Roman" w:hAnsi="Calibri" w:cs="Times New Roman"/>
                <w:b/>
                <w:color w:val="000000"/>
                <w:lang w:eastAsia="pl-PL"/>
              </w:rPr>
            </w:pPr>
            <w:r w:rsidRPr="00771766">
              <w:rPr>
                <w:rFonts w:ascii="Calibri" w:eastAsia="Times New Roman" w:hAnsi="Calibri" w:cs="Times New Roman"/>
                <w:b/>
                <w:color w:val="000000"/>
                <w:lang w:eastAsia="pl-PL"/>
              </w:rPr>
              <w:t>2018</w:t>
            </w:r>
          </w:p>
        </w:tc>
        <w:tc>
          <w:tcPr>
            <w:tcW w:w="850" w:type="dxa"/>
            <w:tcBorders>
              <w:top w:val="single" w:sz="4" w:space="0" w:color="auto"/>
              <w:left w:val="nil"/>
              <w:bottom w:val="single" w:sz="4" w:space="0" w:color="auto"/>
              <w:right w:val="single" w:sz="4" w:space="0" w:color="auto"/>
            </w:tcBorders>
            <w:shd w:val="clear" w:color="auto" w:fill="92D050"/>
          </w:tcPr>
          <w:p w14:paraId="5D1A6742" w14:textId="578302B5" w:rsidR="003B68FB" w:rsidRPr="00771766" w:rsidRDefault="003B68FB" w:rsidP="001723EA">
            <w:pPr>
              <w:spacing w:after="0" w:line="240" w:lineRule="auto"/>
              <w:jc w:val="center"/>
              <w:rPr>
                <w:rFonts w:ascii="Calibri" w:eastAsia="Times New Roman" w:hAnsi="Calibri" w:cs="Times New Roman"/>
                <w:b/>
                <w:color w:val="000000"/>
                <w:lang w:eastAsia="pl-PL"/>
              </w:rPr>
            </w:pPr>
            <w:r>
              <w:rPr>
                <w:rFonts w:ascii="Calibri" w:eastAsia="Times New Roman" w:hAnsi="Calibri" w:cs="Times New Roman"/>
                <w:b/>
                <w:color w:val="000000"/>
                <w:lang w:eastAsia="pl-PL"/>
              </w:rPr>
              <w:t>2019</w:t>
            </w:r>
          </w:p>
        </w:tc>
      </w:tr>
      <w:tr w:rsidR="003B68FB" w:rsidRPr="00771766" w14:paraId="604E04F9" w14:textId="58F84344" w:rsidTr="003B68FB">
        <w:trPr>
          <w:trHeight w:val="268"/>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893664" w14:textId="77777777" w:rsidR="003B68FB" w:rsidRPr="000B5112" w:rsidRDefault="003B68FB" w:rsidP="003B68FB">
            <w:pPr>
              <w:spacing w:after="0" w:line="240" w:lineRule="auto"/>
              <w:rPr>
                <w:rFonts w:ascii="Calibri" w:eastAsia="Times New Roman" w:hAnsi="Calibri" w:cs="Times New Roman"/>
                <w:sz w:val="20"/>
                <w:szCs w:val="20"/>
                <w:lang w:eastAsia="pl-PL"/>
              </w:rPr>
            </w:pPr>
            <w:r w:rsidRPr="000B5112">
              <w:rPr>
                <w:rFonts w:ascii="Calibri" w:eastAsia="Times New Roman" w:hAnsi="Calibri" w:cs="Times New Roman"/>
                <w:sz w:val="20"/>
                <w:szCs w:val="20"/>
                <w:lang w:eastAsia="pl-PL"/>
              </w:rPr>
              <w:t>Olsztyn</w:t>
            </w:r>
          </w:p>
        </w:tc>
        <w:tc>
          <w:tcPr>
            <w:tcW w:w="851" w:type="dxa"/>
            <w:tcBorders>
              <w:top w:val="nil"/>
              <w:left w:val="nil"/>
              <w:bottom w:val="single" w:sz="4" w:space="0" w:color="auto"/>
              <w:right w:val="single" w:sz="4" w:space="0" w:color="auto"/>
            </w:tcBorders>
            <w:shd w:val="clear" w:color="auto" w:fill="auto"/>
            <w:noWrap/>
            <w:vAlign w:val="bottom"/>
            <w:hideMark/>
          </w:tcPr>
          <w:p w14:paraId="36F89A28" w14:textId="77777777" w:rsidR="003B68FB" w:rsidRPr="000B5112" w:rsidRDefault="003B68FB" w:rsidP="003B68FB">
            <w:pPr>
              <w:spacing w:after="0" w:line="240" w:lineRule="auto"/>
              <w:jc w:val="right"/>
              <w:rPr>
                <w:rFonts w:ascii="Calibri" w:eastAsia="Times New Roman" w:hAnsi="Calibri" w:cs="Times New Roman"/>
                <w:sz w:val="20"/>
                <w:szCs w:val="20"/>
                <w:lang w:eastAsia="pl-PL"/>
              </w:rPr>
            </w:pPr>
            <w:r w:rsidRPr="000B5112">
              <w:rPr>
                <w:rFonts w:ascii="Calibri" w:eastAsia="Times New Roman" w:hAnsi="Calibri" w:cs="Times New Roman"/>
                <w:sz w:val="20"/>
                <w:szCs w:val="20"/>
                <w:lang w:eastAsia="pl-PL"/>
              </w:rPr>
              <w:t>31</w:t>
            </w:r>
          </w:p>
        </w:tc>
        <w:tc>
          <w:tcPr>
            <w:tcW w:w="850" w:type="dxa"/>
            <w:tcBorders>
              <w:top w:val="nil"/>
              <w:left w:val="nil"/>
              <w:bottom w:val="single" w:sz="4" w:space="0" w:color="auto"/>
              <w:right w:val="single" w:sz="4" w:space="0" w:color="auto"/>
            </w:tcBorders>
            <w:shd w:val="clear" w:color="auto" w:fill="auto"/>
            <w:noWrap/>
            <w:vAlign w:val="bottom"/>
            <w:hideMark/>
          </w:tcPr>
          <w:p w14:paraId="7A3EC5DF" w14:textId="77777777" w:rsidR="003B68FB" w:rsidRPr="000B5112" w:rsidRDefault="003B68FB" w:rsidP="003B68FB">
            <w:pPr>
              <w:spacing w:after="0" w:line="240" w:lineRule="auto"/>
              <w:jc w:val="right"/>
              <w:rPr>
                <w:rFonts w:ascii="Calibri" w:eastAsia="Times New Roman" w:hAnsi="Calibri" w:cs="Times New Roman"/>
                <w:sz w:val="20"/>
                <w:szCs w:val="20"/>
                <w:lang w:eastAsia="pl-PL"/>
              </w:rPr>
            </w:pPr>
            <w:r w:rsidRPr="000B5112">
              <w:rPr>
                <w:rFonts w:ascii="Calibri" w:eastAsia="Times New Roman" w:hAnsi="Calibri" w:cs="Times New Roman"/>
                <w:sz w:val="20"/>
                <w:szCs w:val="20"/>
                <w:lang w:eastAsia="pl-PL"/>
              </w:rPr>
              <w:t>33</w:t>
            </w:r>
          </w:p>
        </w:tc>
        <w:tc>
          <w:tcPr>
            <w:tcW w:w="851" w:type="dxa"/>
            <w:tcBorders>
              <w:top w:val="nil"/>
              <w:left w:val="nil"/>
              <w:bottom w:val="single" w:sz="4" w:space="0" w:color="auto"/>
              <w:right w:val="single" w:sz="4" w:space="0" w:color="auto"/>
            </w:tcBorders>
            <w:shd w:val="clear" w:color="auto" w:fill="auto"/>
            <w:noWrap/>
            <w:vAlign w:val="bottom"/>
            <w:hideMark/>
          </w:tcPr>
          <w:p w14:paraId="5539F7F1" w14:textId="7777777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eastAsia="Times New Roman" w:hAnsi="Calibri" w:cs="Times New Roman"/>
                <w:sz w:val="20"/>
                <w:szCs w:val="20"/>
                <w:lang w:eastAsia="pl-PL"/>
              </w:rPr>
              <w:t>35</w:t>
            </w:r>
          </w:p>
        </w:tc>
        <w:tc>
          <w:tcPr>
            <w:tcW w:w="850" w:type="dxa"/>
            <w:tcBorders>
              <w:top w:val="nil"/>
              <w:left w:val="nil"/>
              <w:bottom w:val="single" w:sz="4" w:space="0" w:color="auto"/>
              <w:right w:val="single" w:sz="4" w:space="0" w:color="auto"/>
            </w:tcBorders>
            <w:shd w:val="clear" w:color="auto" w:fill="auto"/>
            <w:noWrap/>
            <w:vAlign w:val="bottom"/>
            <w:hideMark/>
          </w:tcPr>
          <w:p w14:paraId="2BE9C32D" w14:textId="7777777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eastAsia="Times New Roman" w:hAnsi="Calibri" w:cs="Times New Roman"/>
                <w:sz w:val="20"/>
                <w:szCs w:val="20"/>
                <w:lang w:eastAsia="pl-PL"/>
              </w:rPr>
              <w:t>35</w:t>
            </w:r>
          </w:p>
        </w:tc>
        <w:tc>
          <w:tcPr>
            <w:tcW w:w="851" w:type="dxa"/>
            <w:tcBorders>
              <w:top w:val="nil"/>
              <w:left w:val="nil"/>
              <w:bottom w:val="single" w:sz="4" w:space="0" w:color="auto"/>
              <w:right w:val="single" w:sz="4" w:space="0" w:color="auto"/>
            </w:tcBorders>
            <w:shd w:val="clear" w:color="auto" w:fill="auto"/>
            <w:noWrap/>
            <w:vAlign w:val="bottom"/>
            <w:hideMark/>
          </w:tcPr>
          <w:p w14:paraId="41F15B08" w14:textId="7777777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eastAsia="Times New Roman" w:hAnsi="Calibri" w:cs="Times New Roman"/>
                <w:sz w:val="20"/>
                <w:szCs w:val="20"/>
                <w:lang w:eastAsia="pl-PL"/>
              </w:rPr>
              <w:t>41</w:t>
            </w:r>
          </w:p>
        </w:tc>
        <w:tc>
          <w:tcPr>
            <w:tcW w:w="850" w:type="dxa"/>
            <w:tcBorders>
              <w:top w:val="nil"/>
              <w:left w:val="nil"/>
              <w:bottom w:val="single" w:sz="4" w:space="0" w:color="auto"/>
              <w:right w:val="single" w:sz="4" w:space="0" w:color="auto"/>
            </w:tcBorders>
            <w:shd w:val="clear" w:color="auto" w:fill="auto"/>
            <w:noWrap/>
            <w:vAlign w:val="bottom"/>
            <w:hideMark/>
          </w:tcPr>
          <w:p w14:paraId="633E18E5" w14:textId="7777777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eastAsia="Times New Roman" w:hAnsi="Calibri" w:cs="Times New Roman"/>
                <w:sz w:val="20"/>
                <w:szCs w:val="20"/>
                <w:lang w:eastAsia="pl-PL"/>
              </w:rPr>
              <w:t>42</w:t>
            </w:r>
          </w:p>
        </w:tc>
        <w:tc>
          <w:tcPr>
            <w:tcW w:w="850" w:type="dxa"/>
            <w:tcBorders>
              <w:top w:val="nil"/>
              <w:left w:val="nil"/>
              <w:bottom w:val="single" w:sz="4" w:space="0" w:color="auto"/>
              <w:right w:val="single" w:sz="4" w:space="0" w:color="auto"/>
            </w:tcBorders>
            <w:vAlign w:val="bottom"/>
          </w:tcPr>
          <w:p w14:paraId="47395DF2" w14:textId="23F4438F"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hAnsi="Calibri"/>
                <w:sz w:val="20"/>
                <w:szCs w:val="20"/>
              </w:rPr>
              <w:t>42</w:t>
            </w:r>
          </w:p>
        </w:tc>
      </w:tr>
      <w:tr w:rsidR="003B68FB" w:rsidRPr="00771766" w14:paraId="270658EA" w14:textId="7ED5E95F" w:rsidTr="00D12A20">
        <w:trPr>
          <w:trHeight w:val="268"/>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C21A0FF" w14:textId="77777777" w:rsidR="003B68FB" w:rsidRPr="000B5112" w:rsidRDefault="003B68FB" w:rsidP="003B68FB">
            <w:pPr>
              <w:spacing w:after="0" w:line="240" w:lineRule="auto"/>
              <w:rPr>
                <w:rFonts w:ascii="Calibri" w:eastAsia="Times New Roman" w:hAnsi="Calibri" w:cs="Times New Roman"/>
                <w:sz w:val="20"/>
                <w:szCs w:val="20"/>
                <w:lang w:eastAsia="pl-PL"/>
              </w:rPr>
            </w:pPr>
            <w:r w:rsidRPr="000B5112">
              <w:rPr>
                <w:rFonts w:ascii="Calibri" w:eastAsia="Times New Roman" w:hAnsi="Calibri" w:cs="Times New Roman"/>
                <w:sz w:val="20"/>
                <w:szCs w:val="20"/>
                <w:lang w:eastAsia="pl-PL"/>
              </w:rPr>
              <w:t>Kielce</w:t>
            </w:r>
          </w:p>
        </w:tc>
        <w:tc>
          <w:tcPr>
            <w:tcW w:w="851" w:type="dxa"/>
            <w:tcBorders>
              <w:top w:val="nil"/>
              <w:left w:val="nil"/>
              <w:bottom w:val="single" w:sz="4" w:space="0" w:color="auto"/>
              <w:right w:val="single" w:sz="4" w:space="0" w:color="auto"/>
            </w:tcBorders>
            <w:shd w:val="clear" w:color="auto" w:fill="auto"/>
            <w:noWrap/>
            <w:vAlign w:val="bottom"/>
            <w:hideMark/>
          </w:tcPr>
          <w:p w14:paraId="212A16A1" w14:textId="77777777" w:rsidR="003B68FB" w:rsidRPr="000B5112" w:rsidRDefault="003B68FB" w:rsidP="003B68FB">
            <w:pPr>
              <w:spacing w:after="0" w:line="240" w:lineRule="auto"/>
              <w:jc w:val="right"/>
              <w:rPr>
                <w:rFonts w:ascii="Calibri" w:eastAsia="Times New Roman" w:hAnsi="Calibri" w:cs="Times New Roman"/>
                <w:sz w:val="20"/>
                <w:szCs w:val="20"/>
                <w:lang w:eastAsia="pl-PL"/>
              </w:rPr>
            </w:pPr>
            <w:r w:rsidRPr="000B5112">
              <w:rPr>
                <w:rFonts w:ascii="Calibri" w:eastAsia="Times New Roman" w:hAnsi="Calibri" w:cs="Times New Roman"/>
                <w:sz w:val="20"/>
                <w:szCs w:val="20"/>
                <w:lang w:eastAsia="pl-PL"/>
              </w:rPr>
              <w:t>33</w:t>
            </w:r>
          </w:p>
        </w:tc>
        <w:tc>
          <w:tcPr>
            <w:tcW w:w="850" w:type="dxa"/>
            <w:tcBorders>
              <w:top w:val="nil"/>
              <w:left w:val="nil"/>
              <w:bottom w:val="single" w:sz="4" w:space="0" w:color="auto"/>
              <w:right w:val="single" w:sz="4" w:space="0" w:color="auto"/>
            </w:tcBorders>
            <w:shd w:val="clear" w:color="auto" w:fill="auto"/>
            <w:noWrap/>
            <w:vAlign w:val="bottom"/>
            <w:hideMark/>
          </w:tcPr>
          <w:p w14:paraId="66B2D69C" w14:textId="77777777" w:rsidR="003B68FB" w:rsidRPr="000B5112" w:rsidRDefault="003B68FB" w:rsidP="003B68FB">
            <w:pPr>
              <w:spacing w:after="0" w:line="240" w:lineRule="auto"/>
              <w:jc w:val="right"/>
              <w:rPr>
                <w:rFonts w:ascii="Calibri" w:eastAsia="Times New Roman" w:hAnsi="Calibri" w:cs="Times New Roman"/>
                <w:sz w:val="20"/>
                <w:szCs w:val="20"/>
                <w:lang w:eastAsia="pl-PL"/>
              </w:rPr>
            </w:pPr>
            <w:r w:rsidRPr="000B5112">
              <w:rPr>
                <w:rFonts w:ascii="Calibri" w:eastAsia="Times New Roman" w:hAnsi="Calibri" w:cs="Times New Roman"/>
                <w:sz w:val="20"/>
                <w:szCs w:val="20"/>
                <w:lang w:eastAsia="pl-PL"/>
              </w:rPr>
              <w:t>34</w:t>
            </w:r>
          </w:p>
        </w:tc>
        <w:tc>
          <w:tcPr>
            <w:tcW w:w="851" w:type="dxa"/>
            <w:tcBorders>
              <w:top w:val="nil"/>
              <w:left w:val="nil"/>
              <w:bottom w:val="single" w:sz="4" w:space="0" w:color="auto"/>
              <w:right w:val="single" w:sz="4" w:space="0" w:color="auto"/>
            </w:tcBorders>
            <w:shd w:val="clear" w:color="auto" w:fill="auto"/>
            <w:noWrap/>
            <w:vAlign w:val="bottom"/>
            <w:hideMark/>
          </w:tcPr>
          <w:p w14:paraId="75DFFA62" w14:textId="7777777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eastAsia="Times New Roman" w:hAnsi="Calibri" w:cs="Times New Roman"/>
                <w:sz w:val="20"/>
                <w:szCs w:val="20"/>
                <w:lang w:eastAsia="pl-PL"/>
              </w:rPr>
              <w:t>37</w:t>
            </w:r>
          </w:p>
        </w:tc>
        <w:tc>
          <w:tcPr>
            <w:tcW w:w="850" w:type="dxa"/>
            <w:tcBorders>
              <w:top w:val="nil"/>
              <w:left w:val="nil"/>
              <w:bottom w:val="single" w:sz="4" w:space="0" w:color="auto"/>
              <w:right w:val="single" w:sz="4" w:space="0" w:color="auto"/>
            </w:tcBorders>
            <w:shd w:val="clear" w:color="auto" w:fill="auto"/>
            <w:noWrap/>
            <w:vAlign w:val="bottom"/>
            <w:hideMark/>
          </w:tcPr>
          <w:p w14:paraId="2C956808" w14:textId="7777777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eastAsia="Times New Roman" w:hAnsi="Calibri" w:cs="Times New Roman"/>
                <w:sz w:val="20"/>
                <w:szCs w:val="20"/>
                <w:lang w:eastAsia="pl-PL"/>
              </w:rPr>
              <w:t>36</w:t>
            </w:r>
          </w:p>
        </w:tc>
        <w:tc>
          <w:tcPr>
            <w:tcW w:w="851" w:type="dxa"/>
            <w:tcBorders>
              <w:top w:val="nil"/>
              <w:left w:val="nil"/>
              <w:bottom w:val="single" w:sz="4" w:space="0" w:color="auto"/>
              <w:right w:val="single" w:sz="4" w:space="0" w:color="auto"/>
            </w:tcBorders>
            <w:shd w:val="clear" w:color="auto" w:fill="auto"/>
            <w:noWrap/>
            <w:vAlign w:val="bottom"/>
            <w:hideMark/>
          </w:tcPr>
          <w:p w14:paraId="7AC4BA11" w14:textId="7777777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eastAsia="Times New Roman" w:hAnsi="Calibri" w:cs="Times New Roman"/>
                <w:sz w:val="20"/>
                <w:szCs w:val="20"/>
                <w:lang w:eastAsia="pl-PL"/>
              </w:rPr>
              <w:t>40</w:t>
            </w:r>
          </w:p>
        </w:tc>
        <w:tc>
          <w:tcPr>
            <w:tcW w:w="850" w:type="dxa"/>
            <w:tcBorders>
              <w:top w:val="nil"/>
              <w:left w:val="nil"/>
              <w:bottom w:val="single" w:sz="4" w:space="0" w:color="auto"/>
              <w:right w:val="single" w:sz="4" w:space="0" w:color="auto"/>
            </w:tcBorders>
            <w:shd w:val="clear" w:color="auto" w:fill="auto"/>
            <w:noWrap/>
            <w:vAlign w:val="bottom"/>
            <w:hideMark/>
          </w:tcPr>
          <w:p w14:paraId="68232319" w14:textId="7777777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eastAsia="Times New Roman" w:hAnsi="Calibri" w:cs="Times New Roman"/>
                <w:sz w:val="20"/>
                <w:szCs w:val="20"/>
                <w:lang w:eastAsia="pl-PL"/>
              </w:rPr>
              <w:t>42</w:t>
            </w:r>
          </w:p>
        </w:tc>
        <w:tc>
          <w:tcPr>
            <w:tcW w:w="850" w:type="dxa"/>
            <w:tcBorders>
              <w:top w:val="nil"/>
              <w:left w:val="nil"/>
              <w:bottom w:val="single" w:sz="4" w:space="0" w:color="auto"/>
              <w:right w:val="single" w:sz="4" w:space="0" w:color="auto"/>
            </w:tcBorders>
            <w:vAlign w:val="bottom"/>
          </w:tcPr>
          <w:p w14:paraId="6F66E742" w14:textId="6CD09BF0"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hAnsi="Calibri"/>
                <w:sz w:val="20"/>
                <w:szCs w:val="20"/>
              </w:rPr>
              <w:t>43</w:t>
            </w:r>
          </w:p>
        </w:tc>
      </w:tr>
      <w:tr w:rsidR="003B68FB" w:rsidRPr="00771766" w14:paraId="537ADC05" w14:textId="59C2B1A8" w:rsidTr="00D12A20">
        <w:trPr>
          <w:trHeight w:val="268"/>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8DD2E3" w14:textId="77777777" w:rsidR="003B68FB" w:rsidRPr="000B5112" w:rsidRDefault="003B68FB" w:rsidP="003B68FB">
            <w:pPr>
              <w:spacing w:after="0" w:line="240" w:lineRule="auto"/>
              <w:rPr>
                <w:rFonts w:ascii="Calibri" w:eastAsia="Times New Roman" w:hAnsi="Calibri" w:cs="Times New Roman"/>
                <w:sz w:val="20"/>
                <w:szCs w:val="20"/>
                <w:lang w:eastAsia="pl-PL"/>
              </w:rPr>
            </w:pPr>
            <w:r w:rsidRPr="000B5112">
              <w:rPr>
                <w:rFonts w:ascii="Calibri" w:eastAsia="Times New Roman" w:hAnsi="Calibri" w:cs="Times New Roman"/>
                <w:sz w:val="20"/>
                <w:szCs w:val="20"/>
                <w:lang w:eastAsia="pl-PL"/>
              </w:rPr>
              <w:t>Białystok</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10E02C0E" w14:textId="77777777" w:rsidR="003B68FB" w:rsidRPr="000B5112" w:rsidRDefault="003B68FB" w:rsidP="003B68FB">
            <w:pPr>
              <w:spacing w:after="0" w:line="240" w:lineRule="auto"/>
              <w:jc w:val="right"/>
              <w:rPr>
                <w:rFonts w:ascii="Calibri" w:eastAsia="Times New Roman" w:hAnsi="Calibri" w:cs="Times New Roman"/>
                <w:sz w:val="20"/>
                <w:szCs w:val="20"/>
                <w:lang w:eastAsia="pl-PL"/>
              </w:rPr>
            </w:pPr>
            <w:r w:rsidRPr="000B5112">
              <w:rPr>
                <w:rFonts w:ascii="Calibri" w:eastAsia="Times New Roman" w:hAnsi="Calibri" w:cs="Times New Roman"/>
                <w:sz w:val="20"/>
                <w:szCs w:val="20"/>
                <w:lang w:eastAsia="pl-PL"/>
              </w:rPr>
              <w:t>52</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0306C38C" w14:textId="77777777" w:rsidR="003B68FB" w:rsidRPr="000B5112" w:rsidRDefault="003B68FB" w:rsidP="003B68FB">
            <w:pPr>
              <w:spacing w:after="0" w:line="240" w:lineRule="auto"/>
              <w:jc w:val="right"/>
              <w:rPr>
                <w:rFonts w:ascii="Calibri" w:eastAsia="Times New Roman" w:hAnsi="Calibri" w:cs="Times New Roman"/>
                <w:sz w:val="20"/>
                <w:szCs w:val="20"/>
                <w:lang w:eastAsia="pl-PL"/>
              </w:rPr>
            </w:pPr>
            <w:r w:rsidRPr="000B5112">
              <w:rPr>
                <w:rFonts w:ascii="Calibri" w:eastAsia="Times New Roman" w:hAnsi="Calibri" w:cs="Times New Roman"/>
                <w:sz w:val="20"/>
                <w:szCs w:val="20"/>
                <w:lang w:eastAsia="pl-PL"/>
              </w:rPr>
              <w:t>53</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358876A6" w14:textId="7777777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eastAsia="Times New Roman" w:hAnsi="Calibri" w:cs="Times New Roman"/>
                <w:sz w:val="20"/>
                <w:szCs w:val="20"/>
                <w:lang w:eastAsia="pl-PL"/>
              </w:rPr>
              <w:t>59</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4F3C9F43" w14:textId="7777777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eastAsia="Times New Roman" w:hAnsi="Calibri" w:cs="Times New Roman"/>
                <w:sz w:val="20"/>
                <w:szCs w:val="20"/>
                <w:lang w:eastAsia="pl-PL"/>
              </w:rPr>
              <w:t>60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63B6BFD4" w14:textId="7777777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eastAsia="Times New Roman" w:hAnsi="Calibri" w:cs="Times New Roman"/>
                <w:sz w:val="20"/>
                <w:szCs w:val="20"/>
                <w:lang w:eastAsia="pl-PL"/>
              </w:rPr>
              <w:t>75</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74EA16D5" w14:textId="7777777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eastAsia="Times New Roman" w:hAnsi="Calibri" w:cs="Times New Roman"/>
                <w:sz w:val="20"/>
                <w:szCs w:val="20"/>
                <w:lang w:eastAsia="pl-PL"/>
              </w:rPr>
              <w:t>75</w:t>
            </w:r>
          </w:p>
        </w:tc>
        <w:tc>
          <w:tcPr>
            <w:tcW w:w="850" w:type="dxa"/>
            <w:tcBorders>
              <w:top w:val="single" w:sz="4" w:space="0" w:color="auto"/>
              <w:left w:val="nil"/>
              <w:bottom w:val="single" w:sz="4" w:space="0" w:color="auto"/>
              <w:right w:val="single" w:sz="4" w:space="0" w:color="auto"/>
            </w:tcBorders>
            <w:vAlign w:val="bottom"/>
          </w:tcPr>
          <w:p w14:paraId="1D265C6A" w14:textId="19FB41F9"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hAnsi="Calibri"/>
                <w:sz w:val="20"/>
                <w:szCs w:val="20"/>
              </w:rPr>
              <w:t>75</w:t>
            </w:r>
          </w:p>
        </w:tc>
      </w:tr>
      <w:tr w:rsidR="003B68FB" w:rsidRPr="00771766" w14:paraId="3FAB4392" w14:textId="63B414F0" w:rsidTr="00D12A20">
        <w:trPr>
          <w:trHeight w:val="268"/>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57825C" w14:textId="77777777" w:rsidR="003B68FB" w:rsidRPr="000B5112" w:rsidRDefault="003B68FB" w:rsidP="003B68FB">
            <w:pPr>
              <w:spacing w:after="0" w:line="240" w:lineRule="auto"/>
              <w:rPr>
                <w:rFonts w:ascii="Calibri" w:eastAsia="Times New Roman" w:hAnsi="Calibri" w:cs="Times New Roman"/>
                <w:sz w:val="20"/>
                <w:szCs w:val="20"/>
                <w:lang w:eastAsia="pl-PL"/>
              </w:rPr>
            </w:pPr>
            <w:r w:rsidRPr="000B5112">
              <w:rPr>
                <w:rFonts w:ascii="Calibri" w:eastAsia="Times New Roman" w:hAnsi="Calibri" w:cs="Times New Roman"/>
                <w:sz w:val="20"/>
                <w:szCs w:val="20"/>
                <w:lang w:eastAsia="pl-PL"/>
              </w:rPr>
              <w:t>Rzeszów</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30D564" w14:textId="77777777" w:rsidR="003B68FB" w:rsidRPr="000B5112" w:rsidRDefault="003B68FB" w:rsidP="003B68FB">
            <w:pPr>
              <w:spacing w:after="0" w:line="240" w:lineRule="auto"/>
              <w:jc w:val="right"/>
              <w:rPr>
                <w:rFonts w:ascii="Calibri" w:eastAsia="Times New Roman" w:hAnsi="Calibri" w:cs="Times New Roman"/>
                <w:sz w:val="20"/>
                <w:szCs w:val="20"/>
                <w:lang w:eastAsia="pl-PL"/>
              </w:rPr>
            </w:pPr>
            <w:r w:rsidRPr="000B5112">
              <w:rPr>
                <w:rFonts w:ascii="Calibri" w:eastAsia="Times New Roman" w:hAnsi="Calibri" w:cs="Times New Roman"/>
                <w:sz w:val="20"/>
                <w:szCs w:val="20"/>
                <w:lang w:eastAsia="pl-PL"/>
              </w:rPr>
              <w:t>33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775298" w14:textId="77777777" w:rsidR="003B68FB" w:rsidRPr="000B5112" w:rsidRDefault="003B68FB" w:rsidP="003B68FB">
            <w:pPr>
              <w:spacing w:after="0" w:line="240" w:lineRule="auto"/>
              <w:jc w:val="right"/>
              <w:rPr>
                <w:rFonts w:ascii="Calibri" w:eastAsia="Times New Roman" w:hAnsi="Calibri" w:cs="Times New Roman"/>
                <w:sz w:val="20"/>
                <w:szCs w:val="20"/>
                <w:lang w:eastAsia="pl-PL"/>
              </w:rPr>
            </w:pPr>
            <w:r w:rsidRPr="000B5112">
              <w:rPr>
                <w:rFonts w:ascii="Calibri" w:eastAsia="Times New Roman" w:hAnsi="Calibri" w:cs="Times New Roman"/>
                <w:sz w:val="20"/>
                <w:szCs w:val="20"/>
                <w:lang w:eastAsia="pl-PL"/>
              </w:rPr>
              <w:t>34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A84EF7" w14:textId="7777777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eastAsia="Times New Roman" w:hAnsi="Calibri" w:cs="Times New Roman"/>
                <w:sz w:val="20"/>
                <w:szCs w:val="20"/>
                <w:lang w:eastAsia="pl-PL"/>
              </w:rPr>
              <w:t>36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EA009E" w14:textId="7777777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eastAsia="Times New Roman" w:hAnsi="Calibri" w:cs="Times New Roman"/>
                <w:sz w:val="20"/>
                <w:szCs w:val="20"/>
                <w:lang w:eastAsia="pl-PL"/>
              </w:rPr>
              <w:t>36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2691A7" w14:textId="7777777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eastAsia="Times New Roman" w:hAnsi="Calibri" w:cs="Times New Roman"/>
                <w:sz w:val="20"/>
                <w:szCs w:val="20"/>
                <w:lang w:eastAsia="pl-PL"/>
              </w:rPr>
              <w:t>49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AE8EDB" w14:textId="7777777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eastAsia="Times New Roman" w:hAnsi="Calibri" w:cs="Times New Roman"/>
                <w:sz w:val="20"/>
                <w:szCs w:val="20"/>
                <w:lang w:eastAsia="pl-PL"/>
              </w:rPr>
              <w:t>50</w:t>
            </w:r>
          </w:p>
        </w:tc>
        <w:tc>
          <w:tcPr>
            <w:tcW w:w="850" w:type="dxa"/>
            <w:tcBorders>
              <w:top w:val="single" w:sz="4" w:space="0" w:color="auto"/>
              <w:left w:val="single" w:sz="4" w:space="0" w:color="auto"/>
              <w:bottom w:val="single" w:sz="4" w:space="0" w:color="auto"/>
              <w:right w:val="single" w:sz="4" w:space="0" w:color="auto"/>
            </w:tcBorders>
            <w:vAlign w:val="bottom"/>
          </w:tcPr>
          <w:p w14:paraId="0E943181" w14:textId="571EA3A1"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hAnsi="Calibri"/>
                <w:sz w:val="20"/>
                <w:szCs w:val="20"/>
              </w:rPr>
              <w:t>52</w:t>
            </w:r>
          </w:p>
        </w:tc>
      </w:tr>
      <w:tr w:rsidR="003B68FB" w:rsidRPr="00771766" w14:paraId="50E8FDB6" w14:textId="663BCE12" w:rsidTr="00D12A20">
        <w:trPr>
          <w:trHeight w:val="268"/>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4C13FA" w14:textId="77777777" w:rsidR="003B68FB" w:rsidRPr="000B5112" w:rsidRDefault="003B68FB" w:rsidP="003B68FB">
            <w:pPr>
              <w:spacing w:after="0" w:line="240" w:lineRule="auto"/>
              <w:rPr>
                <w:rFonts w:ascii="Calibri" w:eastAsia="Times New Roman" w:hAnsi="Calibri" w:cs="Times New Roman"/>
                <w:sz w:val="20"/>
                <w:szCs w:val="20"/>
                <w:lang w:eastAsia="pl-PL"/>
              </w:rPr>
            </w:pPr>
            <w:r w:rsidRPr="000B5112">
              <w:rPr>
                <w:rFonts w:ascii="Calibri" w:eastAsia="Times New Roman" w:hAnsi="Calibri" w:cs="Times New Roman"/>
                <w:sz w:val="20"/>
                <w:szCs w:val="20"/>
                <w:lang w:eastAsia="pl-PL"/>
              </w:rPr>
              <w:t>Lublin</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A732CB" w14:textId="77777777" w:rsidR="003B68FB" w:rsidRPr="000B5112" w:rsidRDefault="003B68FB" w:rsidP="003B68FB">
            <w:pPr>
              <w:spacing w:after="0" w:line="240" w:lineRule="auto"/>
              <w:jc w:val="right"/>
              <w:rPr>
                <w:rFonts w:ascii="Calibri" w:eastAsia="Times New Roman" w:hAnsi="Calibri" w:cs="Times New Roman"/>
                <w:sz w:val="20"/>
                <w:szCs w:val="20"/>
                <w:lang w:eastAsia="pl-PL"/>
              </w:rPr>
            </w:pPr>
            <w:r w:rsidRPr="000B5112">
              <w:rPr>
                <w:rFonts w:ascii="Calibri" w:eastAsia="Times New Roman" w:hAnsi="Calibri" w:cs="Times New Roman"/>
                <w:sz w:val="20"/>
                <w:szCs w:val="20"/>
                <w:lang w:eastAsia="pl-PL"/>
              </w:rPr>
              <w:t>52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544878" w14:textId="77777777" w:rsidR="003B68FB" w:rsidRPr="000B5112" w:rsidRDefault="003B68FB" w:rsidP="003B68FB">
            <w:pPr>
              <w:spacing w:after="0" w:line="240" w:lineRule="auto"/>
              <w:jc w:val="right"/>
              <w:rPr>
                <w:rFonts w:ascii="Calibri" w:eastAsia="Times New Roman" w:hAnsi="Calibri" w:cs="Times New Roman"/>
                <w:sz w:val="20"/>
                <w:szCs w:val="20"/>
                <w:lang w:eastAsia="pl-PL"/>
              </w:rPr>
            </w:pPr>
            <w:r w:rsidRPr="000B5112">
              <w:rPr>
                <w:rFonts w:ascii="Calibri" w:eastAsia="Times New Roman" w:hAnsi="Calibri" w:cs="Times New Roman"/>
                <w:sz w:val="20"/>
                <w:szCs w:val="20"/>
                <w:lang w:eastAsia="pl-PL"/>
              </w:rPr>
              <w:t>52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6D22AC" w14:textId="7777777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eastAsia="Times New Roman" w:hAnsi="Calibri" w:cs="Times New Roman"/>
                <w:sz w:val="20"/>
                <w:szCs w:val="20"/>
                <w:lang w:eastAsia="pl-PL"/>
              </w:rPr>
              <w:t>53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D7FCB9" w14:textId="7777777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eastAsia="Times New Roman" w:hAnsi="Calibri" w:cs="Times New Roman"/>
                <w:sz w:val="20"/>
                <w:szCs w:val="20"/>
                <w:lang w:eastAsia="pl-PL"/>
              </w:rPr>
              <w:t>53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070FB0" w14:textId="7777777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eastAsia="Times New Roman" w:hAnsi="Calibri" w:cs="Times New Roman"/>
                <w:sz w:val="20"/>
                <w:szCs w:val="20"/>
                <w:lang w:eastAsia="pl-PL"/>
              </w:rPr>
              <w:t>68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F19B8A" w14:textId="7777777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eastAsia="Times New Roman" w:hAnsi="Calibri" w:cs="Times New Roman"/>
                <w:sz w:val="20"/>
                <w:szCs w:val="20"/>
                <w:lang w:eastAsia="pl-PL"/>
              </w:rPr>
              <w:t>68</w:t>
            </w:r>
          </w:p>
        </w:tc>
        <w:tc>
          <w:tcPr>
            <w:tcW w:w="850" w:type="dxa"/>
            <w:tcBorders>
              <w:top w:val="single" w:sz="4" w:space="0" w:color="auto"/>
              <w:left w:val="single" w:sz="4" w:space="0" w:color="auto"/>
              <w:bottom w:val="single" w:sz="4" w:space="0" w:color="auto"/>
              <w:right w:val="single" w:sz="4" w:space="0" w:color="auto"/>
            </w:tcBorders>
            <w:vAlign w:val="bottom"/>
          </w:tcPr>
          <w:p w14:paraId="1F5D68D3" w14:textId="4D783DD7" w:rsidR="003B68FB" w:rsidRPr="00D12A20" w:rsidRDefault="003B68FB" w:rsidP="003B68FB">
            <w:pPr>
              <w:spacing w:after="0" w:line="240" w:lineRule="auto"/>
              <w:jc w:val="right"/>
              <w:rPr>
                <w:rFonts w:ascii="Calibri" w:eastAsia="Times New Roman" w:hAnsi="Calibri" w:cs="Times New Roman"/>
                <w:sz w:val="20"/>
                <w:szCs w:val="20"/>
                <w:lang w:eastAsia="pl-PL"/>
              </w:rPr>
            </w:pPr>
            <w:r w:rsidRPr="00D12A20">
              <w:rPr>
                <w:rFonts w:ascii="Calibri" w:hAnsi="Calibri"/>
                <w:sz w:val="20"/>
                <w:szCs w:val="20"/>
              </w:rPr>
              <w:t>67</w:t>
            </w:r>
          </w:p>
        </w:tc>
      </w:tr>
    </w:tbl>
    <w:p w14:paraId="4F3ED86D" w14:textId="77777777" w:rsidR="00771766" w:rsidRPr="00394AE5" w:rsidRDefault="00771766" w:rsidP="00771766">
      <w:pPr>
        <w:spacing w:after="0" w:line="240" w:lineRule="auto"/>
        <w:jc w:val="center"/>
        <w:rPr>
          <w:i/>
          <w:sz w:val="20"/>
          <w:szCs w:val="20"/>
        </w:rPr>
      </w:pPr>
      <w:r w:rsidRPr="00394AE5">
        <w:rPr>
          <w:i/>
          <w:sz w:val="20"/>
          <w:szCs w:val="20"/>
        </w:rPr>
        <w:t>źródło: opracowanie własne na podstawie danych GUS</w:t>
      </w:r>
    </w:p>
    <w:p w14:paraId="2AB0B1A1" w14:textId="1F601866" w:rsidR="00E52432" w:rsidRDefault="00E52432" w:rsidP="00930DFC">
      <w:pPr>
        <w:jc w:val="both"/>
      </w:pPr>
    </w:p>
    <w:p w14:paraId="10BC92F9" w14:textId="76375808" w:rsidR="00CC2240" w:rsidRDefault="00930DFC" w:rsidP="00CC2240">
      <w:pPr>
        <w:jc w:val="both"/>
      </w:pPr>
      <w:r w:rsidRPr="00ED4EDD">
        <w:t xml:space="preserve">Zmiany współczynnika skolaryzacji </w:t>
      </w:r>
      <w:r w:rsidR="001723EA">
        <w:t xml:space="preserve">brutto </w:t>
      </w:r>
      <w:r w:rsidR="00CC2240">
        <w:t xml:space="preserve">w wybranych miastach Polski Wschodniej przedstawia poniższy wykres. </w:t>
      </w:r>
      <w:r w:rsidR="00255C48">
        <w:t>Wskaźnik skolaryzacji przedstawia się interesująco po</w:t>
      </w:r>
      <w:r w:rsidR="00CC2240">
        <w:t xml:space="preserve"> zestawieniu dany</w:t>
      </w:r>
      <w:r w:rsidR="00255C48">
        <w:t xml:space="preserve">ch </w:t>
      </w:r>
      <w:r w:rsidR="00CC2240">
        <w:t xml:space="preserve"> dostępny</w:t>
      </w:r>
      <w:r w:rsidR="00255C48">
        <w:t xml:space="preserve">ch </w:t>
      </w:r>
      <w:r w:rsidR="00CC2240">
        <w:t xml:space="preserve">dla Olsztyna </w:t>
      </w:r>
      <w:r w:rsidR="00255C48">
        <w:t xml:space="preserve">z danymi dla </w:t>
      </w:r>
      <w:r w:rsidR="00CC2240">
        <w:t xml:space="preserve"> gmin MOF Olsztyna</w:t>
      </w:r>
      <w:r w:rsidR="00255C48">
        <w:t>. Z</w:t>
      </w:r>
      <w:r w:rsidR="00CC2240">
        <w:t>auważ</w:t>
      </w:r>
      <w:r w:rsidR="00255C48">
        <w:t>yć można, że mniejszy odsetek dzieci objętych edukacją w szkołach podstawowych występuje w gminach MOF (od 6</w:t>
      </w:r>
      <w:r w:rsidR="002F3AEB">
        <w:t>5,47</w:t>
      </w:r>
      <w:r w:rsidR="00255C48">
        <w:t>% w Gietrzwałdzie do 8</w:t>
      </w:r>
      <w:r w:rsidR="002F3AEB">
        <w:t>3</w:t>
      </w:r>
      <w:r w:rsidR="00255C48">
        <w:t>,</w:t>
      </w:r>
      <w:r w:rsidR="002F3AEB">
        <w:t>64</w:t>
      </w:r>
      <w:r w:rsidR="00255C48">
        <w:t>% w Stawigudzie), wyższy zaś w szkołach zlokalizowanych na terenie Olsztyna (10</w:t>
      </w:r>
      <w:r w:rsidR="002F3AEB">
        <w:t>5,94</w:t>
      </w:r>
      <w:r w:rsidR="00255C48">
        <w:t xml:space="preserve">6% </w:t>
      </w:r>
      <w:r w:rsidR="002F3AEB">
        <w:br/>
      </w:r>
      <w:r w:rsidR="00255C48">
        <w:t xml:space="preserve">w roku 2018). Sytuacja ta ma charakter stały i </w:t>
      </w:r>
      <w:r w:rsidR="00CC2240">
        <w:t>może świadczyć o tym, że wielu</w:t>
      </w:r>
      <w:r w:rsidR="00CC2240" w:rsidRPr="00ED4EDD">
        <w:t xml:space="preserve"> uczniów szkół podstawowych zamieszkujący</w:t>
      </w:r>
      <w:r w:rsidR="00CC2240">
        <w:t>ch</w:t>
      </w:r>
      <w:r w:rsidR="00CC2240" w:rsidRPr="00ED4EDD">
        <w:t xml:space="preserve"> w gminach otaczających Olsztyn uczy się w szkołach w Olsztynie</w:t>
      </w:r>
      <w:r w:rsidR="00255C48">
        <w:t>.</w:t>
      </w:r>
    </w:p>
    <w:p w14:paraId="6AF32B0F" w14:textId="2EC3FE55" w:rsidR="00D03EF0" w:rsidRDefault="00D03EF0" w:rsidP="00D03EF0">
      <w:pPr>
        <w:pStyle w:val="Legenda"/>
        <w:rPr>
          <w:bCs/>
          <w:sz w:val="22"/>
          <w:szCs w:val="22"/>
          <w:lang w:val="en-US"/>
        </w:rPr>
      </w:pPr>
      <w:bookmarkStart w:id="259" w:name="_Toc73516143"/>
      <w:r w:rsidRPr="00D03EF0">
        <w:rPr>
          <w:sz w:val="22"/>
          <w:szCs w:val="22"/>
        </w:rPr>
        <w:t xml:space="preserve">Wykres </w:t>
      </w:r>
      <w:r w:rsidRPr="00D03EF0">
        <w:rPr>
          <w:sz w:val="22"/>
          <w:szCs w:val="22"/>
        </w:rPr>
        <w:fldChar w:fldCharType="begin"/>
      </w:r>
      <w:r w:rsidRPr="00D03EF0">
        <w:rPr>
          <w:sz w:val="22"/>
          <w:szCs w:val="22"/>
        </w:rPr>
        <w:instrText xml:space="preserve"> SEQ Wykres \* ARABIC </w:instrText>
      </w:r>
      <w:r w:rsidRPr="00D03EF0">
        <w:rPr>
          <w:sz w:val="22"/>
          <w:szCs w:val="22"/>
        </w:rPr>
        <w:fldChar w:fldCharType="separate"/>
      </w:r>
      <w:r w:rsidR="00AD58C3">
        <w:rPr>
          <w:noProof/>
          <w:sz w:val="22"/>
          <w:szCs w:val="22"/>
        </w:rPr>
        <w:t>81</w:t>
      </w:r>
      <w:r w:rsidRPr="00D03EF0">
        <w:rPr>
          <w:sz w:val="22"/>
          <w:szCs w:val="22"/>
        </w:rPr>
        <w:fldChar w:fldCharType="end"/>
      </w:r>
      <w:r w:rsidRPr="00D03EF0">
        <w:rPr>
          <w:sz w:val="22"/>
          <w:szCs w:val="22"/>
        </w:rPr>
        <w:t xml:space="preserve">. </w:t>
      </w:r>
      <w:r w:rsidRPr="00D03EF0">
        <w:rPr>
          <w:bCs/>
          <w:sz w:val="22"/>
          <w:szCs w:val="22"/>
          <w:lang w:val="en-US"/>
        </w:rPr>
        <w:t xml:space="preserve">Współczynnik skolaryzacji brutto </w:t>
      </w:r>
      <w:r w:rsidRPr="00D03EF0">
        <w:rPr>
          <w:bCs/>
          <w:sz w:val="22"/>
          <w:szCs w:val="22"/>
          <w:lang w:val="pl-PL"/>
        </w:rPr>
        <w:t xml:space="preserve">w szkołach podstawowych </w:t>
      </w:r>
      <w:r w:rsidRPr="00D03EF0">
        <w:rPr>
          <w:bCs/>
          <w:sz w:val="22"/>
          <w:szCs w:val="22"/>
          <w:lang w:val="en-US"/>
        </w:rPr>
        <w:t>w latach 2013 i 201</w:t>
      </w:r>
      <w:r w:rsidR="00EE2104">
        <w:rPr>
          <w:bCs/>
          <w:sz w:val="22"/>
          <w:szCs w:val="22"/>
          <w:lang w:val="en-US"/>
        </w:rPr>
        <w:t>9</w:t>
      </w:r>
      <w:bookmarkEnd w:id="259"/>
    </w:p>
    <w:p w14:paraId="6D3C3782" w14:textId="73835161" w:rsidR="00CC2240" w:rsidRPr="00EE2104" w:rsidRDefault="00EE2104" w:rsidP="00EE2104">
      <w:pPr>
        <w:pStyle w:val="Legenda"/>
        <w:spacing w:before="0" w:after="0" w:line="240" w:lineRule="auto"/>
        <w:jc w:val="center"/>
        <w:rPr>
          <w:bCs/>
          <w:sz w:val="22"/>
          <w:szCs w:val="22"/>
          <w:lang w:val="en-US"/>
        </w:rPr>
      </w:pPr>
      <w:r>
        <w:rPr>
          <w:noProof/>
          <w:lang w:val="pl-PL" w:eastAsia="pl-PL"/>
        </w:rPr>
        <w:drawing>
          <wp:inline distT="0" distB="0" distL="0" distR="0" wp14:anchorId="73159677" wp14:editId="7384F04C">
            <wp:extent cx="3881886" cy="2001328"/>
            <wp:effectExtent l="0" t="0" r="4445" b="18415"/>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54319687" w14:textId="77777777" w:rsidR="00104D8C" w:rsidRPr="00394AE5" w:rsidRDefault="00104D8C" w:rsidP="00EE2104">
      <w:pPr>
        <w:spacing w:after="0" w:line="240" w:lineRule="auto"/>
        <w:jc w:val="center"/>
        <w:rPr>
          <w:i/>
          <w:sz w:val="20"/>
          <w:szCs w:val="20"/>
        </w:rPr>
      </w:pPr>
      <w:r w:rsidRPr="00394AE5">
        <w:rPr>
          <w:i/>
          <w:sz w:val="20"/>
          <w:szCs w:val="20"/>
        </w:rPr>
        <w:t>źródło: opracowanie własne na podstawie danych GUS</w:t>
      </w:r>
    </w:p>
    <w:p w14:paraId="1C2143DB" w14:textId="77777777" w:rsidR="00104D8C" w:rsidRDefault="00104D8C" w:rsidP="00104D8C">
      <w:pPr>
        <w:jc w:val="center"/>
      </w:pPr>
    </w:p>
    <w:p w14:paraId="3917D984" w14:textId="2F9CAF0F" w:rsidR="00930DFC" w:rsidRPr="000B5112" w:rsidRDefault="00D03EF0" w:rsidP="000B5112">
      <w:pPr>
        <w:pStyle w:val="Legenda"/>
        <w:rPr>
          <w:sz w:val="22"/>
          <w:szCs w:val="22"/>
          <w:lang w:eastAsia="pl-PL"/>
        </w:rPr>
      </w:pPr>
      <w:bookmarkStart w:id="260" w:name="_Toc73534995"/>
      <w:r w:rsidRPr="000B5112">
        <w:rPr>
          <w:sz w:val="22"/>
          <w:szCs w:val="22"/>
        </w:rPr>
        <w:t xml:space="preserve">Tabela </w:t>
      </w:r>
      <w:r w:rsidRPr="000B5112">
        <w:rPr>
          <w:sz w:val="22"/>
          <w:szCs w:val="22"/>
        </w:rPr>
        <w:fldChar w:fldCharType="begin"/>
      </w:r>
      <w:r w:rsidRPr="000B5112">
        <w:rPr>
          <w:sz w:val="22"/>
          <w:szCs w:val="22"/>
        </w:rPr>
        <w:instrText xml:space="preserve"> SEQ Tabela \* ARABIC </w:instrText>
      </w:r>
      <w:r w:rsidRPr="000B5112">
        <w:rPr>
          <w:sz w:val="22"/>
          <w:szCs w:val="22"/>
        </w:rPr>
        <w:fldChar w:fldCharType="separate"/>
      </w:r>
      <w:r w:rsidR="00AD58C3">
        <w:rPr>
          <w:noProof/>
          <w:sz w:val="22"/>
          <w:szCs w:val="22"/>
        </w:rPr>
        <w:t>32</w:t>
      </w:r>
      <w:r w:rsidRPr="000B5112">
        <w:rPr>
          <w:sz w:val="22"/>
          <w:szCs w:val="22"/>
        </w:rPr>
        <w:fldChar w:fldCharType="end"/>
      </w:r>
      <w:r w:rsidR="000B5112" w:rsidRPr="000B5112">
        <w:rPr>
          <w:sz w:val="22"/>
          <w:szCs w:val="22"/>
        </w:rPr>
        <w:t xml:space="preserve">. </w:t>
      </w:r>
      <w:r w:rsidR="000B5112" w:rsidRPr="000B5112">
        <w:rPr>
          <w:sz w:val="22"/>
          <w:szCs w:val="22"/>
          <w:lang w:eastAsia="pl-PL"/>
        </w:rPr>
        <w:t>Wskaźnik skolaryzacji brutto w gminach MOF Olsztyna (szkoły podstawowe)</w:t>
      </w:r>
      <w:bookmarkEnd w:id="260"/>
    </w:p>
    <w:tbl>
      <w:tblPr>
        <w:tblW w:w="78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09"/>
        <w:gridCol w:w="958"/>
        <w:gridCol w:w="959"/>
        <w:gridCol w:w="958"/>
        <w:gridCol w:w="959"/>
        <w:gridCol w:w="958"/>
        <w:gridCol w:w="959"/>
        <w:gridCol w:w="959"/>
      </w:tblGrid>
      <w:tr w:rsidR="00EE2104" w:rsidRPr="00ED4EDD" w14:paraId="611FC189" w14:textId="3EA6E722" w:rsidTr="00EE2104">
        <w:trPr>
          <w:trHeight w:val="300"/>
          <w:jc w:val="center"/>
        </w:trPr>
        <w:tc>
          <w:tcPr>
            <w:tcW w:w="1109" w:type="dxa"/>
            <w:shd w:val="clear" w:color="auto" w:fill="92D050"/>
            <w:vAlign w:val="center"/>
            <w:hideMark/>
          </w:tcPr>
          <w:p w14:paraId="630065A2" w14:textId="77777777" w:rsidR="00EE2104" w:rsidRPr="00104D8C" w:rsidRDefault="00EE2104" w:rsidP="00394AE5">
            <w:pPr>
              <w:spacing w:after="0" w:line="240" w:lineRule="auto"/>
              <w:rPr>
                <w:rFonts w:ascii="Calibri" w:eastAsia="Times New Roman" w:hAnsi="Calibri" w:cs="Calibri"/>
                <w:b/>
                <w:color w:val="000000"/>
                <w:lang w:eastAsia="pl-PL"/>
              </w:rPr>
            </w:pPr>
            <w:r w:rsidRPr="00104D8C">
              <w:rPr>
                <w:rFonts w:ascii="Calibri" w:eastAsia="Times New Roman" w:hAnsi="Calibri" w:cs="Calibri"/>
                <w:b/>
                <w:color w:val="000000"/>
                <w:lang w:eastAsia="pl-PL"/>
              </w:rPr>
              <w:t> Gmina</w:t>
            </w:r>
          </w:p>
        </w:tc>
        <w:tc>
          <w:tcPr>
            <w:tcW w:w="958" w:type="dxa"/>
            <w:shd w:val="clear" w:color="auto" w:fill="92D050"/>
            <w:vAlign w:val="center"/>
            <w:hideMark/>
          </w:tcPr>
          <w:p w14:paraId="2147D909" w14:textId="77777777" w:rsidR="00EE2104" w:rsidRPr="00104D8C" w:rsidRDefault="00EE2104" w:rsidP="000A046D">
            <w:pPr>
              <w:spacing w:after="0" w:line="240" w:lineRule="auto"/>
              <w:jc w:val="center"/>
              <w:rPr>
                <w:rFonts w:ascii="Calibri" w:eastAsia="Times New Roman" w:hAnsi="Calibri" w:cs="Calibri"/>
                <w:b/>
                <w:color w:val="000000"/>
                <w:lang w:eastAsia="pl-PL"/>
              </w:rPr>
            </w:pPr>
            <w:r w:rsidRPr="00104D8C">
              <w:rPr>
                <w:rFonts w:ascii="Calibri" w:eastAsia="Times New Roman" w:hAnsi="Calibri" w:cs="Calibri"/>
                <w:b/>
                <w:color w:val="000000"/>
                <w:lang w:eastAsia="pl-PL"/>
              </w:rPr>
              <w:t>2013</w:t>
            </w:r>
          </w:p>
        </w:tc>
        <w:tc>
          <w:tcPr>
            <w:tcW w:w="959" w:type="dxa"/>
            <w:shd w:val="clear" w:color="auto" w:fill="92D050"/>
            <w:vAlign w:val="center"/>
            <w:hideMark/>
          </w:tcPr>
          <w:p w14:paraId="5C5DF84C" w14:textId="77777777" w:rsidR="00EE2104" w:rsidRPr="00104D8C" w:rsidRDefault="00EE2104" w:rsidP="000A046D">
            <w:pPr>
              <w:spacing w:after="0" w:line="240" w:lineRule="auto"/>
              <w:jc w:val="center"/>
              <w:rPr>
                <w:rFonts w:ascii="Calibri" w:eastAsia="Times New Roman" w:hAnsi="Calibri" w:cs="Calibri"/>
                <w:b/>
                <w:color w:val="000000"/>
                <w:lang w:eastAsia="pl-PL"/>
              </w:rPr>
            </w:pPr>
            <w:r w:rsidRPr="00104D8C">
              <w:rPr>
                <w:rFonts w:ascii="Calibri" w:eastAsia="Times New Roman" w:hAnsi="Calibri" w:cs="Calibri"/>
                <w:b/>
                <w:color w:val="000000"/>
                <w:lang w:eastAsia="pl-PL"/>
              </w:rPr>
              <w:t>2014</w:t>
            </w:r>
          </w:p>
        </w:tc>
        <w:tc>
          <w:tcPr>
            <w:tcW w:w="958" w:type="dxa"/>
            <w:shd w:val="clear" w:color="auto" w:fill="92D050"/>
            <w:vAlign w:val="center"/>
            <w:hideMark/>
          </w:tcPr>
          <w:p w14:paraId="1C0B6722" w14:textId="77777777" w:rsidR="00EE2104" w:rsidRPr="00104D8C" w:rsidRDefault="00EE2104" w:rsidP="000A046D">
            <w:pPr>
              <w:spacing w:after="0" w:line="240" w:lineRule="auto"/>
              <w:jc w:val="center"/>
              <w:rPr>
                <w:rFonts w:ascii="Calibri" w:eastAsia="Times New Roman" w:hAnsi="Calibri" w:cs="Calibri"/>
                <w:b/>
                <w:color w:val="000000"/>
                <w:lang w:eastAsia="pl-PL"/>
              </w:rPr>
            </w:pPr>
            <w:r w:rsidRPr="00104D8C">
              <w:rPr>
                <w:rFonts w:ascii="Calibri" w:eastAsia="Times New Roman" w:hAnsi="Calibri" w:cs="Calibri"/>
                <w:b/>
                <w:color w:val="000000"/>
                <w:lang w:eastAsia="pl-PL"/>
              </w:rPr>
              <w:t>2015</w:t>
            </w:r>
          </w:p>
        </w:tc>
        <w:tc>
          <w:tcPr>
            <w:tcW w:w="959" w:type="dxa"/>
            <w:shd w:val="clear" w:color="auto" w:fill="92D050"/>
            <w:vAlign w:val="center"/>
            <w:hideMark/>
          </w:tcPr>
          <w:p w14:paraId="7C804FED" w14:textId="77777777" w:rsidR="00EE2104" w:rsidRPr="00104D8C" w:rsidRDefault="00EE2104" w:rsidP="000A046D">
            <w:pPr>
              <w:spacing w:after="0" w:line="240" w:lineRule="auto"/>
              <w:jc w:val="center"/>
              <w:rPr>
                <w:rFonts w:ascii="Calibri" w:eastAsia="Times New Roman" w:hAnsi="Calibri" w:cs="Calibri"/>
                <w:b/>
                <w:color w:val="000000"/>
                <w:lang w:eastAsia="pl-PL"/>
              </w:rPr>
            </w:pPr>
            <w:r w:rsidRPr="00104D8C">
              <w:rPr>
                <w:rFonts w:ascii="Calibri" w:eastAsia="Times New Roman" w:hAnsi="Calibri" w:cs="Calibri"/>
                <w:b/>
                <w:color w:val="000000"/>
                <w:lang w:eastAsia="pl-PL"/>
              </w:rPr>
              <w:t>2016</w:t>
            </w:r>
          </w:p>
        </w:tc>
        <w:tc>
          <w:tcPr>
            <w:tcW w:w="958" w:type="dxa"/>
            <w:shd w:val="clear" w:color="auto" w:fill="92D050"/>
            <w:vAlign w:val="center"/>
            <w:hideMark/>
          </w:tcPr>
          <w:p w14:paraId="6187295D" w14:textId="77777777" w:rsidR="00EE2104" w:rsidRPr="00104D8C" w:rsidRDefault="00EE2104" w:rsidP="000A046D">
            <w:pPr>
              <w:spacing w:after="0" w:line="240" w:lineRule="auto"/>
              <w:jc w:val="center"/>
              <w:rPr>
                <w:rFonts w:ascii="Calibri" w:eastAsia="Times New Roman" w:hAnsi="Calibri" w:cs="Calibri"/>
                <w:b/>
                <w:color w:val="000000"/>
                <w:lang w:eastAsia="pl-PL"/>
              </w:rPr>
            </w:pPr>
            <w:r w:rsidRPr="00104D8C">
              <w:rPr>
                <w:rFonts w:ascii="Calibri" w:eastAsia="Times New Roman" w:hAnsi="Calibri" w:cs="Calibri"/>
                <w:b/>
                <w:color w:val="000000"/>
                <w:lang w:eastAsia="pl-PL"/>
              </w:rPr>
              <w:t>2017</w:t>
            </w:r>
          </w:p>
        </w:tc>
        <w:tc>
          <w:tcPr>
            <w:tcW w:w="959" w:type="dxa"/>
            <w:shd w:val="clear" w:color="auto" w:fill="92D050"/>
            <w:vAlign w:val="center"/>
            <w:hideMark/>
          </w:tcPr>
          <w:p w14:paraId="194AAEC7" w14:textId="77777777" w:rsidR="00EE2104" w:rsidRPr="00104D8C" w:rsidRDefault="00EE2104" w:rsidP="000A046D">
            <w:pPr>
              <w:spacing w:after="0" w:line="240" w:lineRule="auto"/>
              <w:jc w:val="center"/>
              <w:rPr>
                <w:rFonts w:ascii="Calibri" w:eastAsia="Times New Roman" w:hAnsi="Calibri" w:cs="Calibri"/>
                <w:b/>
                <w:color w:val="000000"/>
                <w:lang w:eastAsia="pl-PL"/>
              </w:rPr>
            </w:pPr>
            <w:r w:rsidRPr="00104D8C">
              <w:rPr>
                <w:rFonts w:ascii="Calibri" w:eastAsia="Times New Roman" w:hAnsi="Calibri" w:cs="Calibri"/>
                <w:b/>
                <w:color w:val="000000"/>
                <w:lang w:eastAsia="pl-PL"/>
              </w:rPr>
              <w:t>2018</w:t>
            </w:r>
          </w:p>
        </w:tc>
        <w:tc>
          <w:tcPr>
            <w:tcW w:w="959" w:type="dxa"/>
            <w:shd w:val="clear" w:color="auto" w:fill="92D050"/>
          </w:tcPr>
          <w:p w14:paraId="23FDE330" w14:textId="6D7FC9AD" w:rsidR="00EE2104" w:rsidRPr="00104D8C" w:rsidRDefault="00EE2104" w:rsidP="000A046D">
            <w:pPr>
              <w:spacing w:after="0" w:line="240" w:lineRule="auto"/>
              <w:jc w:val="center"/>
              <w:rPr>
                <w:rFonts w:ascii="Calibri" w:eastAsia="Times New Roman" w:hAnsi="Calibri" w:cs="Calibri"/>
                <w:b/>
                <w:color w:val="000000"/>
                <w:lang w:eastAsia="pl-PL"/>
              </w:rPr>
            </w:pPr>
            <w:r>
              <w:rPr>
                <w:rFonts w:ascii="Calibri" w:eastAsia="Times New Roman" w:hAnsi="Calibri" w:cs="Calibri"/>
                <w:b/>
                <w:color w:val="000000"/>
                <w:lang w:eastAsia="pl-PL"/>
              </w:rPr>
              <w:t>2019</w:t>
            </w:r>
          </w:p>
        </w:tc>
      </w:tr>
      <w:tr w:rsidR="00EE2104" w:rsidRPr="00ED4EDD" w14:paraId="419556EF" w14:textId="5E016820" w:rsidTr="008C4F2F">
        <w:trPr>
          <w:trHeight w:val="300"/>
          <w:jc w:val="center"/>
        </w:trPr>
        <w:tc>
          <w:tcPr>
            <w:tcW w:w="1109" w:type="dxa"/>
            <w:shd w:val="clear" w:color="auto" w:fill="auto"/>
            <w:noWrap/>
            <w:vAlign w:val="bottom"/>
            <w:hideMark/>
          </w:tcPr>
          <w:p w14:paraId="1A509C48" w14:textId="77777777" w:rsidR="00EE2104" w:rsidRPr="000A046D" w:rsidRDefault="00EE2104" w:rsidP="00EE2104">
            <w:pPr>
              <w:spacing w:after="0" w:line="240" w:lineRule="auto"/>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Barczewo</w:t>
            </w:r>
          </w:p>
        </w:tc>
        <w:tc>
          <w:tcPr>
            <w:tcW w:w="958" w:type="dxa"/>
            <w:shd w:val="clear" w:color="auto" w:fill="auto"/>
            <w:noWrap/>
            <w:vAlign w:val="bottom"/>
            <w:hideMark/>
          </w:tcPr>
          <w:p w14:paraId="21884522"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86,01</w:t>
            </w:r>
          </w:p>
        </w:tc>
        <w:tc>
          <w:tcPr>
            <w:tcW w:w="959" w:type="dxa"/>
            <w:shd w:val="clear" w:color="auto" w:fill="auto"/>
            <w:noWrap/>
            <w:vAlign w:val="bottom"/>
            <w:hideMark/>
          </w:tcPr>
          <w:p w14:paraId="03D0EE11"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81,72</w:t>
            </w:r>
          </w:p>
        </w:tc>
        <w:tc>
          <w:tcPr>
            <w:tcW w:w="958" w:type="dxa"/>
            <w:shd w:val="clear" w:color="auto" w:fill="auto"/>
            <w:noWrap/>
            <w:vAlign w:val="bottom"/>
            <w:hideMark/>
          </w:tcPr>
          <w:p w14:paraId="0149A4F2"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77,07</w:t>
            </w:r>
          </w:p>
        </w:tc>
        <w:tc>
          <w:tcPr>
            <w:tcW w:w="959" w:type="dxa"/>
            <w:shd w:val="clear" w:color="auto" w:fill="auto"/>
            <w:noWrap/>
            <w:vAlign w:val="bottom"/>
            <w:hideMark/>
          </w:tcPr>
          <w:p w14:paraId="0149962F"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79,28</w:t>
            </w:r>
          </w:p>
        </w:tc>
        <w:tc>
          <w:tcPr>
            <w:tcW w:w="958" w:type="dxa"/>
            <w:shd w:val="clear" w:color="auto" w:fill="auto"/>
            <w:noWrap/>
            <w:vAlign w:val="bottom"/>
            <w:hideMark/>
          </w:tcPr>
          <w:p w14:paraId="7F133A60"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76,89</w:t>
            </w:r>
          </w:p>
        </w:tc>
        <w:tc>
          <w:tcPr>
            <w:tcW w:w="959" w:type="dxa"/>
            <w:shd w:val="clear" w:color="auto" w:fill="auto"/>
            <w:noWrap/>
            <w:vAlign w:val="bottom"/>
            <w:hideMark/>
          </w:tcPr>
          <w:p w14:paraId="1FB36E25"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77,05</w:t>
            </w:r>
          </w:p>
        </w:tc>
        <w:tc>
          <w:tcPr>
            <w:tcW w:w="959" w:type="dxa"/>
            <w:vAlign w:val="bottom"/>
          </w:tcPr>
          <w:p w14:paraId="77047C99" w14:textId="1586CDBE" w:rsidR="00EE2104" w:rsidRPr="000A046D" w:rsidRDefault="00EE2104" w:rsidP="00EE2104">
            <w:pPr>
              <w:spacing w:after="0" w:line="240" w:lineRule="auto"/>
              <w:jc w:val="right"/>
              <w:rPr>
                <w:rFonts w:ascii="Calibri" w:eastAsia="Times New Roman" w:hAnsi="Calibri" w:cs="Calibri"/>
                <w:sz w:val="20"/>
                <w:szCs w:val="20"/>
                <w:lang w:eastAsia="pl-PL"/>
              </w:rPr>
            </w:pPr>
            <w:r>
              <w:rPr>
                <w:rFonts w:ascii="Calibri" w:hAnsi="Calibri"/>
                <w:sz w:val="20"/>
                <w:szCs w:val="20"/>
              </w:rPr>
              <w:t>75,04</w:t>
            </w:r>
          </w:p>
        </w:tc>
      </w:tr>
      <w:tr w:rsidR="00EE2104" w:rsidRPr="00ED4EDD" w14:paraId="20F9DC6F" w14:textId="022CE5C8" w:rsidTr="008C4F2F">
        <w:trPr>
          <w:trHeight w:val="300"/>
          <w:jc w:val="center"/>
        </w:trPr>
        <w:tc>
          <w:tcPr>
            <w:tcW w:w="1109" w:type="dxa"/>
            <w:shd w:val="clear" w:color="auto" w:fill="auto"/>
            <w:noWrap/>
            <w:vAlign w:val="bottom"/>
            <w:hideMark/>
          </w:tcPr>
          <w:p w14:paraId="1934F255" w14:textId="77777777" w:rsidR="00EE2104" w:rsidRPr="000A046D" w:rsidRDefault="00EE2104" w:rsidP="00EE2104">
            <w:pPr>
              <w:spacing w:after="0" w:line="240" w:lineRule="auto"/>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Dywity</w:t>
            </w:r>
          </w:p>
        </w:tc>
        <w:tc>
          <w:tcPr>
            <w:tcW w:w="958" w:type="dxa"/>
            <w:shd w:val="clear" w:color="auto" w:fill="auto"/>
            <w:noWrap/>
            <w:vAlign w:val="bottom"/>
            <w:hideMark/>
          </w:tcPr>
          <w:p w14:paraId="1F4162C0"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83,01</w:t>
            </w:r>
          </w:p>
        </w:tc>
        <w:tc>
          <w:tcPr>
            <w:tcW w:w="959" w:type="dxa"/>
            <w:shd w:val="clear" w:color="auto" w:fill="auto"/>
            <w:noWrap/>
            <w:vAlign w:val="bottom"/>
            <w:hideMark/>
          </w:tcPr>
          <w:p w14:paraId="2A76183F"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80,67</w:t>
            </w:r>
          </w:p>
        </w:tc>
        <w:tc>
          <w:tcPr>
            <w:tcW w:w="958" w:type="dxa"/>
            <w:shd w:val="clear" w:color="auto" w:fill="auto"/>
            <w:noWrap/>
            <w:vAlign w:val="bottom"/>
            <w:hideMark/>
          </w:tcPr>
          <w:p w14:paraId="0F8D0115"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79,48</w:t>
            </w:r>
          </w:p>
        </w:tc>
        <w:tc>
          <w:tcPr>
            <w:tcW w:w="959" w:type="dxa"/>
            <w:shd w:val="clear" w:color="auto" w:fill="auto"/>
            <w:noWrap/>
            <w:vAlign w:val="bottom"/>
            <w:hideMark/>
          </w:tcPr>
          <w:p w14:paraId="2F6F2E17"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85,53</w:t>
            </w:r>
          </w:p>
        </w:tc>
        <w:tc>
          <w:tcPr>
            <w:tcW w:w="958" w:type="dxa"/>
            <w:shd w:val="clear" w:color="auto" w:fill="auto"/>
            <w:noWrap/>
            <w:vAlign w:val="bottom"/>
            <w:hideMark/>
          </w:tcPr>
          <w:p w14:paraId="5747E951"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81,15</w:t>
            </w:r>
          </w:p>
        </w:tc>
        <w:tc>
          <w:tcPr>
            <w:tcW w:w="959" w:type="dxa"/>
            <w:shd w:val="clear" w:color="auto" w:fill="auto"/>
            <w:noWrap/>
            <w:vAlign w:val="bottom"/>
            <w:hideMark/>
          </w:tcPr>
          <w:p w14:paraId="7CCEB4C5"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82,15</w:t>
            </w:r>
          </w:p>
        </w:tc>
        <w:tc>
          <w:tcPr>
            <w:tcW w:w="959" w:type="dxa"/>
            <w:vAlign w:val="bottom"/>
          </w:tcPr>
          <w:p w14:paraId="0F77E83A" w14:textId="6F8FAE1D" w:rsidR="00EE2104" w:rsidRPr="000A046D" w:rsidRDefault="00EE2104" w:rsidP="00EE2104">
            <w:pPr>
              <w:spacing w:after="0" w:line="240" w:lineRule="auto"/>
              <w:jc w:val="right"/>
              <w:rPr>
                <w:rFonts w:ascii="Calibri" w:eastAsia="Times New Roman" w:hAnsi="Calibri" w:cs="Calibri"/>
                <w:sz w:val="20"/>
                <w:szCs w:val="20"/>
                <w:lang w:eastAsia="pl-PL"/>
              </w:rPr>
            </w:pPr>
            <w:r>
              <w:rPr>
                <w:rFonts w:ascii="Calibri" w:hAnsi="Calibri"/>
                <w:sz w:val="20"/>
                <w:szCs w:val="20"/>
              </w:rPr>
              <w:t>82,73</w:t>
            </w:r>
          </w:p>
        </w:tc>
      </w:tr>
      <w:tr w:rsidR="00EE2104" w:rsidRPr="00ED4EDD" w14:paraId="0369E63C" w14:textId="06149FE4" w:rsidTr="008C4F2F">
        <w:trPr>
          <w:trHeight w:val="300"/>
          <w:jc w:val="center"/>
        </w:trPr>
        <w:tc>
          <w:tcPr>
            <w:tcW w:w="1109" w:type="dxa"/>
            <w:shd w:val="clear" w:color="auto" w:fill="auto"/>
            <w:noWrap/>
            <w:vAlign w:val="bottom"/>
            <w:hideMark/>
          </w:tcPr>
          <w:p w14:paraId="2C8A5356" w14:textId="77777777" w:rsidR="00EE2104" w:rsidRPr="000A046D" w:rsidRDefault="00EE2104" w:rsidP="00EE2104">
            <w:pPr>
              <w:spacing w:after="0" w:line="240" w:lineRule="auto"/>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Gietrzwałd</w:t>
            </w:r>
          </w:p>
        </w:tc>
        <w:tc>
          <w:tcPr>
            <w:tcW w:w="958" w:type="dxa"/>
            <w:shd w:val="clear" w:color="auto" w:fill="auto"/>
            <w:noWrap/>
            <w:vAlign w:val="bottom"/>
            <w:hideMark/>
          </w:tcPr>
          <w:p w14:paraId="51ABC8E2"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71,16</w:t>
            </w:r>
          </w:p>
        </w:tc>
        <w:tc>
          <w:tcPr>
            <w:tcW w:w="959" w:type="dxa"/>
            <w:shd w:val="clear" w:color="auto" w:fill="auto"/>
            <w:noWrap/>
            <w:vAlign w:val="bottom"/>
            <w:hideMark/>
          </w:tcPr>
          <w:p w14:paraId="46465A3F"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69,03</w:t>
            </w:r>
          </w:p>
        </w:tc>
        <w:tc>
          <w:tcPr>
            <w:tcW w:w="958" w:type="dxa"/>
            <w:shd w:val="clear" w:color="auto" w:fill="auto"/>
            <w:noWrap/>
            <w:vAlign w:val="bottom"/>
            <w:hideMark/>
          </w:tcPr>
          <w:p w14:paraId="1400FC0E"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65,41</w:t>
            </w:r>
          </w:p>
        </w:tc>
        <w:tc>
          <w:tcPr>
            <w:tcW w:w="959" w:type="dxa"/>
            <w:shd w:val="clear" w:color="auto" w:fill="auto"/>
            <w:noWrap/>
            <w:vAlign w:val="bottom"/>
            <w:hideMark/>
          </w:tcPr>
          <w:p w14:paraId="04D25E69"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71,34</w:t>
            </w:r>
          </w:p>
        </w:tc>
        <w:tc>
          <w:tcPr>
            <w:tcW w:w="958" w:type="dxa"/>
            <w:shd w:val="clear" w:color="auto" w:fill="auto"/>
            <w:noWrap/>
            <w:vAlign w:val="bottom"/>
            <w:hideMark/>
          </w:tcPr>
          <w:p w14:paraId="157C93E6"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64,78</w:t>
            </w:r>
          </w:p>
        </w:tc>
        <w:tc>
          <w:tcPr>
            <w:tcW w:w="959" w:type="dxa"/>
            <w:shd w:val="clear" w:color="auto" w:fill="auto"/>
            <w:noWrap/>
            <w:vAlign w:val="bottom"/>
            <w:hideMark/>
          </w:tcPr>
          <w:p w14:paraId="6742A968"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64,31</w:t>
            </w:r>
          </w:p>
        </w:tc>
        <w:tc>
          <w:tcPr>
            <w:tcW w:w="959" w:type="dxa"/>
            <w:vAlign w:val="bottom"/>
          </w:tcPr>
          <w:p w14:paraId="60469563" w14:textId="7617824C" w:rsidR="00EE2104" w:rsidRPr="000A046D" w:rsidRDefault="00EE2104" w:rsidP="00EE2104">
            <w:pPr>
              <w:spacing w:after="0" w:line="240" w:lineRule="auto"/>
              <w:jc w:val="right"/>
              <w:rPr>
                <w:rFonts w:ascii="Calibri" w:eastAsia="Times New Roman" w:hAnsi="Calibri" w:cs="Calibri"/>
                <w:sz w:val="20"/>
                <w:szCs w:val="20"/>
                <w:lang w:eastAsia="pl-PL"/>
              </w:rPr>
            </w:pPr>
            <w:r>
              <w:rPr>
                <w:rFonts w:ascii="Calibri" w:hAnsi="Calibri"/>
                <w:sz w:val="20"/>
                <w:szCs w:val="20"/>
              </w:rPr>
              <w:t>65,47</w:t>
            </w:r>
          </w:p>
        </w:tc>
      </w:tr>
      <w:tr w:rsidR="00EE2104" w:rsidRPr="00ED4EDD" w14:paraId="688D96E8" w14:textId="0EDDF393" w:rsidTr="008C4F2F">
        <w:trPr>
          <w:trHeight w:val="300"/>
          <w:jc w:val="center"/>
        </w:trPr>
        <w:tc>
          <w:tcPr>
            <w:tcW w:w="1109" w:type="dxa"/>
            <w:shd w:val="clear" w:color="auto" w:fill="auto"/>
            <w:noWrap/>
            <w:vAlign w:val="bottom"/>
            <w:hideMark/>
          </w:tcPr>
          <w:p w14:paraId="10B22B0C" w14:textId="77777777" w:rsidR="00EE2104" w:rsidRPr="000A046D" w:rsidRDefault="00EE2104" w:rsidP="00EE2104">
            <w:pPr>
              <w:spacing w:after="0" w:line="240" w:lineRule="auto"/>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Jonkowo</w:t>
            </w:r>
          </w:p>
        </w:tc>
        <w:tc>
          <w:tcPr>
            <w:tcW w:w="958" w:type="dxa"/>
            <w:shd w:val="clear" w:color="auto" w:fill="auto"/>
            <w:noWrap/>
            <w:vAlign w:val="bottom"/>
            <w:hideMark/>
          </w:tcPr>
          <w:p w14:paraId="1E2A1506"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73,76</w:t>
            </w:r>
          </w:p>
        </w:tc>
        <w:tc>
          <w:tcPr>
            <w:tcW w:w="959" w:type="dxa"/>
            <w:shd w:val="clear" w:color="auto" w:fill="auto"/>
            <w:noWrap/>
            <w:vAlign w:val="bottom"/>
            <w:hideMark/>
          </w:tcPr>
          <w:p w14:paraId="4F753A5B"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70,41</w:t>
            </w:r>
          </w:p>
        </w:tc>
        <w:tc>
          <w:tcPr>
            <w:tcW w:w="958" w:type="dxa"/>
            <w:shd w:val="clear" w:color="auto" w:fill="auto"/>
            <w:noWrap/>
            <w:vAlign w:val="bottom"/>
            <w:hideMark/>
          </w:tcPr>
          <w:p w14:paraId="5F4C9138"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72,80</w:t>
            </w:r>
          </w:p>
        </w:tc>
        <w:tc>
          <w:tcPr>
            <w:tcW w:w="959" w:type="dxa"/>
            <w:shd w:val="clear" w:color="auto" w:fill="auto"/>
            <w:noWrap/>
            <w:vAlign w:val="bottom"/>
            <w:hideMark/>
          </w:tcPr>
          <w:p w14:paraId="176BFB38"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74,47</w:t>
            </w:r>
          </w:p>
        </w:tc>
        <w:tc>
          <w:tcPr>
            <w:tcW w:w="958" w:type="dxa"/>
            <w:shd w:val="clear" w:color="auto" w:fill="auto"/>
            <w:noWrap/>
            <w:vAlign w:val="bottom"/>
            <w:hideMark/>
          </w:tcPr>
          <w:p w14:paraId="24916013"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71,62</w:t>
            </w:r>
          </w:p>
        </w:tc>
        <w:tc>
          <w:tcPr>
            <w:tcW w:w="959" w:type="dxa"/>
            <w:shd w:val="clear" w:color="auto" w:fill="auto"/>
            <w:noWrap/>
            <w:vAlign w:val="bottom"/>
            <w:hideMark/>
          </w:tcPr>
          <w:p w14:paraId="781F6C60"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71,26</w:t>
            </w:r>
          </w:p>
        </w:tc>
        <w:tc>
          <w:tcPr>
            <w:tcW w:w="959" w:type="dxa"/>
            <w:vAlign w:val="bottom"/>
          </w:tcPr>
          <w:p w14:paraId="73D6047F" w14:textId="7EEE8FDF" w:rsidR="00EE2104" w:rsidRPr="000A046D" w:rsidRDefault="00EE2104" w:rsidP="00EE2104">
            <w:pPr>
              <w:spacing w:after="0" w:line="240" w:lineRule="auto"/>
              <w:jc w:val="right"/>
              <w:rPr>
                <w:rFonts w:ascii="Calibri" w:eastAsia="Times New Roman" w:hAnsi="Calibri" w:cs="Calibri"/>
                <w:sz w:val="20"/>
                <w:szCs w:val="20"/>
                <w:lang w:eastAsia="pl-PL"/>
              </w:rPr>
            </w:pPr>
            <w:r>
              <w:rPr>
                <w:rFonts w:ascii="Calibri" w:hAnsi="Calibri"/>
                <w:sz w:val="20"/>
                <w:szCs w:val="20"/>
              </w:rPr>
              <w:t>68,51</w:t>
            </w:r>
          </w:p>
        </w:tc>
      </w:tr>
      <w:tr w:rsidR="00EE2104" w:rsidRPr="00ED4EDD" w14:paraId="0C209BC8" w14:textId="747781E1" w:rsidTr="008C4F2F">
        <w:trPr>
          <w:trHeight w:val="300"/>
          <w:jc w:val="center"/>
        </w:trPr>
        <w:tc>
          <w:tcPr>
            <w:tcW w:w="1109" w:type="dxa"/>
            <w:shd w:val="clear" w:color="auto" w:fill="auto"/>
            <w:noWrap/>
            <w:vAlign w:val="bottom"/>
            <w:hideMark/>
          </w:tcPr>
          <w:p w14:paraId="1AE34230" w14:textId="77777777" w:rsidR="00EE2104" w:rsidRPr="000A046D" w:rsidRDefault="00EE2104" w:rsidP="00EE2104">
            <w:pPr>
              <w:spacing w:after="0" w:line="240" w:lineRule="auto"/>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Purda</w:t>
            </w:r>
          </w:p>
        </w:tc>
        <w:tc>
          <w:tcPr>
            <w:tcW w:w="958" w:type="dxa"/>
            <w:shd w:val="clear" w:color="auto" w:fill="auto"/>
            <w:noWrap/>
            <w:vAlign w:val="bottom"/>
            <w:hideMark/>
          </w:tcPr>
          <w:p w14:paraId="1B6EE13D"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61,23</w:t>
            </w:r>
          </w:p>
        </w:tc>
        <w:tc>
          <w:tcPr>
            <w:tcW w:w="959" w:type="dxa"/>
            <w:shd w:val="clear" w:color="auto" w:fill="auto"/>
            <w:noWrap/>
            <w:vAlign w:val="bottom"/>
            <w:hideMark/>
          </w:tcPr>
          <w:p w14:paraId="07C3A4AD"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60,96</w:t>
            </w:r>
          </w:p>
        </w:tc>
        <w:tc>
          <w:tcPr>
            <w:tcW w:w="958" w:type="dxa"/>
            <w:shd w:val="clear" w:color="auto" w:fill="auto"/>
            <w:noWrap/>
            <w:vAlign w:val="bottom"/>
            <w:hideMark/>
          </w:tcPr>
          <w:p w14:paraId="77912735"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60,46</w:t>
            </w:r>
          </w:p>
        </w:tc>
        <w:tc>
          <w:tcPr>
            <w:tcW w:w="959" w:type="dxa"/>
            <w:shd w:val="clear" w:color="auto" w:fill="auto"/>
            <w:noWrap/>
            <w:vAlign w:val="bottom"/>
            <w:hideMark/>
          </w:tcPr>
          <w:p w14:paraId="169A1C76"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62,35</w:t>
            </w:r>
          </w:p>
        </w:tc>
        <w:tc>
          <w:tcPr>
            <w:tcW w:w="958" w:type="dxa"/>
            <w:shd w:val="clear" w:color="auto" w:fill="auto"/>
            <w:noWrap/>
            <w:vAlign w:val="bottom"/>
            <w:hideMark/>
          </w:tcPr>
          <w:p w14:paraId="31428640"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62,23</w:t>
            </w:r>
          </w:p>
        </w:tc>
        <w:tc>
          <w:tcPr>
            <w:tcW w:w="959" w:type="dxa"/>
            <w:shd w:val="clear" w:color="auto" w:fill="auto"/>
            <w:noWrap/>
            <w:vAlign w:val="bottom"/>
            <w:hideMark/>
          </w:tcPr>
          <w:p w14:paraId="6025259B"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60,91</w:t>
            </w:r>
          </w:p>
        </w:tc>
        <w:tc>
          <w:tcPr>
            <w:tcW w:w="959" w:type="dxa"/>
            <w:vAlign w:val="bottom"/>
          </w:tcPr>
          <w:p w14:paraId="27BE9DC9" w14:textId="21125E5E" w:rsidR="00EE2104" w:rsidRPr="000A046D" w:rsidRDefault="00EE2104" w:rsidP="00EE2104">
            <w:pPr>
              <w:spacing w:after="0" w:line="240" w:lineRule="auto"/>
              <w:jc w:val="right"/>
              <w:rPr>
                <w:rFonts w:ascii="Calibri" w:eastAsia="Times New Roman" w:hAnsi="Calibri" w:cs="Calibri"/>
                <w:sz w:val="20"/>
                <w:szCs w:val="20"/>
                <w:lang w:eastAsia="pl-PL"/>
              </w:rPr>
            </w:pPr>
            <w:r>
              <w:rPr>
                <w:rFonts w:ascii="Calibri" w:hAnsi="Calibri"/>
                <w:sz w:val="20"/>
                <w:szCs w:val="20"/>
              </w:rPr>
              <w:t>63,55</w:t>
            </w:r>
          </w:p>
        </w:tc>
      </w:tr>
      <w:tr w:rsidR="00EE2104" w:rsidRPr="00ED4EDD" w14:paraId="20A3A86B" w14:textId="56B7E409" w:rsidTr="008C4F2F">
        <w:trPr>
          <w:trHeight w:val="300"/>
          <w:jc w:val="center"/>
        </w:trPr>
        <w:tc>
          <w:tcPr>
            <w:tcW w:w="1109" w:type="dxa"/>
            <w:shd w:val="clear" w:color="auto" w:fill="auto"/>
            <w:noWrap/>
            <w:vAlign w:val="bottom"/>
            <w:hideMark/>
          </w:tcPr>
          <w:p w14:paraId="5A04ED6B" w14:textId="77777777" w:rsidR="00EE2104" w:rsidRPr="000A046D" w:rsidRDefault="00EE2104" w:rsidP="00EE2104">
            <w:pPr>
              <w:spacing w:after="0" w:line="240" w:lineRule="auto"/>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Stawiguda</w:t>
            </w:r>
          </w:p>
        </w:tc>
        <w:tc>
          <w:tcPr>
            <w:tcW w:w="958" w:type="dxa"/>
            <w:shd w:val="clear" w:color="auto" w:fill="auto"/>
            <w:noWrap/>
            <w:vAlign w:val="bottom"/>
            <w:hideMark/>
          </w:tcPr>
          <w:p w14:paraId="0A1510B2"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90,93</w:t>
            </w:r>
          </w:p>
        </w:tc>
        <w:tc>
          <w:tcPr>
            <w:tcW w:w="959" w:type="dxa"/>
            <w:shd w:val="clear" w:color="auto" w:fill="auto"/>
            <w:noWrap/>
            <w:vAlign w:val="bottom"/>
            <w:hideMark/>
          </w:tcPr>
          <w:p w14:paraId="652E2293"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90,93</w:t>
            </w:r>
          </w:p>
        </w:tc>
        <w:tc>
          <w:tcPr>
            <w:tcW w:w="958" w:type="dxa"/>
            <w:shd w:val="clear" w:color="auto" w:fill="auto"/>
            <w:noWrap/>
            <w:vAlign w:val="bottom"/>
            <w:hideMark/>
          </w:tcPr>
          <w:p w14:paraId="35F15E29"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90,35</w:t>
            </w:r>
          </w:p>
        </w:tc>
        <w:tc>
          <w:tcPr>
            <w:tcW w:w="959" w:type="dxa"/>
            <w:shd w:val="clear" w:color="auto" w:fill="auto"/>
            <w:noWrap/>
            <w:vAlign w:val="bottom"/>
            <w:hideMark/>
          </w:tcPr>
          <w:p w14:paraId="07B60EEF"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92,89</w:t>
            </w:r>
          </w:p>
        </w:tc>
        <w:tc>
          <w:tcPr>
            <w:tcW w:w="958" w:type="dxa"/>
            <w:shd w:val="clear" w:color="auto" w:fill="auto"/>
            <w:noWrap/>
            <w:vAlign w:val="bottom"/>
            <w:hideMark/>
          </w:tcPr>
          <w:p w14:paraId="6E67979A"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89,09</w:t>
            </w:r>
          </w:p>
        </w:tc>
        <w:tc>
          <w:tcPr>
            <w:tcW w:w="959" w:type="dxa"/>
            <w:shd w:val="clear" w:color="auto" w:fill="auto"/>
            <w:noWrap/>
            <w:vAlign w:val="bottom"/>
            <w:hideMark/>
          </w:tcPr>
          <w:p w14:paraId="172FD24E"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86,63</w:t>
            </w:r>
          </w:p>
        </w:tc>
        <w:tc>
          <w:tcPr>
            <w:tcW w:w="959" w:type="dxa"/>
            <w:vAlign w:val="bottom"/>
          </w:tcPr>
          <w:p w14:paraId="67B41A10" w14:textId="58BAF578" w:rsidR="00EE2104" w:rsidRPr="000A046D" w:rsidRDefault="00EE2104" w:rsidP="00EE2104">
            <w:pPr>
              <w:spacing w:after="0" w:line="240" w:lineRule="auto"/>
              <w:jc w:val="right"/>
              <w:rPr>
                <w:rFonts w:ascii="Calibri" w:eastAsia="Times New Roman" w:hAnsi="Calibri" w:cs="Calibri"/>
                <w:sz w:val="20"/>
                <w:szCs w:val="20"/>
                <w:lang w:eastAsia="pl-PL"/>
              </w:rPr>
            </w:pPr>
            <w:r>
              <w:rPr>
                <w:rFonts w:ascii="Calibri" w:hAnsi="Calibri"/>
                <w:sz w:val="20"/>
                <w:szCs w:val="20"/>
              </w:rPr>
              <w:t>83,64</w:t>
            </w:r>
          </w:p>
        </w:tc>
      </w:tr>
      <w:tr w:rsidR="00EE2104" w:rsidRPr="00ED4EDD" w14:paraId="561E42FF" w14:textId="0358CE21" w:rsidTr="008C4F2F">
        <w:trPr>
          <w:trHeight w:val="300"/>
          <w:jc w:val="center"/>
        </w:trPr>
        <w:tc>
          <w:tcPr>
            <w:tcW w:w="1109" w:type="dxa"/>
            <w:shd w:val="clear" w:color="auto" w:fill="auto"/>
            <w:noWrap/>
            <w:vAlign w:val="bottom"/>
            <w:hideMark/>
          </w:tcPr>
          <w:p w14:paraId="4180DF8C" w14:textId="77777777" w:rsidR="00EE2104" w:rsidRPr="000A046D" w:rsidRDefault="00EE2104" w:rsidP="00EE2104">
            <w:pPr>
              <w:spacing w:after="0" w:line="240" w:lineRule="auto"/>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Olsztyn</w:t>
            </w:r>
          </w:p>
        </w:tc>
        <w:tc>
          <w:tcPr>
            <w:tcW w:w="958" w:type="dxa"/>
            <w:shd w:val="clear" w:color="auto" w:fill="auto"/>
            <w:noWrap/>
            <w:vAlign w:val="bottom"/>
            <w:hideMark/>
          </w:tcPr>
          <w:p w14:paraId="080CCD10"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110,03</w:t>
            </w:r>
          </w:p>
        </w:tc>
        <w:tc>
          <w:tcPr>
            <w:tcW w:w="959" w:type="dxa"/>
            <w:shd w:val="clear" w:color="auto" w:fill="auto"/>
            <w:noWrap/>
            <w:vAlign w:val="bottom"/>
            <w:hideMark/>
          </w:tcPr>
          <w:p w14:paraId="6E239210"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103,69</w:t>
            </w:r>
          </w:p>
        </w:tc>
        <w:tc>
          <w:tcPr>
            <w:tcW w:w="958" w:type="dxa"/>
            <w:shd w:val="clear" w:color="auto" w:fill="auto"/>
            <w:noWrap/>
            <w:vAlign w:val="bottom"/>
            <w:hideMark/>
          </w:tcPr>
          <w:p w14:paraId="65A752F1"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98,02</w:t>
            </w:r>
          </w:p>
        </w:tc>
        <w:tc>
          <w:tcPr>
            <w:tcW w:w="959" w:type="dxa"/>
            <w:shd w:val="clear" w:color="auto" w:fill="auto"/>
            <w:noWrap/>
            <w:vAlign w:val="bottom"/>
            <w:hideMark/>
          </w:tcPr>
          <w:p w14:paraId="5F25CD60"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106,39</w:t>
            </w:r>
          </w:p>
        </w:tc>
        <w:tc>
          <w:tcPr>
            <w:tcW w:w="958" w:type="dxa"/>
            <w:shd w:val="clear" w:color="auto" w:fill="auto"/>
            <w:noWrap/>
            <w:vAlign w:val="bottom"/>
            <w:hideMark/>
          </w:tcPr>
          <w:p w14:paraId="4844D64F"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105,07</w:t>
            </w:r>
          </w:p>
        </w:tc>
        <w:tc>
          <w:tcPr>
            <w:tcW w:w="959" w:type="dxa"/>
            <w:shd w:val="clear" w:color="auto" w:fill="auto"/>
            <w:noWrap/>
            <w:vAlign w:val="bottom"/>
            <w:hideMark/>
          </w:tcPr>
          <w:p w14:paraId="13DE66E6" w14:textId="77777777" w:rsidR="00EE2104" w:rsidRPr="000A046D" w:rsidRDefault="00EE2104" w:rsidP="00EE2104">
            <w:pPr>
              <w:spacing w:after="0" w:line="240" w:lineRule="auto"/>
              <w:jc w:val="right"/>
              <w:rPr>
                <w:rFonts w:ascii="Calibri" w:eastAsia="Times New Roman" w:hAnsi="Calibri" w:cs="Calibri"/>
                <w:sz w:val="20"/>
                <w:szCs w:val="20"/>
                <w:lang w:eastAsia="pl-PL"/>
              </w:rPr>
            </w:pPr>
            <w:r w:rsidRPr="000A046D">
              <w:rPr>
                <w:rFonts w:ascii="Calibri" w:eastAsia="Times New Roman" w:hAnsi="Calibri" w:cs="Calibri"/>
                <w:sz w:val="20"/>
                <w:szCs w:val="20"/>
                <w:lang w:eastAsia="pl-PL"/>
              </w:rPr>
              <w:t>106,46</w:t>
            </w:r>
          </w:p>
        </w:tc>
        <w:tc>
          <w:tcPr>
            <w:tcW w:w="959" w:type="dxa"/>
            <w:vAlign w:val="bottom"/>
          </w:tcPr>
          <w:p w14:paraId="00E87433" w14:textId="1767D4B6" w:rsidR="00EE2104" w:rsidRPr="000A046D" w:rsidRDefault="00EE2104" w:rsidP="00EE2104">
            <w:pPr>
              <w:spacing w:after="0" w:line="240" w:lineRule="auto"/>
              <w:jc w:val="right"/>
              <w:rPr>
                <w:rFonts w:ascii="Calibri" w:eastAsia="Times New Roman" w:hAnsi="Calibri" w:cs="Calibri"/>
                <w:sz w:val="20"/>
                <w:szCs w:val="20"/>
                <w:lang w:eastAsia="pl-PL"/>
              </w:rPr>
            </w:pPr>
            <w:r>
              <w:rPr>
                <w:rFonts w:ascii="Calibri" w:hAnsi="Calibri"/>
                <w:sz w:val="20"/>
                <w:szCs w:val="20"/>
              </w:rPr>
              <w:t>105,94</w:t>
            </w:r>
          </w:p>
        </w:tc>
      </w:tr>
    </w:tbl>
    <w:p w14:paraId="70660BE3" w14:textId="77777777" w:rsidR="00104D8C" w:rsidRPr="00394AE5" w:rsidRDefault="00104D8C" w:rsidP="00104D8C">
      <w:pPr>
        <w:spacing w:after="0" w:line="240" w:lineRule="auto"/>
        <w:jc w:val="center"/>
        <w:rPr>
          <w:i/>
          <w:sz w:val="20"/>
          <w:szCs w:val="20"/>
        </w:rPr>
      </w:pPr>
      <w:r w:rsidRPr="00394AE5">
        <w:rPr>
          <w:i/>
          <w:sz w:val="20"/>
          <w:szCs w:val="20"/>
        </w:rPr>
        <w:t>źródło: opracowanie własne na podstawie danych GUS</w:t>
      </w:r>
    </w:p>
    <w:p w14:paraId="02246842" w14:textId="79499F54" w:rsidR="003A1125" w:rsidRDefault="003A1125" w:rsidP="003A2F94">
      <w:pPr>
        <w:pStyle w:val="Nagwek2"/>
      </w:pPr>
      <w:bookmarkStart w:id="261" w:name="_Toc73534941"/>
      <w:r>
        <w:lastRenderedPageBreak/>
        <w:t>4.2 Centrum usług medycznych</w:t>
      </w:r>
      <w:bookmarkEnd w:id="261"/>
    </w:p>
    <w:p w14:paraId="22AB23D7" w14:textId="77777777" w:rsidR="009D10E2" w:rsidRDefault="009D10E2" w:rsidP="009D10E2">
      <w:pPr>
        <w:jc w:val="both"/>
      </w:pPr>
    </w:p>
    <w:p w14:paraId="23ECC327" w14:textId="7979BD26" w:rsidR="009D10E2" w:rsidRPr="009D10E2" w:rsidRDefault="009D10E2" w:rsidP="009D10E2">
      <w:pPr>
        <w:jc w:val="both"/>
      </w:pPr>
      <w:r w:rsidRPr="009D10E2">
        <w:t>Dane z 2015 r., kiedy na terenie Olsztyna funkcjonowało 215 Podmiotów Publicznych i Niepublicznych realizujących świadczenia ochrony zdrowia na podstawie umowy z NFZ, pokazują, że najwięcej takich podmiotów działało na terenie osiedla Ko</w:t>
      </w:r>
      <w:r w:rsidR="000F3FDB">
        <w:t>r</w:t>
      </w:r>
      <w:r w:rsidRPr="009D10E2">
        <w:t>moran (25) i Jaroty (22). Najmniej było ich w osiedlu Brzeziny i Gutkowo (po jednym)</w:t>
      </w:r>
      <w:r w:rsidRPr="009D10E2">
        <w:rPr>
          <w:vertAlign w:val="superscript"/>
        </w:rPr>
        <w:footnoteReference w:id="92"/>
      </w:r>
      <w:r w:rsidRPr="009D10E2">
        <w:t>. Jednak w przeliczeniu na 1 tys. mieszkańców najbardziej pozytywnie wyróżniały się dzielnice Śródmieście, Likusy, Kętrzyńskiego i Wojska Polskiego, gdzie występowały ponad dwa podmioty ochrony zdrowia. W 11 jednostkach wskaźnik ten wynosił między 1 a 2, a w 7 wynosił poniżej 1.</w:t>
      </w:r>
    </w:p>
    <w:p w14:paraId="4D076724" w14:textId="441493A8" w:rsidR="009D10E2" w:rsidRPr="002323CD" w:rsidRDefault="002323CD" w:rsidP="002323CD">
      <w:pPr>
        <w:pStyle w:val="Legenda"/>
        <w:rPr>
          <w:sz w:val="22"/>
          <w:szCs w:val="22"/>
        </w:rPr>
      </w:pPr>
      <w:bookmarkStart w:id="262" w:name="_Toc73516182"/>
      <w:r w:rsidRPr="002323CD">
        <w:rPr>
          <w:sz w:val="22"/>
          <w:szCs w:val="22"/>
        </w:rPr>
        <w:t xml:space="preserve">Rysunek </w:t>
      </w:r>
      <w:r w:rsidRPr="002323CD">
        <w:rPr>
          <w:sz w:val="22"/>
          <w:szCs w:val="22"/>
        </w:rPr>
        <w:fldChar w:fldCharType="begin"/>
      </w:r>
      <w:r w:rsidRPr="002323CD">
        <w:rPr>
          <w:sz w:val="22"/>
          <w:szCs w:val="22"/>
        </w:rPr>
        <w:instrText xml:space="preserve"> SEQ Rysunek \* ARABIC </w:instrText>
      </w:r>
      <w:r w:rsidRPr="002323CD">
        <w:rPr>
          <w:sz w:val="22"/>
          <w:szCs w:val="22"/>
        </w:rPr>
        <w:fldChar w:fldCharType="separate"/>
      </w:r>
      <w:r w:rsidR="00AD58C3">
        <w:rPr>
          <w:noProof/>
          <w:sz w:val="22"/>
          <w:szCs w:val="22"/>
        </w:rPr>
        <w:t>17</w:t>
      </w:r>
      <w:r w:rsidRPr="002323CD">
        <w:rPr>
          <w:sz w:val="22"/>
          <w:szCs w:val="22"/>
        </w:rPr>
        <w:fldChar w:fldCharType="end"/>
      </w:r>
      <w:r w:rsidRPr="002323CD">
        <w:rPr>
          <w:sz w:val="22"/>
          <w:szCs w:val="22"/>
          <w:lang w:val="pl-PL"/>
        </w:rPr>
        <w:t>. Liczba podmiotów realizujących świadczenia ochrony zdrowia na podstawie umowy z NFZ w 2015 na 1 tys. mieszkańców</w:t>
      </w:r>
      <w:bookmarkEnd w:id="262"/>
    </w:p>
    <w:p w14:paraId="6975362D" w14:textId="77777777" w:rsidR="00E74BD0" w:rsidRDefault="009D10E2" w:rsidP="00E74BD0">
      <w:pPr>
        <w:keepNext/>
        <w:jc w:val="center"/>
      </w:pPr>
      <w:r w:rsidRPr="009D10E2">
        <w:rPr>
          <w:noProof/>
          <w:lang w:eastAsia="pl-PL"/>
        </w:rPr>
        <w:drawing>
          <wp:inline distT="0" distB="0" distL="0" distR="0" wp14:anchorId="1A5A4946" wp14:editId="14B9B370">
            <wp:extent cx="5760720" cy="4784090"/>
            <wp:effectExtent l="0" t="0" r="0" b="0"/>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60720" cy="4784090"/>
                    </a:xfrm>
                    <a:prstGeom prst="rect">
                      <a:avLst/>
                    </a:prstGeom>
                  </pic:spPr>
                </pic:pic>
              </a:graphicData>
            </a:graphic>
          </wp:inline>
        </w:drawing>
      </w:r>
    </w:p>
    <w:p w14:paraId="17A78F00" w14:textId="39D4D89E" w:rsidR="00A136BC" w:rsidRDefault="00A136BC" w:rsidP="00E74BD0">
      <w:pPr>
        <w:pStyle w:val="Legenda"/>
        <w:jc w:val="center"/>
        <w:rPr>
          <w:sz w:val="20"/>
          <w:lang w:val="pl-PL"/>
        </w:rPr>
      </w:pPr>
    </w:p>
    <w:p w14:paraId="3663B22F" w14:textId="12F3F3E5" w:rsidR="00017E3C" w:rsidRPr="009E6503" w:rsidRDefault="002323CD" w:rsidP="00017E3C">
      <w:pPr>
        <w:spacing w:after="0" w:line="240" w:lineRule="auto"/>
        <w:jc w:val="center"/>
        <w:rPr>
          <w:i/>
          <w:sz w:val="20"/>
          <w:szCs w:val="20"/>
        </w:rPr>
      </w:pPr>
      <w:r w:rsidRPr="009E6503">
        <w:rPr>
          <w:i/>
          <w:sz w:val="20"/>
          <w:szCs w:val="20"/>
        </w:rPr>
        <w:t>ź</w:t>
      </w:r>
      <w:r w:rsidR="00E74BD0" w:rsidRPr="009E6503">
        <w:rPr>
          <w:i/>
          <w:sz w:val="20"/>
          <w:szCs w:val="20"/>
        </w:rPr>
        <w:t xml:space="preserve">ródło: </w:t>
      </w:r>
      <w:r w:rsidR="00017E3C" w:rsidRPr="009E6503">
        <w:rPr>
          <w:i/>
          <w:sz w:val="20"/>
          <w:szCs w:val="20"/>
          <w:lang w:val="en-US"/>
        </w:rPr>
        <w:t>Miejski Program Rewitalizacji Olsztyna 2023</w:t>
      </w:r>
      <w:r w:rsidR="00E74BD0" w:rsidRPr="009E6503">
        <w:rPr>
          <w:i/>
          <w:sz w:val="20"/>
          <w:szCs w:val="20"/>
        </w:rPr>
        <w:t xml:space="preserve"> </w:t>
      </w:r>
    </w:p>
    <w:p w14:paraId="300C9DDB" w14:textId="721F5097" w:rsidR="009D10E2" w:rsidRPr="009E6503" w:rsidRDefault="00E74BD0" w:rsidP="00017E3C">
      <w:pPr>
        <w:spacing w:after="0" w:line="240" w:lineRule="auto"/>
        <w:jc w:val="center"/>
        <w:rPr>
          <w:i/>
          <w:sz w:val="20"/>
          <w:szCs w:val="20"/>
        </w:rPr>
      </w:pPr>
      <w:r w:rsidRPr="009E6503">
        <w:rPr>
          <w:i/>
          <w:sz w:val="20"/>
          <w:szCs w:val="20"/>
        </w:rPr>
        <w:t>Podkład: Mapa Akustyczna Olsztyna; str. 10</w:t>
      </w:r>
    </w:p>
    <w:p w14:paraId="6C44DCFD" w14:textId="77777777" w:rsidR="009D10E2" w:rsidRPr="009D10E2" w:rsidRDefault="009D10E2" w:rsidP="009D10E2">
      <w:pPr>
        <w:jc w:val="both"/>
      </w:pPr>
    </w:p>
    <w:p w14:paraId="28DEB48C" w14:textId="1824734C" w:rsidR="009D10E2" w:rsidRPr="009D10E2" w:rsidRDefault="009D10E2" w:rsidP="009D10E2">
      <w:pPr>
        <w:jc w:val="both"/>
      </w:pPr>
      <w:r w:rsidRPr="009D10E2">
        <w:lastRenderedPageBreak/>
        <w:t>Według wykazu z 21.10.2020</w:t>
      </w:r>
      <w:r w:rsidRPr="009D10E2">
        <w:rPr>
          <w:vertAlign w:val="superscript"/>
        </w:rPr>
        <w:footnoteReference w:id="93"/>
      </w:r>
      <w:r w:rsidRPr="009D10E2">
        <w:t xml:space="preserve"> spośród placówek medycznych na terenie Olsztyna funkcjonuje 8 szpitali, w tym 4 Szpitale Wojewódzkie, jeden Szpital Miejski, 2 pozostałe szpitale publiczne i jeden niepubliczny. Ich lokalizacje skupiają się głównie w centralnej i południowo-wschodniej części miasta. Żaden szpital nie jest ulokowany w gęsto zaludnionej południowej części Olsztyna.</w:t>
      </w:r>
    </w:p>
    <w:p w14:paraId="63715B9B" w14:textId="77777777" w:rsidR="00464FC5" w:rsidRDefault="00464FC5" w:rsidP="00464FC5">
      <w:pPr>
        <w:pStyle w:val="Legenda"/>
        <w:rPr>
          <w:sz w:val="20"/>
          <w:lang w:val="pl-PL"/>
        </w:rPr>
      </w:pPr>
    </w:p>
    <w:p w14:paraId="5A720D1D" w14:textId="75ED7E01" w:rsidR="00464FC5" w:rsidRPr="00464FC5" w:rsidRDefault="00464FC5" w:rsidP="00464FC5">
      <w:pPr>
        <w:pStyle w:val="Legenda"/>
        <w:rPr>
          <w:sz w:val="22"/>
          <w:szCs w:val="22"/>
          <w:lang w:val="pl-PL"/>
        </w:rPr>
      </w:pPr>
      <w:bookmarkStart w:id="263" w:name="_Toc73516183"/>
      <w:r w:rsidRPr="00464FC5">
        <w:rPr>
          <w:sz w:val="22"/>
          <w:szCs w:val="22"/>
          <w:lang w:val="pl-PL"/>
        </w:rPr>
        <w:t xml:space="preserve">Rysunek </w:t>
      </w:r>
      <w:r w:rsidRPr="00464FC5">
        <w:rPr>
          <w:sz w:val="22"/>
          <w:szCs w:val="22"/>
        </w:rPr>
        <w:fldChar w:fldCharType="begin"/>
      </w:r>
      <w:r w:rsidRPr="00464FC5">
        <w:rPr>
          <w:sz w:val="22"/>
          <w:szCs w:val="22"/>
          <w:lang w:val="pl-PL"/>
        </w:rPr>
        <w:instrText xml:space="preserve"> SEQ Rysunek \* ARABIC </w:instrText>
      </w:r>
      <w:r w:rsidRPr="00464FC5">
        <w:rPr>
          <w:sz w:val="22"/>
          <w:szCs w:val="22"/>
        </w:rPr>
        <w:fldChar w:fldCharType="separate"/>
      </w:r>
      <w:r w:rsidR="00AD58C3">
        <w:rPr>
          <w:noProof/>
          <w:sz w:val="22"/>
          <w:szCs w:val="22"/>
          <w:lang w:val="pl-PL"/>
        </w:rPr>
        <w:t>18</w:t>
      </w:r>
      <w:r w:rsidRPr="00464FC5">
        <w:rPr>
          <w:sz w:val="22"/>
          <w:szCs w:val="22"/>
        </w:rPr>
        <w:fldChar w:fldCharType="end"/>
      </w:r>
      <w:r w:rsidRPr="00464FC5">
        <w:rPr>
          <w:sz w:val="22"/>
          <w:szCs w:val="22"/>
          <w:lang w:val="pl-PL"/>
        </w:rPr>
        <w:t>. Lokalizacja szpitali w Olsztynie w 21.10.2020</w:t>
      </w:r>
      <w:r>
        <w:rPr>
          <w:sz w:val="22"/>
          <w:szCs w:val="22"/>
          <w:lang w:val="pl-PL"/>
        </w:rPr>
        <w:t xml:space="preserve"> r.</w:t>
      </w:r>
      <w:bookmarkEnd w:id="263"/>
    </w:p>
    <w:p w14:paraId="13845EB5" w14:textId="77777777" w:rsidR="009877D3" w:rsidRDefault="009D10E2" w:rsidP="009877D3">
      <w:pPr>
        <w:keepNext/>
        <w:jc w:val="center"/>
      </w:pPr>
      <w:r w:rsidRPr="009D10E2">
        <w:rPr>
          <w:noProof/>
          <w:lang w:eastAsia="pl-PL"/>
        </w:rPr>
        <w:drawing>
          <wp:inline distT="0" distB="0" distL="0" distR="0" wp14:anchorId="33257B39" wp14:editId="3FF501A3">
            <wp:extent cx="5760720" cy="5087620"/>
            <wp:effectExtent l="0" t="0" r="0" b="0"/>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60720" cy="5087620"/>
                    </a:xfrm>
                    <a:prstGeom prst="rect">
                      <a:avLst/>
                    </a:prstGeom>
                  </pic:spPr>
                </pic:pic>
              </a:graphicData>
            </a:graphic>
          </wp:inline>
        </w:drawing>
      </w:r>
    </w:p>
    <w:p w14:paraId="14987CAF" w14:textId="29C7E6A0" w:rsidR="002E2E97" w:rsidRDefault="002E2E97" w:rsidP="002E2E97">
      <w:pPr>
        <w:spacing w:after="0" w:line="240" w:lineRule="auto"/>
        <w:jc w:val="center"/>
        <w:rPr>
          <w:i/>
          <w:sz w:val="20"/>
          <w:szCs w:val="20"/>
        </w:rPr>
      </w:pPr>
      <w:r>
        <w:rPr>
          <w:i/>
          <w:sz w:val="20"/>
          <w:szCs w:val="20"/>
        </w:rPr>
        <w:t>ź</w:t>
      </w:r>
      <w:r w:rsidR="009877D3" w:rsidRPr="002E2E97">
        <w:rPr>
          <w:i/>
          <w:sz w:val="20"/>
          <w:szCs w:val="20"/>
        </w:rPr>
        <w:t xml:space="preserve">ródło danych: </w:t>
      </w:r>
      <w:hyperlink r:id="rId117" w:history="1">
        <w:r w:rsidRPr="00797684">
          <w:rPr>
            <w:rStyle w:val="Hipercze"/>
            <w:i/>
            <w:sz w:val="20"/>
            <w:szCs w:val="20"/>
          </w:rPr>
          <w:t>https://www.gov.pl/web/uw-warminsko-mazurski/wykaz-szpitali-wpisanych-do-rejestru-wojewody-warminsko-mazurskiego</w:t>
        </w:r>
      </w:hyperlink>
    </w:p>
    <w:p w14:paraId="464AA37F" w14:textId="36941EF1" w:rsidR="009D10E2" w:rsidRPr="002E2E97" w:rsidRDefault="002E2E97" w:rsidP="002E2E97">
      <w:pPr>
        <w:spacing w:after="0" w:line="240" w:lineRule="auto"/>
        <w:jc w:val="center"/>
        <w:rPr>
          <w:i/>
          <w:sz w:val="20"/>
          <w:szCs w:val="20"/>
        </w:rPr>
      </w:pPr>
      <w:r>
        <w:rPr>
          <w:i/>
          <w:sz w:val="20"/>
          <w:szCs w:val="20"/>
        </w:rPr>
        <w:t>P</w:t>
      </w:r>
      <w:r w:rsidR="009877D3" w:rsidRPr="002E2E97">
        <w:rPr>
          <w:i/>
          <w:sz w:val="20"/>
          <w:szCs w:val="20"/>
        </w:rPr>
        <w:t>odkład: Mapa Akustyczna Olsztyna; str. 10</w:t>
      </w:r>
    </w:p>
    <w:p w14:paraId="5FFA58C0" w14:textId="77777777" w:rsidR="009D10E2" w:rsidRDefault="009D10E2" w:rsidP="00525C5D"/>
    <w:p w14:paraId="152CFF38" w14:textId="552AFBD4" w:rsidR="003A2F94" w:rsidRDefault="000F1ECB" w:rsidP="003A2F94">
      <w:pPr>
        <w:pStyle w:val="Nagwek3"/>
        <w:rPr>
          <w:sz w:val="22"/>
          <w:szCs w:val="22"/>
        </w:rPr>
      </w:pPr>
      <w:bookmarkStart w:id="264" w:name="_Toc73534942"/>
      <w:r w:rsidRPr="003A2F94">
        <w:rPr>
          <w:sz w:val="22"/>
          <w:szCs w:val="22"/>
        </w:rPr>
        <w:t xml:space="preserve">4.2.1 </w:t>
      </w:r>
      <w:r w:rsidR="003A1125" w:rsidRPr="003A2F94">
        <w:rPr>
          <w:sz w:val="22"/>
          <w:szCs w:val="22"/>
        </w:rPr>
        <w:t>Podstawowa opieka zdrowotna i dostępność aptek</w:t>
      </w:r>
      <w:bookmarkEnd w:id="264"/>
    </w:p>
    <w:p w14:paraId="2B7A1262" w14:textId="037C2001" w:rsidR="00F26B97" w:rsidRDefault="00050DC8" w:rsidP="00C5158E">
      <w:pPr>
        <w:jc w:val="both"/>
      </w:pPr>
      <w:r>
        <w:t>Liczba podmiotów ambulatoryjnych (podstawowej i specjalistycznej opieki zdrowotnej) w badanych miastach na przestrzeni lat 2013-2019 stale rośnie. W Olsztynie w roku 2019 funkcjonowały 174 placówki (więcej o 27 niż w roku 2013). Największy przyrost w tym zakresie nastąpił w Kielcach (</w:t>
      </w:r>
      <w:r w:rsidR="002137A2">
        <w:t xml:space="preserve">więcej o 40 przychodni w roku 2019 w porównaniu do roku 2013). W roku 2019 najwięcej przychodni działało </w:t>
      </w:r>
      <w:r w:rsidR="002137A2">
        <w:lastRenderedPageBreak/>
        <w:t>w Lublinie (309 placówek) oraz Białymstoku (300 placówek).</w:t>
      </w:r>
      <w:r w:rsidR="00AE07EF">
        <w:t xml:space="preserve"> Dostępność przychodni, przeliczając liczbę przychodni na 10 tys</w:t>
      </w:r>
      <w:r w:rsidR="00E37BD0">
        <w:t>.</w:t>
      </w:r>
      <w:r w:rsidR="00AE07EF">
        <w:t xml:space="preserve"> mieszkańców, jest wielkością zbliżoną dla miast Polski Wschodniej. W roku 2019 w Olsztynie, Kielcach, Białymstoku i Rzeszowie było 10 przychodni w przeliczeniu na 10 </w:t>
      </w:r>
      <w:r w:rsidR="00E37BD0">
        <w:t xml:space="preserve">tys. </w:t>
      </w:r>
      <w:r w:rsidR="00AE07EF">
        <w:t xml:space="preserve">ludności, w Lublinie – 9 przychodni/na 10 </w:t>
      </w:r>
      <w:r w:rsidR="00E37BD0">
        <w:t xml:space="preserve">tys. </w:t>
      </w:r>
      <w:r w:rsidR="00AE07EF">
        <w:t xml:space="preserve">ludności. </w:t>
      </w:r>
      <w:r w:rsidR="00F76C9B">
        <w:t xml:space="preserve">W Olsztynie w badanych latach nastąpił przyrost liczby przychodni </w:t>
      </w:r>
      <w:r w:rsidR="00661079">
        <w:t xml:space="preserve">- w roku 2013 na 10 </w:t>
      </w:r>
      <w:r w:rsidR="00E37BD0">
        <w:t xml:space="preserve">tys. </w:t>
      </w:r>
      <w:r w:rsidR="00661079">
        <w:t xml:space="preserve">przypadało 8 placówek opieki zdrowotnej, zaś w roku 2019 – 10 placówek. </w:t>
      </w:r>
      <w:r w:rsidR="00F76C9B">
        <w:t xml:space="preserve">Warto zauważyć, że dostępność w omawianych miastach była wyższa niż wartości średnie zarejestrowane </w:t>
      </w:r>
      <w:r w:rsidR="00661079">
        <w:t xml:space="preserve">w 2019 roku </w:t>
      </w:r>
      <w:r w:rsidR="00F76C9B">
        <w:t>dla całego kraju i województwa warmińsko-mazurskiego</w:t>
      </w:r>
      <w:r w:rsidR="00661079">
        <w:t xml:space="preserve"> (6 placówek na 10 </w:t>
      </w:r>
      <w:r w:rsidR="00E37BD0">
        <w:t xml:space="preserve">tys. </w:t>
      </w:r>
      <w:r w:rsidR="00661079">
        <w:t>mieszkańców)</w:t>
      </w:r>
      <w:r w:rsidR="00F76C9B">
        <w:t>.</w:t>
      </w:r>
    </w:p>
    <w:p w14:paraId="1DD13358" w14:textId="00F96EF1" w:rsidR="006E273F" w:rsidRPr="006E273F" w:rsidRDefault="006E273F" w:rsidP="006E273F">
      <w:pPr>
        <w:pStyle w:val="Legenda"/>
        <w:rPr>
          <w:sz w:val="22"/>
          <w:szCs w:val="22"/>
          <w:lang w:val="pl-PL"/>
        </w:rPr>
      </w:pPr>
      <w:bookmarkStart w:id="265" w:name="_Toc73516144"/>
      <w:r w:rsidRPr="006E273F">
        <w:rPr>
          <w:sz w:val="22"/>
          <w:szCs w:val="22"/>
        </w:rPr>
        <w:t xml:space="preserve">Wykres </w:t>
      </w:r>
      <w:r w:rsidRPr="006E273F">
        <w:rPr>
          <w:sz w:val="22"/>
          <w:szCs w:val="22"/>
        </w:rPr>
        <w:fldChar w:fldCharType="begin"/>
      </w:r>
      <w:r w:rsidRPr="006E273F">
        <w:rPr>
          <w:sz w:val="22"/>
          <w:szCs w:val="22"/>
        </w:rPr>
        <w:instrText xml:space="preserve"> SEQ Wykres \* ARABIC </w:instrText>
      </w:r>
      <w:r w:rsidRPr="006E273F">
        <w:rPr>
          <w:sz w:val="22"/>
          <w:szCs w:val="22"/>
        </w:rPr>
        <w:fldChar w:fldCharType="separate"/>
      </w:r>
      <w:r w:rsidR="00AD58C3">
        <w:rPr>
          <w:noProof/>
          <w:sz w:val="22"/>
          <w:szCs w:val="22"/>
        </w:rPr>
        <w:t>82</w:t>
      </w:r>
      <w:r w:rsidRPr="006E273F">
        <w:rPr>
          <w:sz w:val="22"/>
          <w:szCs w:val="22"/>
        </w:rPr>
        <w:fldChar w:fldCharType="end"/>
      </w:r>
      <w:r w:rsidRPr="006E273F">
        <w:rPr>
          <w:sz w:val="22"/>
          <w:szCs w:val="22"/>
        </w:rPr>
        <w:t xml:space="preserve">. </w:t>
      </w:r>
      <w:r w:rsidRPr="006E273F">
        <w:rPr>
          <w:bCs/>
          <w:sz w:val="22"/>
          <w:szCs w:val="22"/>
          <w:lang w:val="en-US"/>
        </w:rPr>
        <w:t>Liczba podmiotów ambulatoryjnych</w:t>
      </w:r>
      <w:r w:rsidRPr="006E273F">
        <w:rPr>
          <w:bCs/>
          <w:sz w:val="22"/>
          <w:szCs w:val="22"/>
          <w:lang w:val="pl-PL"/>
        </w:rPr>
        <w:t xml:space="preserve"> (przychodni) ogółem </w:t>
      </w:r>
      <w:r w:rsidRPr="006E273F">
        <w:rPr>
          <w:bCs/>
          <w:sz w:val="22"/>
          <w:szCs w:val="22"/>
          <w:lang w:val="en-US"/>
        </w:rPr>
        <w:t>w latach 2013-2019</w:t>
      </w:r>
      <w:bookmarkEnd w:id="265"/>
    </w:p>
    <w:p w14:paraId="12CBAFF3" w14:textId="67830141" w:rsidR="00F26B97" w:rsidRDefault="00F26B97" w:rsidP="00310B34">
      <w:pPr>
        <w:spacing w:after="0" w:line="240" w:lineRule="auto"/>
        <w:jc w:val="center"/>
      </w:pPr>
      <w:r>
        <w:rPr>
          <w:noProof/>
          <w:lang w:eastAsia="pl-PL"/>
        </w:rPr>
        <w:drawing>
          <wp:inline distT="0" distB="0" distL="0" distR="0" wp14:anchorId="5E217C2C" wp14:editId="58D4E1FE">
            <wp:extent cx="4096512" cy="2143353"/>
            <wp:effectExtent l="0" t="0" r="18415" b="9525"/>
            <wp:docPr id="43" name="Wykres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004AC45A" w14:textId="77777777" w:rsidR="00310B34" w:rsidRPr="00394AE5" w:rsidRDefault="00310B34" w:rsidP="00310B34">
      <w:pPr>
        <w:spacing w:after="0" w:line="240" w:lineRule="auto"/>
        <w:jc w:val="center"/>
        <w:rPr>
          <w:i/>
          <w:sz w:val="20"/>
          <w:szCs w:val="20"/>
        </w:rPr>
      </w:pPr>
      <w:r w:rsidRPr="00394AE5">
        <w:rPr>
          <w:i/>
          <w:sz w:val="20"/>
          <w:szCs w:val="20"/>
        </w:rPr>
        <w:t>źródło: opracowanie własne na podstawie danych GUS</w:t>
      </w:r>
    </w:p>
    <w:p w14:paraId="27D3F5CE" w14:textId="77777777" w:rsidR="00310B34" w:rsidRDefault="00310B34" w:rsidP="00F26B97">
      <w:pPr>
        <w:jc w:val="center"/>
      </w:pPr>
    </w:p>
    <w:p w14:paraId="2019855E" w14:textId="0A8EF7F6" w:rsidR="00F26B97" w:rsidRDefault="002137A2" w:rsidP="00C5158E">
      <w:pPr>
        <w:jc w:val="both"/>
      </w:pPr>
      <w:r>
        <w:t>Wzrasta liczba porad udzielanych w ramach ambulatoryjnej opieki zdrowotnej</w:t>
      </w:r>
      <w:r w:rsidR="001C7928">
        <w:t>. W roku 2019 olsztynianie korzystali z ponad 2 milionów porad</w:t>
      </w:r>
      <w:r w:rsidR="00626799">
        <w:t>. W roku 2019 w porównaniu do 2013 roku nastąpił 8,9% wzrost zapotrzebowania w tym zakresie (w</w:t>
      </w:r>
      <w:r w:rsidR="001C7928">
        <w:t>ięcej o blisko 181 tys</w:t>
      </w:r>
      <w:r w:rsidR="00E37BD0">
        <w:t>.</w:t>
      </w:r>
      <w:r w:rsidR="00626799">
        <w:t>)</w:t>
      </w:r>
      <w:r w:rsidR="001C7928">
        <w:t xml:space="preserve">. </w:t>
      </w:r>
      <w:r w:rsidR="00626799">
        <w:t>Większą niż w Olsztynie zmianę odnotowano w Kielcac</w:t>
      </w:r>
      <w:r w:rsidR="00E37BD0">
        <w:t>h (wzrost o 11,7% tj. 293 tys.</w:t>
      </w:r>
      <w:r w:rsidR="00626799">
        <w:t xml:space="preserve"> udzielonych porad).</w:t>
      </w:r>
    </w:p>
    <w:p w14:paraId="6F62EE51" w14:textId="49B42893" w:rsidR="006E273F" w:rsidRPr="006E273F" w:rsidRDefault="006E273F" w:rsidP="006E273F">
      <w:pPr>
        <w:pStyle w:val="Legenda"/>
        <w:rPr>
          <w:sz w:val="22"/>
          <w:szCs w:val="22"/>
          <w:lang w:val="pl-PL"/>
        </w:rPr>
      </w:pPr>
      <w:bookmarkStart w:id="266" w:name="_Toc73516145"/>
      <w:r w:rsidRPr="006E273F">
        <w:rPr>
          <w:sz w:val="22"/>
          <w:szCs w:val="22"/>
        </w:rPr>
        <w:t xml:space="preserve">Wykres </w:t>
      </w:r>
      <w:r w:rsidRPr="006E273F">
        <w:rPr>
          <w:sz w:val="22"/>
          <w:szCs w:val="22"/>
        </w:rPr>
        <w:fldChar w:fldCharType="begin"/>
      </w:r>
      <w:r w:rsidRPr="006E273F">
        <w:rPr>
          <w:sz w:val="22"/>
          <w:szCs w:val="22"/>
        </w:rPr>
        <w:instrText xml:space="preserve"> SEQ Wykres \* ARABIC </w:instrText>
      </w:r>
      <w:r w:rsidRPr="006E273F">
        <w:rPr>
          <w:sz w:val="22"/>
          <w:szCs w:val="22"/>
        </w:rPr>
        <w:fldChar w:fldCharType="separate"/>
      </w:r>
      <w:r w:rsidR="00AD58C3">
        <w:rPr>
          <w:noProof/>
          <w:sz w:val="22"/>
          <w:szCs w:val="22"/>
        </w:rPr>
        <w:t>83</w:t>
      </w:r>
      <w:r w:rsidRPr="006E273F">
        <w:rPr>
          <w:sz w:val="22"/>
          <w:szCs w:val="22"/>
        </w:rPr>
        <w:fldChar w:fldCharType="end"/>
      </w:r>
      <w:r w:rsidRPr="006E273F">
        <w:rPr>
          <w:sz w:val="22"/>
          <w:szCs w:val="22"/>
        </w:rPr>
        <w:t xml:space="preserve">. </w:t>
      </w:r>
      <w:r w:rsidRPr="006E273F">
        <w:rPr>
          <w:bCs/>
          <w:sz w:val="22"/>
          <w:szCs w:val="22"/>
          <w:lang w:val="pl-PL"/>
        </w:rPr>
        <w:t>Ambulatoryjna opieka zdrowotna – porady w latach 2013 i 2019</w:t>
      </w:r>
      <w:bookmarkEnd w:id="266"/>
    </w:p>
    <w:p w14:paraId="7BE2C0EC" w14:textId="76710B6A" w:rsidR="00F26B97" w:rsidRDefault="00F26B97" w:rsidP="00310B34">
      <w:pPr>
        <w:spacing w:after="0" w:line="240" w:lineRule="auto"/>
        <w:jc w:val="center"/>
      </w:pPr>
      <w:r>
        <w:rPr>
          <w:noProof/>
          <w:lang w:eastAsia="pl-PL"/>
        </w:rPr>
        <w:drawing>
          <wp:inline distT="0" distB="0" distL="0" distR="0" wp14:anchorId="7BDB338F" wp14:editId="3627D43D">
            <wp:extent cx="3935578" cy="2318918"/>
            <wp:effectExtent l="0" t="0" r="8255" b="5715"/>
            <wp:docPr id="44" name="Wykres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5689F266" w14:textId="77777777" w:rsidR="00310B34" w:rsidRPr="00394AE5" w:rsidRDefault="00310B34" w:rsidP="00310B34">
      <w:pPr>
        <w:spacing w:after="0" w:line="240" w:lineRule="auto"/>
        <w:jc w:val="center"/>
        <w:rPr>
          <w:i/>
          <w:sz w:val="20"/>
          <w:szCs w:val="20"/>
        </w:rPr>
      </w:pPr>
      <w:r w:rsidRPr="00394AE5">
        <w:rPr>
          <w:i/>
          <w:sz w:val="20"/>
          <w:szCs w:val="20"/>
        </w:rPr>
        <w:t>źródło: opracowanie własne na podstawie danych GUS</w:t>
      </w:r>
    </w:p>
    <w:p w14:paraId="69CFE647" w14:textId="77777777" w:rsidR="00310B34" w:rsidRDefault="00310B34" w:rsidP="00F26B97">
      <w:pPr>
        <w:jc w:val="center"/>
      </w:pPr>
    </w:p>
    <w:p w14:paraId="1C109FB2" w14:textId="6C6E4A31" w:rsidR="002F2C14" w:rsidRDefault="00FE61A3" w:rsidP="00C5158E">
      <w:pPr>
        <w:jc w:val="both"/>
      </w:pPr>
      <w:r>
        <w:t>D</w:t>
      </w:r>
      <w:r w:rsidR="00C5158E">
        <w:t xml:space="preserve">ostęp mieszkańców Olsztyna do aptek rośnie. </w:t>
      </w:r>
      <w:r w:rsidR="000A7D4F">
        <w:t>Z badań danych statystycznych wynika, że p</w:t>
      </w:r>
      <w:r w:rsidR="002F2C14">
        <w:t xml:space="preserve">omimo zmniejszającej się w Olsztynie, w </w:t>
      </w:r>
      <w:r w:rsidR="000A7D4F">
        <w:t>la</w:t>
      </w:r>
      <w:r w:rsidR="002F2C14">
        <w:t xml:space="preserve">tach 2013-2019, liczby aptek (mniej o 8 placówek w roku 2019 </w:t>
      </w:r>
      <w:r w:rsidR="000A7D4F">
        <w:br/>
      </w:r>
      <w:r w:rsidR="002F2C14">
        <w:t xml:space="preserve">w porównaniu do danych za rok 2013) ogólny zakres dostępności olsztynian do placówek aptecznych </w:t>
      </w:r>
      <w:r w:rsidR="002F2C14">
        <w:lastRenderedPageBreak/>
        <w:t xml:space="preserve">nie </w:t>
      </w:r>
      <w:r w:rsidR="000A7D4F">
        <w:t>spada</w:t>
      </w:r>
      <w:r w:rsidR="002F2C14">
        <w:t xml:space="preserve">. W roku 2019 dostęp do </w:t>
      </w:r>
      <w:r w:rsidR="00C5158E">
        <w:t>aptek miało więcej o 287 osób (tj. 2819 osób) niż miało to miejsce w roku 2013 (2532 osób).</w:t>
      </w:r>
    </w:p>
    <w:p w14:paraId="2CD83EC6" w14:textId="1EF7FEE2" w:rsidR="00691C57" w:rsidRPr="00691C57" w:rsidRDefault="00691C57" w:rsidP="00691C57">
      <w:pPr>
        <w:pStyle w:val="Legenda"/>
        <w:rPr>
          <w:sz w:val="22"/>
          <w:szCs w:val="22"/>
          <w:lang w:val="pl-PL"/>
        </w:rPr>
      </w:pPr>
      <w:bookmarkStart w:id="267" w:name="_Toc73516146"/>
      <w:r w:rsidRPr="00691C57">
        <w:rPr>
          <w:sz w:val="22"/>
          <w:szCs w:val="22"/>
        </w:rPr>
        <w:t xml:space="preserve">Wykres </w:t>
      </w:r>
      <w:r w:rsidRPr="00691C57">
        <w:rPr>
          <w:sz w:val="22"/>
          <w:szCs w:val="22"/>
        </w:rPr>
        <w:fldChar w:fldCharType="begin"/>
      </w:r>
      <w:r w:rsidRPr="00691C57">
        <w:rPr>
          <w:sz w:val="22"/>
          <w:szCs w:val="22"/>
        </w:rPr>
        <w:instrText xml:space="preserve"> SEQ Wykres \* ARABIC </w:instrText>
      </w:r>
      <w:r w:rsidRPr="00691C57">
        <w:rPr>
          <w:sz w:val="22"/>
          <w:szCs w:val="22"/>
        </w:rPr>
        <w:fldChar w:fldCharType="separate"/>
      </w:r>
      <w:r w:rsidR="00AD58C3">
        <w:rPr>
          <w:noProof/>
          <w:sz w:val="22"/>
          <w:szCs w:val="22"/>
        </w:rPr>
        <w:t>84</w:t>
      </w:r>
      <w:r w:rsidRPr="00691C57">
        <w:rPr>
          <w:sz w:val="22"/>
          <w:szCs w:val="22"/>
        </w:rPr>
        <w:fldChar w:fldCharType="end"/>
      </w:r>
      <w:r w:rsidRPr="00691C57">
        <w:rPr>
          <w:sz w:val="22"/>
          <w:szCs w:val="22"/>
        </w:rPr>
        <w:t xml:space="preserve">. </w:t>
      </w:r>
      <w:r w:rsidRPr="00691C57">
        <w:rPr>
          <w:bCs/>
          <w:sz w:val="22"/>
          <w:szCs w:val="22"/>
          <w:lang w:val="pl-PL"/>
        </w:rPr>
        <w:t>Dostępność aptek w latach 2013 i 2019</w:t>
      </w:r>
      <w:bookmarkEnd w:id="267"/>
    </w:p>
    <w:p w14:paraId="75984482" w14:textId="3837DA95" w:rsidR="002F2C14" w:rsidRDefault="002F2C14" w:rsidP="00FE61A3">
      <w:pPr>
        <w:spacing w:after="0"/>
        <w:jc w:val="center"/>
      </w:pPr>
      <w:r>
        <w:rPr>
          <w:noProof/>
          <w:lang w:eastAsia="pl-PL"/>
        </w:rPr>
        <w:drawing>
          <wp:inline distT="0" distB="0" distL="0" distR="0" wp14:anchorId="51C95BEC" wp14:editId="4121C055">
            <wp:extent cx="3738563" cy="2276475"/>
            <wp:effectExtent l="0" t="0" r="14605" b="9525"/>
            <wp:docPr id="40" name="Wykres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73E94BF8" w14:textId="77777777" w:rsidR="00FE61A3" w:rsidRPr="00394AE5" w:rsidRDefault="00FE61A3" w:rsidP="00FE61A3">
      <w:pPr>
        <w:spacing w:after="0" w:line="240" w:lineRule="auto"/>
        <w:jc w:val="center"/>
        <w:rPr>
          <w:i/>
          <w:sz w:val="20"/>
          <w:szCs w:val="20"/>
        </w:rPr>
      </w:pPr>
      <w:r w:rsidRPr="00394AE5">
        <w:rPr>
          <w:i/>
          <w:sz w:val="20"/>
          <w:szCs w:val="20"/>
        </w:rPr>
        <w:t>źródło: opracowanie własne na podstawie danych GUS</w:t>
      </w:r>
    </w:p>
    <w:p w14:paraId="32A38AD8" w14:textId="07066C2A" w:rsidR="003A2F94" w:rsidRDefault="003A2F94" w:rsidP="003A2F94"/>
    <w:p w14:paraId="1C70496C" w14:textId="77777777" w:rsidR="003A2F94" w:rsidRPr="003A2F94" w:rsidRDefault="003A2F94" w:rsidP="003A2F94"/>
    <w:p w14:paraId="48FC5A0E" w14:textId="30517B15" w:rsidR="003A1125" w:rsidRPr="00062794" w:rsidRDefault="000F1ECB" w:rsidP="00062794">
      <w:pPr>
        <w:pStyle w:val="Nagwek3"/>
        <w:rPr>
          <w:sz w:val="22"/>
          <w:szCs w:val="22"/>
        </w:rPr>
      </w:pPr>
      <w:bookmarkStart w:id="268" w:name="_Toc73534943"/>
      <w:r w:rsidRPr="00062794">
        <w:rPr>
          <w:sz w:val="22"/>
          <w:szCs w:val="22"/>
        </w:rPr>
        <w:t xml:space="preserve">4.2.2 </w:t>
      </w:r>
      <w:r w:rsidR="003A1125" w:rsidRPr="00062794">
        <w:rPr>
          <w:sz w:val="22"/>
          <w:szCs w:val="22"/>
        </w:rPr>
        <w:t>Dostępność specjalistycznej opieki zdrowotnej</w:t>
      </w:r>
      <w:bookmarkEnd w:id="268"/>
    </w:p>
    <w:p w14:paraId="40EBB1B1" w14:textId="679DFF2E" w:rsidR="00F26B97" w:rsidRDefault="00062794" w:rsidP="00F26B97">
      <w:pPr>
        <w:tabs>
          <w:tab w:val="num" w:pos="284"/>
        </w:tabs>
        <w:jc w:val="both"/>
        <w:rPr>
          <w:bCs/>
        </w:rPr>
      </w:pPr>
      <w:r>
        <w:rPr>
          <w:bCs/>
        </w:rPr>
        <w:t xml:space="preserve">Na terenie Warmii i Mazur istnieje 43 placówki specjalistycznej opieki zdrowotnej i leczenia szpitalnego, z czego w samym Olsztynie 7 podmiotów. W pozostałych miastach Polski Wschodniej liczba szpitali w roku 2019 przedstawia się następująco: 5 podmiotów – w Kielcach; 7 podmiotów - </w:t>
      </w:r>
      <w:r>
        <w:rPr>
          <w:bCs/>
        </w:rPr>
        <w:br/>
        <w:t>w Białymstoku i Rzeszowie; 10 podmiotów – w Lublinie.</w:t>
      </w:r>
      <w:r>
        <w:rPr>
          <w:rStyle w:val="Odwoanieprzypisudolnego"/>
          <w:bCs/>
        </w:rPr>
        <w:footnoteReference w:id="94"/>
      </w:r>
    </w:p>
    <w:p w14:paraId="2E27568A" w14:textId="63358098" w:rsidR="004B41DD" w:rsidRDefault="004B41DD" w:rsidP="00F26B97">
      <w:pPr>
        <w:tabs>
          <w:tab w:val="num" w:pos="284"/>
        </w:tabs>
        <w:jc w:val="both"/>
        <w:rPr>
          <w:bCs/>
        </w:rPr>
      </w:pPr>
      <w:r>
        <w:rPr>
          <w:bCs/>
        </w:rPr>
        <w:t>We wszystkich badanych latach 2013-2019 d</w:t>
      </w:r>
      <w:r w:rsidR="002C5B50">
        <w:rPr>
          <w:bCs/>
        </w:rPr>
        <w:t>ostępność łóżek w szpitalach og</w:t>
      </w:r>
      <w:r w:rsidR="0059730D">
        <w:rPr>
          <w:bCs/>
        </w:rPr>
        <w:t xml:space="preserve">ólnych </w:t>
      </w:r>
      <w:r>
        <w:rPr>
          <w:bCs/>
        </w:rPr>
        <w:t xml:space="preserve">w Olsztynie </w:t>
      </w:r>
      <w:r w:rsidR="0059730D">
        <w:rPr>
          <w:bCs/>
        </w:rPr>
        <w:t xml:space="preserve">nie zmienia się </w:t>
      </w:r>
      <w:r>
        <w:rPr>
          <w:bCs/>
        </w:rPr>
        <w:t>w sposób znaczący.</w:t>
      </w:r>
      <w:r w:rsidR="00D90B45">
        <w:rPr>
          <w:bCs/>
        </w:rPr>
        <w:t xml:space="preserve"> </w:t>
      </w:r>
      <w:r>
        <w:rPr>
          <w:bCs/>
        </w:rPr>
        <w:t xml:space="preserve">W roku 2013 olsztyńskie szpitale dysponowały </w:t>
      </w:r>
      <w:r w:rsidR="00D90B45">
        <w:rPr>
          <w:bCs/>
        </w:rPr>
        <w:t>1772 łóżka</w:t>
      </w:r>
      <w:r>
        <w:rPr>
          <w:bCs/>
        </w:rPr>
        <w:t xml:space="preserve">mi zaś w 2019 roku 1756 łóżkami. </w:t>
      </w:r>
    </w:p>
    <w:p w14:paraId="33537C4D" w14:textId="47E7A5C5" w:rsidR="00F83275" w:rsidRPr="00691C57" w:rsidRDefault="00691C57" w:rsidP="00691C57">
      <w:pPr>
        <w:pStyle w:val="Legenda"/>
        <w:rPr>
          <w:sz w:val="22"/>
          <w:szCs w:val="22"/>
          <w:lang w:val="pl-PL"/>
        </w:rPr>
      </w:pPr>
      <w:bookmarkStart w:id="269" w:name="_Toc73516147"/>
      <w:r w:rsidRPr="00691C57">
        <w:rPr>
          <w:sz w:val="22"/>
          <w:szCs w:val="22"/>
        </w:rPr>
        <w:t xml:space="preserve">Wykres </w:t>
      </w:r>
      <w:r w:rsidRPr="00691C57">
        <w:rPr>
          <w:sz w:val="22"/>
          <w:szCs w:val="22"/>
        </w:rPr>
        <w:fldChar w:fldCharType="begin"/>
      </w:r>
      <w:r w:rsidRPr="00691C57">
        <w:rPr>
          <w:sz w:val="22"/>
          <w:szCs w:val="22"/>
        </w:rPr>
        <w:instrText xml:space="preserve"> SEQ Wykres \* ARABIC </w:instrText>
      </w:r>
      <w:r w:rsidRPr="00691C57">
        <w:rPr>
          <w:sz w:val="22"/>
          <w:szCs w:val="22"/>
        </w:rPr>
        <w:fldChar w:fldCharType="separate"/>
      </w:r>
      <w:r w:rsidR="00AD58C3">
        <w:rPr>
          <w:noProof/>
          <w:sz w:val="22"/>
          <w:szCs w:val="22"/>
        </w:rPr>
        <w:t>85</w:t>
      </w:r>
      <w:r w:rsidRPr="00691C57">
        <w:rPr>
          <w:sz w:val="22"/>
          <w:szCs w:val="22"/>
        </w:rPr>
        <w:fldChar w:fldCharType="end"/>
      </w:r>
      <w:r w:rsidRPr="00691C57">
        <w:rPr>
          <w:sz w:val="22"/>
          <w:szCs w:val="22"/>
        </w:rPr>
        <w:t xml:space="preserve">. </w:t>
      </w:r>
      <w:r w:rsidRPr="00691C57">
        <w:rPr>
          <w:bCs/>
          <w:sz w:val="22"/>
          <w:szCs w:val="22"/>
          <w:lang w:val="en-US"/>
        </w:rPr>
        <w:t>Liczba łóżek w szpitalach ogólnych w latach 2013 i 2019</w:t>
      </w:r>
      <w:bookmarkEnd w:id="269"/>
    </w:p>
    <w:p w14:paraId="31C04B71" w14:textId="2141C353" w:rsidR="00D90005" w:rsidRDefault="00F83275" w:rsidP="004B41DD">
      <w:pPr>
        <w:tabs>
          <w:tab w:val="num" w:pos="284"/>
        </w:tabs>
        <w:spacing w:after="0" w:line="240" w:lineRule="auto"/>
        <w:jc w:val="center"/>
        <w:rPr>
          <w:bCs/>
        </w:rPr>
      </w:pPr>
      <w:r>
        <w:rPr>
          <w:noProof/>
          <w:lang w:eastAsia="pl-PL"/>
        </w:rPr>
        <w:drawing>
          <wp:inline distT="0" distB="0" distL="0" distR="0" wp14:anchorId="6F0AE10B" wp14:editId="3ADAC1C3">
            <wp:extent cx="3738067" cy="2241905"/>
            <wp:effectExtent l="0" t="0" r="15240" b="6350"/>
            <wp:docPr id="46" name="Wykres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702EAFF5" w14:textId="77777777" w:rsidR="004B41DD" w:rsidRPr="00394AE5" w:rsidRDefault="004B41DD" w:rsidP="004B41DD">
      <w:pPr>
        <w:spacing w:after="0" w:line="240" w:lineRule="auto"/>
        <w:jc w:val="center"/>
        <w:rPr>
          <w:i/>
          <w:sz w:val="20"/>
          <w:szCs w:val="20"/>
        </w:rPr>
      </w:pPr>
      <w:r w:rsidRPr="00394AE5">
        <w:rPr>
          <w:i/>
          <w:sz w:val="20"/>
          <w:szCs w:val="20"/>
        </w:rPr>
        <w:t>źródło: opracowanie własne na podstawie danych GUS</w:t>
      </w:r>
    </w:p>
    <w:p w14:paraId="72EF0591" w14:textId="77777777" w:rsidR="004B41DD" w:rsidRDefault="004B41DD" w:rsidP="00F26B97">
      <w:pPr>
        <w:tabs>
          <w:tab w:val="num" w:pos="284"/>
        </w:tabs>
        <w:jc w:val="center"/>
        <w:rPr>
          <w:bCs/>
        </w:rPr>
      </w:pPr>
    </w:p>
    <w:p w14:paraId="2E417294" w14:textId="133AB034" w:rsidR="00D90005" w:rsidRDefault="00C70D0A" w:rsidP="00F008F3">
      <w:pPr>
        <w:tabs>
          <w:tab w:val="num" w:pos="0"/>
        </w:tabs>
        <w:jc w:val="both"/>
        <w:rPr>
          <w:bCs/>
        </w:rPr>
      </w:pPr>
      <w:r>
        <w:rPr>
          <w:bCs/>
        </w:rPr>
        <w:t>W badanych latach 2013-2019 n</w:t>
      </w:r>
      <w:r w:rsidR="00F008F3">
        <w:rPr>
          <w:bCs/>
        </w:rPr>
        <w:t xml:space="preserve">a zbliżonym poziomie pozostaje dostępność łóżek w szpitalach ogólnych w przeliczeniu na 1 mieszkańca – w Olsztynie </w:t>
      </w:r>
      <w:r>
        <w:rPr>
          <w:bCs/>
        </w:rPr>
        <w:t xml:space="preserve">w 2019 roku na 1 łóżko przypadało 98 mieszkańców (w roku 2013 – 99 olsztynian). Najwyższe wartości w analizowanym zakresie odnotowano </w:t>
      </w:r>
      <w:r w:rsidR="00BE4ADF">
        <w:rPr>
          <w:bCs/>
        </w:rPr>
        <w:t xml:space="preserve">w </w:t>
      </w:r>
      <w:r>
        <w:rPr>
          <w:bCs/>
        </w:rPr>
        <w:t>Białymstoku, gdzie na 1 łóżko przypadało 121 mieszkańców (2019 rok).</w:t>
      </w:r>
      <w:r w:rsidR="000162AF">
        <w:rPr>
          <w:bCs/>
        </w:rPr>
        <w:t xml:space="preserve"> Wskaźniki dostępności wyższe niż w Olsztynie obserwuje się w Białymstoku (121 mieszkańców na 1 łóżko) </w:t>
      </w:r>
      <w:r w:rsidR="00BE4ADF">
        <w:rPr>
          <w:bCs/>
        </w:rPr>
        <w:br/>
      </w:r>
      <w:r w:rsidR="000162AF">
        <w:rPr>
          <w:bCs/>
        </w:rPr>
        <w:t>i Kielcach (108 osób na 1 łóżko).</w:t>
      </w:r>
    </w:p>
    <w:p w14:paraId="6AD1AA99" w14:textId="74367A2A" w:rsidR="00691C57" w:rsidRPr="00206773" w:rsidRDefault="00691C57" w:rsidP="00691C57">
      <w:pPr>
        <w:pStyle w:val="Legenda"/>
        <w:rPr>
          <w:bCs/>
          <w:sz w:val="22"/>
          <w:szCs w:val="22"/>
          <w:lang w:val="en-US"/>
        </w:rPr>
      </w:pPr>
      <w:bookmarkStart w:id="270" w:name="_Toc73516148"/>
      <w:r w:rsidRPr="00691C57">
        <w:rPr>
          <w:sz w:val="22"/>
          <w:szCs w:val="22"/>
        </w:rPr>
        <w:t xml:space="preserve">Wykres </w:t>
      </w:r>
      <w:r w:rsidRPr="00691C57">
        <w:rPr>
          <w:sz w:val="22"/>
          <w:szCs w:val="22"/>
        </w:rPr>
        <w:fldChar w:fldCharType="begin"/>
      </w:r>
      <w:r w:rsidRPr="00691C57">
        <w:rPr>
          <w:sz w:val="22"/>
          <w:szCs w:val="22"/>
        </w:rPr>
        <w:instrText xml:space="preserve"> SEQ Wykres \* ARABIC </w:instrText>
      </w:r>
      <w:r w:rsidRPr="00691C57">
        <w:rPr>
          <w:sz w:val="22"/>
          <w:szCs w:val="22"/>
        </w:rPr>
        <w:fldChar w:fldCharType="separate"/>
      </w:r>
      <w:r w:rsidR="00AD58C3">
        <w:rPr>
          <w:noProof/>
          <w:sz w:val="22"/>
          <w:szCs w:val="22"/>
        </w:rPr>
        <w:t>86</w:t>
      </w:r>
      <w:r w:rsidRPr="00691C57">
        <w:rPr>
          <w:sz w:val="22"/>
          <w:szCs w:val="22"/>
        </w:rPr>
        <w:fldChar w:fldCharType="end"/>
      </w:r>
      <w:r w:rsidRPr="00691C57">
        <w:rPr>
          <w:sz w:val="22"/>
          <w:szCs w:val="22"/>
        </w:rPr>
        <w:t xml:space="preserve">. </w:t>
      </w:r>
      <w:r w:rsidRPr="00691C57">
        <w:rPr>
          <w:bCs/>
          <w:sz w:val="22"/>
          <w:szCs w:val="22"/>
          <w:lang w:val="en-US"/>
        </w:rPr>
        <w:t>Dostępność łóżek w szpitalach ogólnych w przeliczeni</w:t>
      </w:r>
      <w:r w:rsidR="00206773">
        <w:rPr>
          <w:bCs/>
          <w:sz w:val="22"/>
          <w:szCs w:val="22"/>
          <w:lang w:val="en-US"/>
        </w:rPr>
        <w:t>u na 1 mieszkańca w latach 2013</w:t>
      </w:r>
      <w:r w:rsidR="00206773">
        <w:rPr>
          <w:bCs/>
          <w:sz w:val="22"/>
          <w:szCs w:val="22"/>
          <w:lang w:val="en-US"/>
        </w:rPr>
        <w:br/>
      </w:r>
      <w:r w:rsidRPr="00691C57">
        <w:rPr>
          <w:bCs/>
          <w:sz w:val="22"/>
          <w:szCs w:val="22"/>
          <w:lang w:val="en-US"/>
        </w:rPr>
        <w:t>i 2019</w:t>
      </w:r>
      <w:bookmarkEnd w:id="270"/>
    </w:p>
    <w:p w14:paraId="263ED22F" w14:textId="604D1F53" w:rsidR="002C5B50" w:rsidRDefault="002C5B50" w:rsidP="00D26E14">
      <w:pPr>
        <w:tabs>
          <w:tab w:val="num" w:pos="284"/>
        </w:tabs>
        <w:spacing w:after="0" w:line="240" w:lineRule="auto"/>
        <w:jc w:val="center"/>
        <w:rPr>
          <w:bCs/>
        </w:rPr>
      </w:pPr>
      <w:r>
        <w:rPr>
          <w:noProof/>
          <w:lang w:eastAsia="pl-PL"/>
        </w:rPr>
        <w:drawing>
          <wp:inline distT="0" distB="0" distL="0" distR="0" wp14:anchorId="28E9FA90" wp14:editId="53877DD8">
            <wp:extent cx="3864634" cy="1984075"/>
            <wp:effectExtent l="0" t="0" r="2540" b="16510"/>
            <wp:docPr id="47" name="Wykres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1BB26E91" w14:textId="77777777" w:rsidR="00D26E14" w:rsidRPr="00394AE5" w:rsidRDefault="00D26E14" w:rsidP="00D26E14">
      <w:pPr>
        <w:spacing w:after="0" w:line="240" w:lineRule="auto"/>
        <w:jc w:val="center"/>
        <w:rPr>
          <w:i/>
          <w:sz w:val="20"/>
          <w:szCs w:val="20"/>
        </w:rPr>
      </w:pPr>
      <w:r w:rsidRPr="00394AE5">
        <w:rPr>
          <w:i/>
          <w:sz w:val="20"/>
          <w:szCs w:val="20"/>
        </w:rPr>
        <w:t>źródło: opracowanie własne na podstawie danych GUS</w:t>
      </w:r>
    </w:p>
    <w:p w14:paraId="09B78F18" w14:textId="2C931287" w:rsidR="00D26E14" w:rsidRDefault="00D26E14" w:rsidP="002C5B50">
      <w:pPr>
        <w:tabs>
          <w:tab w:val="num" w:pos="284"/>
        </w:tabs>
        <w:ind w:left="851"/>
        <w:jc w:val="center"/>
        <w:rPr>
          <w:bCs/>
        </w:rPr>
      </w:pPr>
    </w:p>
    <w:p w14:paraId="6704194C" w14:textId="4BB9B8BB" w:rsidR="003A1125" w:rsidRDefault="003A1125" w:rsidP="00A7289E">
      <w:pPr>
        <w:pStyle w:val="Nagwek3"/>
        <w:numPr>
          <w:ilvl w:val="2"/>
          <w:numId w:val="32"/>
        </w:numPr>
        <w:ind w:left="0" w:firstLine="0"/>
        <w:rPr>
          <w:sz w:val="22"/>
          <w:szCs w:val="22"/>
        </w:rPr>
      </w:pPr>
      <w:bookmarkStart w:id="271" w:name="_Toc73534944"/>
      <w:r w:rsidRPr="00A7289E">
        <w:rPr>
          <w:sz w:val="22"/>
          <w:szCs w:val="22"/>
        </w:rPr>
        <w:t>Pracownicy służby zdrowia</w:t>
      </w:r>
      <w:bookmarkEnd w:id="271"/>
    </w:p>
    <w:p w14:paraId="7B96A74C" w14:textId="4BF4AE0D" w:rsidR="00081869" w:rsidRDefault="00545EED" w:rsidP="00545EED">
      <w:pPr>
        <w:jc w:val="both"/>
      </w:pPr>
      <w:r>
        <w:t>Dostępność do wysoko wykwalifikowanej kadry medycznej (lekarzy, pielęgniarek i położnych) stanowi o sprawnie działającej służbie zdrowia. Wskaźnik dostępności kadry medycznej wyrażon</w:t>
      </w:r>
      <w:r w:rsidR="008014EE">
        <w:t>ej</w:t>
      </w:r>
      <w:r>
        <w:t xml:space="preserve"> liczbą lekarzy ogółem </w:t>
      </w:r>
      <w:r w:rsidR="008014EE">
        <w:t>(</w:t>
      </w:r>
      <w:r>
        <w:t>przeliczoną na 10 tys</w:t>
      </w:r>
      <w:r w:rsidR="00E37BD0">
        <w:t>.</w:t>
      </w:r>
      <w:r>
        <w:t xml:space="preserve"> ludności</w:t>
      </w:r>
      <w:r w:rsidR="008014EE">
        <w:t xml:space="preserve">) </w:t>
      </w:r>
      <w:r w:rsidR="00A50623">
        <w:t>w roku 201</w:t>
      </w:r>
      <w:r w:rsidR="00481752">
        <w:t>9</w:t>
      </w:r>
      <w:r w:rsidR="00A50623">
        <w:t xml:space="preserve"> </w:t>
      </w:r>
      <w:r w:rsidR="008E00FE">
        <w:t>była</w:t>
      </w:r>
      <w:r w:rsidR="00A50623">
        <w:t xml:space="preserve"> w Olsztynie</w:t>
      </w:r>
      <w:r w:rsidR="008014EE">
        <w:t xml:space="preserve"> </w:t>
      </w:r>
      <w:r w:rsidR="00C717D8">
        <w:t xml:space="preserve">wartością najniższą odnotowaną </w:t>
      </w:r>
      <w:r w:rsidR="00D4116F">
        <w:t xml:space="preserve">wśród </w:t>
      </w:r>
      <w:r w:rsidR="00C717D8">
        <w:t>analizowanych miast (1</w:t>
      </w:r>
      <w:r w:rsidR="00481752">
        <w:t>18</w:t>
      </w:r>
      <w:r w:rsidR="00C717D8">
        <w:t xml:space="preserve"> lekarzy).</w:t>
      </w:r>
      <w:r w:rsidR="00D4116F">
        <w:t xml:space="preserve"> Nieco korzystniej przedstawia</w:t>
      </w:r>
      <w:r w:rsidR="00A50623">
        <w:t>ła</w:t>
      </w:r>
      <w:r w:rsidR="00D4116F">
        <w:t xml:space="preserve"> się w Olsztynie dostępność pielęgniarek i położnych – 1</w:t>
      </w:r>
      <w:r w:rsidR="00481752">
        <w:t>57</w:t>
      </w:r>
      <w:r w:rsidR="00D4116F">
        <w:t xml:space="preserve"> osób w przeliczeniu na 10 tys</w:t>
      </w:r>
      <w:r w:rsidR="00E37BD0">
        <w:t xml:space="preserve">. </w:t>
      </w:r>
      <w:r w:rsidR="00D4116F">
        <w:t xml:space="preserve">mieszkańców. </w:t>
      </w:r>
      <w:r w:rsidR="00481752">
        <w:t>W roku 2019</w:t>
      </w:r>
      <w:r w:rsidR="00D4116F">
        <w:t xml:space="preserve">, spośród miast Polski Wschodniej, </w:t>
      </w:r>
      <w:r w:rsidR="00C717D8">
        <w:t>największa liczba lekarzy poz</w:t>
      </w:r>
      <w:r w:rsidR="008E00FE">
        <w:t>osta</w:t>
      </w:r>
      <w:r w:rsidR="00A50623">
        <w:t>wała</w:t>
      </w:r>
      <w:r w:rsidR="008E00FE">
        <w:t xml:space="preserve"> do dyspozycji </w:t>
      </w:r>
      <w:r w:rsidR="00481752">
        <w:t>lublinian</w:t>
      </w:r>
      <w:r w:rsidR="008E00FE">
        <w:t xml:space="preserve"> </w:t>
      </w:r>
      <w:r w:rsidR="00481752">
        <w:t>–</w:t>
      </w:r>
      <w:r w:rsidR="008E00FE">
        <w:t xml:space="preserve"> </w:t>
      </w:r>
      <w:r w:rsidR="00481752">
        <w:t xml:space="preserve">205 </w:t>
      </w:r>
      <w:r w:rsidR="00C717D8">
        <w:t xml:space="preserve"> </w:t>
      </w:r>
      <w:r w:rsidR="008E00FE">
        <w:t>medyków w przeliczeniu na 10 000 mieszkańców</w:t>
      </w:r>
      <w:r w:rsidR="00D4116F">
        <w:t xml:space="preserve">, zaś </w:t>
      </w:r>
      <w:r w:rsidR="008E00FE">
        <w:t xml:space="preserve">największa liczba pielęgniarek i położnych </w:t>
      </w:r>
      <w:r w:rsidR="00A50623">
        <w:t xml:space="preserve">pracowała </w:t>
      </w:r>
      <w:r w:rsidR="00D4116F">
        <w:t>w Rzeszowie</w:t>
      </w:r>
      <w:r w:rsidR="008E00FE">
        <w:t xml:space="preserve"> – 21</w:t>
      </w:r>
      <w:r w:rsidR="00481752">
        <w:t>6</w:t>
      </w:r>
      <w:r w:rsidR="008E00FE">
        <w:t xml:space="preserve"> osób personelu medycznego/10 000 mieszkańców</w:t>
      </w:r>
      <w:r w:rsidR="00D4116F">
        <w:t xml:space="preserve">.  </w:t>
      </w:r>
    </w:p>
    <w:p w14:paraId="769D53D0" w14:textId="433F939C" w:rsidR="00522317" w:rsidRDefault="00522317" w:rsidP="00522317">
      <w:pPr>
        <w:pStyle w:val="Legenda"/>
        <w:rPr>
          <w:bCs/>
          <w:sz w:val="22"/>
          <w:szCs w:val="22"/>
          <w:lang w:val="en-US"/>
        </w:rPr>
      </w:pPr>
      <w:bookmarkStart w:id="272" w:name="_Toc73516149"/>
      <w:r w:rsidRPr="00522317">
        <w:rPr>
          <w:sz w:val="22"/>
          <w:szCs w:val="22"/>
        </w:rPr>
        <w:t xml:space="preserve">Wykres </w:t>
      </w:r>
      <w:r w:rsidRPr="00522317">
        <w:rPr>
          <w:sz w:val="22"/>
          <w:szCs w:val="22"/>
        </w:rPr>
        <w:fldChar w:fldCharType="begin"/>
      </w:r>
      <w:r w:rsidRPr="00522317">
        <w:rPr>
          <w:sz w:val="22"/>
          <w:szCs w:val="22"/>
        </w:rPr>
        <w:instrText xml:space="preserve"> SEQ Wykres \* ARABIC </w:instrText>
      </w:r>
      <w:r w:rsidRPr="00522317">
        <w:rPr>
          <w:sz w:val="22"/>
          <w:szCs w:val="22"/>
        </w:rPr>
        <w:fldChar w:fldCharType="separate"/>
      </w:r>
      <w:r w:rsidR="00AD58C3">
        <w:rPr>
          <w:noProof/>
          <w:sz w:val="22"/>
          <w:szCs w:val="22"/>
        </w:rPr>
        <w:t>87</w:t>
      </w:r>
      <w:r w:rsidRPr="00522317">
        <w:rPr>
          <w:sz w:val="22"/>
          <w:szCs w:val="22"/>
        </w:rPr>
        <w:fldChar w:fldCharType="end"/>
      </w:r>
      <w:r w:rsidRPr="00522317">
        <w:rPr>
          <w:sz w:val="22"/>
          <w:szCs w:val="22"/>
        </w:rPr>
        <w:t xml:space="preserve">. </w:t>
      </w:r>
      <w:r w:rsidRPr="00522317">
        <w:rPr>
          <w:bCs/>
          <w:sz w:val="22"/>
          <w:szCs w:val="22"/>
          <w:lang w:val="en-US"/>
        </w:rPr>
        <w:t>Personel medyczny na 10 tys</w:t>
      </w:r>
      <w:r w:rsidRPr="00522317">
        <w:rPr>
          <w:bCs/>
          <w:sz w:val="22"/>
          <w:szCs w:val="22"/>
          <w:lang w:val="pl-PL"/>
        </w:rPr>
        <w:t>.</w:t>
      </w:r>
      <w:r w:rsidRPr="00522317">
        <w:rPr>
          <w:bCs/>
          <w:sz w:val="22"/>
          <w:szCs w:val="22"/>
          <w:lang w:val="en-US"/>
        </w:rPr>
        <w:t xml:space="preserve"> ludności w </w:t>
      </w:r>
      <w:r w:rsidRPr="00522317">
        <w:rPr>
          <w:bCs/>
          <w:sz w:val="22"/>
          <w:szCs w:val="22"/>
          <w:lang w:val="pl-PL"/>
        </w:rPr>
        <w:t xml:space="preserve">roku </w:t>
      </w:r>
      <w:r w:rsidRPr="00522317">
        <w:rPr>
          <w:bCs/>
          <w:sz w:val="22"/>
          <w:szCs w:val="22"/>
          <w:lang w:val="en-US"/>
        </w:rPr>
        <w:t>201</w:t>
      </w:r>
      <w:r w:rsidR="009A2DA2">
        <w:rPr>
          <w:bCs/>
          <w:sz w:val="22"/>
          <w:szCs w:val="22"/>
          <w:lang w:val="en-US"/>
        </w:rPr>
        <w:t>9</w:t>
      </w:r>
      <w:bookmarkEnd w:id="272"/>
    </w:p>
    <w:p w14:paraId="144A2F27" w14:textId="597A9D8C" w:rsidR="009A2DA2" w:rsidRPr="00522317" w:rsidRDefault="009A2DA2" w:rsidP="009A2DA2">
      <w:pPr>
        <w:pStyle w:val="Legenda"/>
        <w:spacing w:before="0" w:after="0" w:line="240" w:lineRule="auto"/>
        <w:jc w:val="center"/>
        <w:rPr>
          <w:sz w:val="22"/>
          <w:szCs w:val="22"/>
          <w:lang w:val="pl-PL"/>
        </w:rPr>
      </w:pPr>
      <w:r>
        <w:rPr>
          <w:noProof/>
          <w:lang w:val="pl-PL" w:eastAsia="pl-PL"/>
        </w:rPr>
        <w:drawing>
          <wp:inline distT="0" distB="0" distL="0" distR="0" wp14:anchorId="4FFADEBF" wp14:editId="093F2A3D">
            <wp:extent cx="3830129" cy="1966823"/>
            <wp:effectExtent l="0" t="0" r="18415" b="14605"/>
            <wp:docPr id="66" name="Wykres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211849CB" w14:textId="77777777" w:rsidR="0082563F" w:rsidRPr="00394AE5" w:rsidRDefault="0082563F" w:rsidP="009A2DA2">
      <w:pPr>
        <w:spacing w:after="0" w:line="240" w:lineRule="auto"/>
        <w:jc w:val="center"/>
        <w:rPr>
          <w:i/>
          <w:sz w:val="20"/>
          <w:szCs w:val="20"/>
        </w:rPr>
      </w:pPr>
      <w:r w:rsidRPr="00394AE5">
        <w:rPr>
          <w:i/>
          <w:sz w:val="20"/>
          <w:szCs w:val="20"/>
        </w:rPr>
        <w:t>źródło: opracowanie własne na podstawie danych GUS</w:t>
      </w:r>
    </w:p>
    <w:p w14:paraId="570C4946" w14:textId="52FE26CE" w:rsidR="0082563F" w:rsidRDefault="0082563F" w:rsidP="00A7289E"/>
    <w:p w14:paraId="7D639BD7" w14:textId="77777777" w:rsidR="00F64CC8" w:rsidRDefault="00F64CC8" w:rsidP="00D10350">
      <w:pPr>
        <w:jc w:val="both"/>
      </w:pPr>
    </w:p>
    <w:p w14:paraId="7B2399C7" w14:textId="4911871E" w:rsidR="00CA3403" w:rsidRDefault="00952149" w:rsidP="00D10350">
      <w:pPr>
        <w:jc w:val="both"/>
      </w:pPr>
      <w:r>
        <w:t>W każdym z omawianych ośrodków wojewódzkich</w:t>
      </w:r>
      <w:r w:rsidR="00FB6975">
        <w:t xml:space="preserve">, w </w:t>
      </w:r>
      <w:r w:rsidR="00F64CC8">
        <w:t xml:space="preserve">analizowanych </w:t>
      </w:r>
      <w:r w:rsidR="00FB6975">
        <w:t xml:space="preserve">latach 2013 </w:t>
      </w:r>
      <w:r w:rsidR="00D10350">
        <w:t>do 201</w:t>
      </w:r>
      <w:r w:rsidR="00D37612">
        <w:t>9</w:t>
      </w:r>
      <w:r w:rsidR="00D10350">
        <w:t xml:space="preserve">,  </w:t>
      </w:r>
      <w:r>
        <w:t>dostępność lekarzy</w:t>
      </w:r>
      <w:r w:rsidR="00D10350">
        <w:t xml:space="preserve"> rośnie. W roku 201</w:t>
      </w:r>
      <w:r w:rsidR="00D37612">
        <w:t>9</w:t>
      </w:r>
      <w:r w:rsidR="00D10350">
        <w:t xml:space="preserve"> na 10 </w:t>
      </w:r>
      <w:r w:rsidR="00E37BD0">
        <w:t xml:space="preserve">tys. </w:t>
      </w:r>
      <w:r w:rsidR="00D10350">
        <w:t>olsztynian przypadało 1</w:t>
      </w:r>
      <w:r w:rsidR="00D37612">
        <w:t>18</w:t>
      </w:r>
      <w:r w:rsidR="00D10350">
        <w:t xml:space="preserve"> lekarzy (więcej o </w:t>
      </w:r>
      <w:r w:rsidR="00D37612">
        <w:t>18</w:t>
      </w:r>
      <w:r w:rsidR="00D10350">
        <w:t xml:space="preserve"> medyków niż </w:t>
      </w:r>
      <w:r w:rsidR="00D37612">
        <w:br/>
      </w:r>
      <w:r w:rsidR="00D10350">
        <w:t>w roku 2013)</w:t>
      </w:r>
      <w:r w:rsidR="00F82845">
        <w:t>, jednakże</w:t>
      </w:r>
      <w:r w:rsidR="00F82845" w:rsidRPr="00F82845">
        <w:t xml:space="preserve"> </w:t>
      </w:r>
      <w:r w:rsidR="00F82845">
        <w:t>w badanym okresie 2013-201</w:t>
      </w:r>
      <w:r w:rsidR="00D37612">
        <w:t>9</w:t>
      </w:r>
      <w:r w:rsidR="00F82845">
        <w:t xml:space="preserve"> przyrost ten nie miał charakteru stałego</w:t>
      </w:r>
      <w:r w:rsidR="00D10350">
        <w:t xml:space="preserve">. </w:t>
      </w:r>
      <w:r w:rsidR="00F82845">
        <w:t xml:space="preserve">Największy przyrost </w:t>
      </w:r>
      <w:r w:rsidR="00735520">
        <w:t xml:space="preserve">w analizowanym zakresie </w:t>
      </w:r>
      <w:r w:rsidR="00F82845">
        <w:t xml:space="preserve">zanotowano w Rzeszowie (więcej o </w:t>
      </w:r>
      <w:r w:rsidR="00D37612">
        <w:t>blisko 47</w:t>
      </w:r>
      <w:r w:rsidR="00F82845">
        <w:t xml:space="preserve"> lekarzy/10 </w:t>
      </w:r>
      <w:r w:rsidR="00E37BD0">
        <w:t xml:space="preserve">tys. </w:t>
      </w:r>
      <w:r w:rsidR="00F82845">
        <w:t>mieszkańców w roku 201</w:t>
      </w:r>
      <w:r w:rsidR="00D37612">
        <w:t>9</w:t>
      </w:r>
      <w:r w:rsidR="00F82845">
        <w:t xml:space="preserve"> w porównaniu do 2013 roku).</w:t>
      </w:r>
    </w:p>
    <w:p w14:paraId="0F6C624F" w14:textId="21A81347" w:rsidR="000162AF" w:rsidRDefault="00D4024A" w:rsidP="00D4024A">
      <w:pPr>
        <w:pStyle w:val="Legenda"/>
        <w:rPr>
          <w:bCs/>
          <w:sz w:val="22"/>
          <w:szCs w:val="22"/>
          <w:lang w:val="pl-PL"/>
        </w:rPr>
      </w:pPr>
      <w:bookmarkStart w:id="273" w:name="_Toc73516150"/>
      <w:r w:rsidRPr="00D4024A">
        <w:rPr>
          <w:sz w:val="22"/>
          <w:szCs w:val="22"/>
        </w:rPr>
        <w:t xml:space="preserve">Wykres </w:t>
      </w:r>
      <w:r w:rsidRPr="00D4024A">
        <w:rPr>
          <w:sz w:val="22"/>
          <w:szCs w:val="22"/>
        </w:rPr>
        <w:fldChar w:fldCharType="begin"/>
      </w:r>
      <w:r w:rsidRPr="00D4024A">
        <w:rPr>
          <w:sz w:val="22"/>
          <w:szCs w:val="22"/>
        </w:rPr>
        <w:instrText xml:space="preserve"> SEQ Wykres \* ARABIC </w:instrText>
      </w:r>
      <w:r w:rsidRPr="00D4024A">
        <w:rPr>
          <w:sz w:val="22"/>
          <w:szCs w:val="22"/>
        </w:rPr>
        <w:fldChar w:fldCharType="separate"/>
      </w:r>
      <w:r w:rsidR="00AD58C3">
        <w:rPr>
          <w:noProof/>
          <w:sz w:val="22"/>
          <w:szCs w:val="22"/>
        </w:rPr>
        <w:t>88</w:t>
      </w:r>
      <w:r w:rsidRPr="00D4024A">
        <w:rPr>
          <w:sz w:val="22"/>
          <w:szCs w:val="22"/>
        </w:rPr>
        <w:fldChar w:fldCharType="end"/>
      </w:r>
      <w:r w:rsidRPr="00D4024A">
        <w:rPr>
          <w:sz w:val="22"/>
          <w:szCs w:val="22"/>
        </w:rPr>
        <w:t xml:space="preserve">. </w:t>
      </w:r>
      <w:r w:rsidRPr="00D4024A">
        <w:rPr>
          <w:bCs/>
          <w:sz w:val="22"/>
          <w:szCs w:val="22"/>
          <w:lang w:val="pl-PL"/>
        </w:rPr>
        <w:t>Lekarze na 10 tys. ludności w latach 2013-201</w:t>
      </w:r>
      <w:r w:rsidR="00D37612">
        <w:rPr>
          <w:bCs/>
          <w:sz w:val="22"/>
          <w:szCs w:val="22"/>
          <w:lang w:val="pl-PL"/>
        </w:rPr>
        <w:t>9</w:t>
      </w:r>
      <w:bookmarkEnd w:id="273"/>
    </w:p>
    <w:p w14:paraId="6B1646DA" w14:textId="738B5B6B" w:rsidR="00D37612" w:rsidRDefault="00D37612" w:rsidP="00D37612">
      <w:pPr>
        <w:pStyle w:val="Legenda"/>
        <w:spacing w:before="0" w:after="0" w:line="240" w:lineRule="auto"/>
        <w:jc w:val="center"/>
        <w:rPr>
          <w:bCs/>
          <w:sz w:val="22"/>
          <w:szCs w:val="22"/>
          <w:lang w:val="pl-PL"/>
        </w:rPr>
      </w:pPr>
      <w:r>
        <w:rPr>
          <w:noProof/>
          <w:lang w:val="pl-PL" w:eastAsia="pl-PL"/>
        </w:rPr>
        <w:drawing>
          <wp:inline distT="0" distB="0" distL="0" distR="0" wp14:anchorId="443F0C50" wp14:editId="05F64F8F">
            <wp:extent cx="5613680" cy="2847033"/>
            <wp:effectExtent l="0" t="0" r="6350" b="10795"/>
            <wp:docPr id="32" name="Wykres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506D57E9" w14:textId="6AFAF2C2" w:rsidR="004C6313" w:rsidRPr="00394AE5" w:rsidRDefault="004C6313" w:rsidP="00D37612">
      <w:pPr>
        <w:spacing w:after="0" w:line="240" w:lineRule="auto"/>
        <w:jc w:val="center"/>
        <w:rPr>
          <w:i/>
          <w:sz w:val="20"/>
          <w:szCs w:val="20"/>
        </w:rPr>
      </w:pPr>
      <w:r w:rsidRPr="00394AE5">
        <w:rPr>
          <w:i/>
          <w:sz w:val="20"/>
          <w:szCs w:val="20"/>
        </w:rPr>
        <w:t>źródło: opracowanie własne na podstawie danych GUS</w:t>
      </w:r>
    </w:p>
    <w:p w14:paraId="1C9FDD31" w14:textId="0895BCFF" w:rsidR="000162AF" w:rsidRDefault="000162AF" w:rsidP="00D10350">
      <w:pPr>
        <w:jc w:val="center"/>
      </w:pPr>
    </w:p>
    <w:p w14:paraId="65964158" w14:textId="4773EEC2" w:rsidR="004C6313" w:rsidRDefault="004C6313" w:rsidP="004C6313">
      <w:pPr>
        <w:jc w:val="both"/>
      </w:pPr>
      <w:r>
        <w:t xml:space="preserve">W ostatnich latach nieznacznie zwiększa się liczba pielęgniarek i położnych pracujących w Olsztynie. </w:t>
      </w:r>
      <w:r>
        <w:br/>
        <w:t>W roku 201</w:t>
      </w:r>
      <w:r w:rsidR="00EB0C67">
        <w:t>9</w:t>
      </w:r>
      <w:r>
        <w:t xml:space="preserve"> na 10 </w:t>
      </w:r>
      <w:r w:rsidR="00E37BD0">
        <w:t xml:space="preserve">tys. </w:t>
      </w:r>
      <w:r>
        <w:t xml:space="preserve">olsztynian przypadało </w:t>
      </w:r>
      <w:r w:rsidR="00EB0C67">
        <w:t>157</w:t>
      </w:r>
      <w:r>
        <w:t xml:space="preserve"> pielęgniarek i położnych (więcej w stosunku do roku 2013 o </w:t>
      </w:r>
      <w:r w:rsidR="00EB0C67">
        <w:t>16</w:t>
      </w:r>
      <w:r>
        <w:t xml:space="preserve"> osoby). Spośród omawianych ośrodków wojewódzkich najkorzystniejsza sytuacja ma miejsce w Rzeszowie – 21</w:t>
      </w:r>
      <w:r w:rsidR="00EB0C67">
        <w:t>6</w:t>
      </w:r>
      <w:r>
        <w:t xml:space="preserve"> osób personelu medycznego w 201</w:t>
      </w:r>
      <w:r w:rsidR="00EB0C67">
        <w:t>9</w:t>
      </w:r>
      <w:r>
        <w:t xml:space="preserve"> roku (wzrost o </w:t>
      </w:r>
      <w:r w:rsidR="00EB0C67">
        <w:t>40</w:t>
      </w:r>
      <w:r>
        <w:t xml:space="preserve"> osób w porównaniu do 2013 roku).</w:t>
      </w:r>
    </w:p>
    <w:p w14:paraId="3CBDA38B" w14:textId="39C68C91" w:rsidR="00D4024A" w:rsidRDefault="00D4024A" w:rsidP="00D4024A">
      <w:pPr>
        <w:pStyle w:val="Legenda"/>
        <w:rPr>
          <w:bCs/>
          <w:sz w:val="22"/>
          <w:szCs w:val="22"/>
          <w:lang w:val="en-US"/>
        </w:rPr>
      </w:pPr>
      <w:bookmarkStart w:id="274" w:name="_Toc73516151"/>
      <w:r w:rsidRPr="00D4024A">
        <w:rPr>
          <w:sz w:val="22"/>
          <w:szCs w:val="22"/>
        </w:rPr>
        <w:t xml:space="preserve">Wykres </w:t>
      </w:r>
      <w:r w:rsidRPr="00D4024A">
        <w:rPr>
          <w:sz w:val="22"/>
          <w:szCs w:val="22"/>
        </w:rPr>
        <w:fldChar w:fldCharType="begin"/>
      </w:r>
      <w:r w:rsidRPr="00D4024A">
        <w:rPr>
          <w:sz w:val="22"/>
          <w:szCs w:val="22"/>
        </w:rPr>
        <w:instrText xml:space="preserve"> SEQ Wykres \* ARABIC </w:instrText>
      </w:r>
      <w:r w:rsidRPr="00D4024A">
        <w:rPr>
          <w:sz w:val="22"/>
          <w:szCs w:val="22"/>
        </w:rPr>
        <w:fldChar w:fldCharType="separate"/>
      </w:r>
      <w:r w:rsidR="00AD58C3">
        <w:rPr>
          <w:noProof/>
          <w:sz w:val="22"/>
          <w:szCs w:val="22"/>
        </w:rPr>
        <w:t>89</w:t>
      </w:r>
      <w:r w:rsidRPr="00D4024A">
        <w:rPr>
          <w:sz w:val="22"/>
          <w:szCs w:val="22"/>
        </w:rPr>
        <w:fldChar w:fldCharType="end"/>
      </w:r>
      <w:r w:rsidRPr="00D4024A">
        <w:rPr>
          <w:sz w:val="22"/>
          <w:szCs w:val="22"/>
        </w:rPr>
        <w:t xml:space="preserve">. </w:t>
      </w:r>
      <w:r w:rsidRPr="00D4024A">
        <w:rPr>
          <w:bCs/>
          <w:sz w:val="22"/>
          <w:szCs w:val="22"/>
          <w:lang w:val="en-US"/>
        </w:rPr>
        <w:t>Pielęgniarki i położne na 10 tys</w:t>
      </w:r>
      <w:r w:rsidRPr="00D4024A">
        <w:rPr>
          <w:bCs/>
          <w:sz w:val="22"/>
          <w:szCs w:val="22"/>
          <w:lang w:val="pl-PL"/>
        </w:rPr>
        <w:t>.</w:t>
      </w:r>
      <w:r w:rsidRPr="00D4024A">
        <w:rPr>
          <w:bCs/>
          <w:sz w:val="22"/>
          <w:szCs w:val="22"/>
          <w:lang w:val="en-US"/>
        </w:rPr>
        <w:t xml:space="preserve"> ludności w latach 2013-201</w:t>
      </w:r>
      <w:r w:rsidR="00D512E3">
        <w:rPr>
          <w:bCs/>
          <w:sz w:val="22"/>
          <w:szCs w:val="22"/>
          <w:lang w:val="en-US"/>
        </w:rPr>
        <w:t>9</w:t>
      </w:r>
      <w:bookmarkEnd w:id="274"/>
    </w:p>
    <w:p w14:paraId="42CD6C6D" w14:textId="56F2E6E2" w:rsidR="00EB0C67" w:rsidRDefault="00EB0C67" w:rsidP="00EB0C67">
      <w:pPr>
        <w:pStyle w:val="Legenda"/>
        <w:spacing w:before="0" w:after="0" w:line="240" w:lineRule="auto"/>
        <w:rPr>
          <w:bCs/>
          <w:sz w:val="22"/>
          <w:szCs w:val="22"/>
          <w:lang w:val="en-US"/>
        </w:rPr>
      </w:pPr>
      <w:r>
        <w:rPr>
          <w:noProof/>
          <w:lang w:val="pl-PL" w:eastAsia="pl-PL"/>
        </w:rPr>
        <w:drawing>
          <wp:inline distT="0" distB="0" distL="0" distR="0" wp14:anchorId="3F906197" wp14:editId="7070B7CB">
            <wp:extent cx="5745193" cy="2329132"/>
            <wp:effectExtent l="0" t="0" r="8255" b="14605"/>
            <wp:docPr id="39" name="Wykres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229654B1" w14:textId="46408DF4" w:rsidR="004C6313" w:rsidRPr="00394AE5" w:rsidRDefault="004C6313" w:rsidP="00EB0C67">
      <w:pPr>
        <w:spacing w:after="0" w:line="240" w:lineRule="auto"/>
        <w:jc w:val="center"/>
        <w:rPr>
          <w:i/>
          <w:sz w:val="20"/>
          <w:szCs w:val="20"/>
        </w:rPr>
      </w:pPr>
      <w:r w:rsidRPr="00394AE5">
        <w:rPr>
          <w:i/>
          <w:sz w:val="20"/>
          <w:szCs w:val="20"/>
        </w:rPr>
        <w:t>źródło: opracowanie własne na podstawie danych GUS</w:t>
      </w:r>
    </w:p>
    <w:p w14:paraId="71F247DE" w14:textId="77777777" w:rsidR="00F64CC8" w:rsidRDefault="00F64CC8" w:rsidP="000162AF">
      <w:pPr>
        <w:jc w:val="both"/>
      </w:pPr>
    </w:p>
    <w:p w14:paraId="2B20A4AA" w14:textId="26C736EA" w:rsidR="000162AF" w:rsidRDefault="00731655" w:rsidP="000162AF">
      <w:pPr>
        <w:jc w:val="both"/>
      </w:pPr>
      <w:r>
        <w:lastRenderedPageBreak/>
        <w:t>P</w:t>
      </w:r>
      <w:r w:rsidRPr="00ED4EDD">
        <w:t>otencjalnym źródłem kadry medycznej dla Olsztyna</w:t>
      </w:r>
      <w:r>
        <w:t xml:space="preserve"> i MOF Olsztyna jest </w:t>
      </w:r>
      <w:r w:rsidR="001C3B79">
        <w:t xml:space="preserve">Wydział Lekarski </w:t>
      </w:r>
      <w:r>
        <w:t xml:space="preserve">istniejący </w:t>
      </w:r>
      <w:r w:rsidR="00F64CC8">
        <w:t xml:space="preserve">od 2007 roku </w:t>
      </w:r>
      <w:r w:rsidR="001C3B79">
        <w:t>na Uniwersytecie Warmińsko-Mazurskim</w:t>
      </w:r>
      <w:r w:rsidR="00F64CC8">
        <w:t xml:space="preserve">. </w:t>
      </w:r>
      <w:r w:rsidR="000162AF" w:rsidRPr="00ED4EDD">
        <w:t>Co roku wydział kończy kilkadziesiąt osób, w tym część po studiach w języku angielskim</w:t>
      </w:r>
      <w:r w:rsidR="00F64CC8">
        <w:t xml:space="preserve"> (p</w:t>
      </w:r>
      <w:r w:rsidR="00F64CC8" w:rsidRPr="00ED4EDD">
        <w:t xml:space="preserve">ierwsi absolwenci opuścili </w:t>
      </w:r>
      <w:r w:rsidR="00F64CC8">
        <w:t>uczelnię w roku 2014).</w:t>
      </w:r>
    </w:p>
    <w:p w14:paraId="43927D62" w14:textId="5FEE7F52" w:rsidR="00472DBD" w:rsidRPr="00C96E29" w:rsidRDefault="004F7726" w:rsidP="004F7726">
      <w:pPr>
        <w:pStyle w:val="Legenda"/>
        <w:rPr>
          <w:bCs/>
          <w:sz w:val="22"/>
          <w:szCs w:val="22"/>
        </w:rPr>
      </w:pPr>
      <w:bookmarkStart w:id="275" w:name="_Toc73534996"/>
      <w:r w:rsidRPr="00C96E29">
        <w:rPr>
          <w:sz w:val="22"/>
          <w:szCs w:val="22"/>
        </w:rPr>
        <w:t xml:space="preserve">Tabela </w:t>
      </w:r>
      <w:r w:rsidRPr="00C96E29">
        <w:rPr>
          <w:sz w:val="22"/>
          <w:szCs w:val="22"/>
        </w:rPr>
        <w:fldChar w:fldCharType="begin"/>
      </w:r>
      <w:r w:rsidRPr="00C96E29">
        <w:rPr>
          <w:sz w:val="22"/>
          <w:szCs w:val="22"/>
        </w:rPr>
        <w:instrText xml:space="preserve"> SEQ Tabela \* ARABIC </w:instrText>
      </w:r>
      <w:r w:rsidRPr="00C96E29">
        <w:rPr>
          <w:sz w:val="22"/>
          <w:szCs w:val="22"/>
        </w:rPr>
        <w:fldChar w:fldCharType="separate"/>
      </w:r>
      <w:r w:rsidR="00AD58C3">
        <w:rPr>
          <w:noProof/>
          <w:sz w:val="22"/>
          <w:szCs w:val="22"/>
        </w:rPr>
        <w:t>33</w:t>
      </w:r>
      <w:r w:rsidRPr="00C96E29">
        <w:rPr>
          <w:sz w:val="22"/>
          <w:szCs w:val="22"/>
        </w:rPr>
        <w:fldChar w:fldCharType="end"/>
      </w:r>
      <w:r w:rsidRPr="00C96E29">
        <w:rPr>
          <w:sz w:val="22"/>
          <w:szCs w:val="22"/>
        </w:rPr>
        <w:t xml:space="preserve">. </w:t>
      </w:r>
      <w:r w:rsidR="003E277A" w:rsidRPr="00C96E29">
        <w:rPr>
          <w:sz w:val="22"/>
          <w:szCs w:val="22"/>
        </w:rPr>
        <w:t>Absolwenci kierunku lekarskiego UWM w Olsztynie w latach 2014-2019</w:t>
      </w:r>
      <w:bookmarkEnd w:id="275"/>
    </w:p>
    <w:tbl>
      <w:tblPr>
        <w:tblStyle w:val="Tabelasiatki1jasnaakcent5"/>
        <w:tblW w:w="7973" w:type="dxa"/>
        <w:jc w:val="center"/>
        <w:tblLook w:val="04A0" w:firstRow="1" w:lastRow="0" w:firstColumn="1" w:lastColumn="0" w:noHBand="0" w:noVBand="1"/>
      </w:tblPr>
      <w:tblGrid>
        <w:gridCol w:w="2836"/>
        <w:gridCol w:w="959"/>
        <w:gridCol w:w="957"/>
        <w:gridCol w:w="959"/>
        <w:gridCol w:w="1230"/>
        <w:gridCol w:w="1032"/>
      </w:tblGrid>
      <w:tr w:rsidR="000162AF" w:rsidRPr="00ED4EDD" w14:paraId="0F454666" w14:textId="77777777" w:rsidTr="001C3B79">
        <w:trPr>
          <w:cnfStyle w:val="100000000000" w:firstRow="1" w:lastRow="0" w:firstColumn="0" w:lastColumn="0" w:oddVBand="0" w:evenVBand="0" w:oddHBand="0" w:evenHBand="0" w:firstRowFirstColumn="0" w:firstRowLastColumn="0" w:lastRowFirstColumn="0" w:lastRowLastColumn="0"/>
          <w:trHeight w:val="580"/>
          <w:jc w:val="center"/>
        </w:trPr>
        <w:tc>
          <w:tcPr>
            <w:cnfStyle w:val="001000000000" w:firstRow="0" w:lastRow="0" w:firstColumn="1" w:lastColumn="0" w:oddVBand="0" w:evenVBand="0" w:oddHBand="0" w:evenHBand="0" w:firstRowFirstColumn="0" w:firstRowLastColumn="0" w:lastRowFirstColumn="0" w:lastRowLastColumn="0"/>
            <w:tcW w:w="2836" w:type="dxa"/>
            <w:vMerge w:val="restart"/>
            <w:tcBorders>
              <w:top w:val="single" w:sz="4" w:space="0" w:color="auto"/>
              <w:left w:val="single" w:sz="4" w:space="0" w:color="auto"/>
              <w:bottom w:val="single" w:sz="4" w:space="0" w:color="auto"/>
              <w:right w:val="single" w:sz="4" w:space="0" w:color="auto"/>
            </w:tcBorders>
            <w:shd w:val="clear" w:color="auto" w:fill="92D050"/>
            <w:vAlign w:val="center"/>
            <w:hideMark/>
          </w:tcPr>
          <w:p w14:paraId="1E59D5EB" w14:textId="77777777" w:rsidR="000162AF" w:rsidRPr="001C3B79" w:rsidRDefault="000162AF" w:rsidP="00D10350">
            <w:pPr>
              <w:jc w:val="center"/>
              <w:rPr>
                <w:rFonts w:ascii="Calibri" w:eastAsia="Times New Roman" w:hAnsi="Calibri" w:cs="Calibri"/>
                <w:lang w:eastAsia="pl-PL"/>
              </w:rPr>
            </w:pPr>
            <w:r w:rsidRPr="001C3B79">
              <w:rPr>
                <w:rFonts w:ascii="Calibri" w:eastAsia="Times New Roman" w:hAnsi="Calibri" w:cs="Calibri"/>
                <w:lang w:eastAsia="pl-PL"/>
              </w:rPr>
              <w:t>Rok ukończenia studiów</w:t>
            </w:r>
          </w:p>
        </w:tc>
        <w:tc>
          <w:tcPr>
            <w:tcW w:w="1916" w:type="dxa"/>
            <w:gridSpan w:val="2"/>
            <w:tcBorders>
              <w:top w:val="single" w:sz="4" w:space="0" w:color="auto"/>
              <w:left w:val="single" w:sz="4" w:space="0" w:color="auto"/>
              <w:bottom w:val="single" w:sz="4" w:space="0" w:color="auto"/>
              <w:right w:val="single" w:sz="4" w:space="0" w:color="auto"/>
            </w:tcBorders>
            <w:shd w:val="clear" w:color="auto" w:fill="92D050"/>
            <w:vAlign w:val="center"/>
            <w:hideMark/>
          </w:tcPr>
          <w:p w14:paraId="777048C6" w14:textId="14DBD745" w:rsidR="000162AF" w:rsidRPr="001C3B79" w:rsidRDefault="00472DBD" w:rsidP="00D1035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Pr>
                <w:rFonts w:ascii="Calibri" w:eastAsia="Times New Roman" w:hAnsi="Calibri" w:cs="Calibri"/>
                <w:lang w:eastAsia="pl-PL"/>
              </w:rPr>
              <w:t>k</w:t>
            </w:r>
            <w:r w:rsidR="003E277A">
              <w:rPr>
                <w:rFonts w:ascii="Calibri" w:eastAsia="Times New Roman" w:hAnsi="Calibri" w:cs="Calibri"/>
                <w:lang w:eastAsia="pl-PL"/>
              </w:rPr>
              <w:t>ierunek l</w:t>
            </w:r>
            <w:r w:rsidR="000162AF" w:rsidRPr="001C3B79">
              <w:rPr>
                <w:rFonts w:ascii="Calibri" w:eastAsia="Times New Roman" w:hAnsi="Calibri" w:cs="Calibri"/>
                <w:lang w:eastAsia="pl-PL"/>
              </w:rPr>
              <w:t>ekarski w języku polskim</w:t>
            </w:r>
          </w:p>
        </w:tc>
        <w:tc>
          <w:tcPr>
            <w:tcW w:w="2189" w:type="dxa"/>
            <w:gridSpan w:val="2"/>
            <w:tcBorders>
              <w:top w:val="single" w:sz="4" w:space="0" w:color="auto"/>
              <w:left w:val="single" w:sz="4" w:space="0" w:color="auto"/>
              <w:bottom w:val="single" w:sz="4" w:space="0" w:color="auto"/>
              <w:right w:val="single" w:sz="4" w:space="0" w:color="auto"/>
            </w:tcBorders>
            <w:shd w:val="clear" w:color="auto" w:fill="92D050"/>
            <w:vAlign w:val="center"/>
            <w:hideMark/>
          </w:tcPr>
          <w:p w14:paraId="29A4BACF" w14:textId="505F1BC9" w:rsidR="000162AF" w:rsidRPr="001C3B79" w:rsidRDefault="00472DBD" w:rsidP="00D1035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Pr>
                <w:rFonts w:ascii="Calibri" w:eastAsia="Times New Roman" w:hAnsi="Calibri" w:cs="Calibri"/>
                <w:lang w:eastAsia="pl-PL"/>
              </w:rPr>
              <w:t>k</w:t>
            </w:r>
            <w:r w:rsidR="003E277A">
              <w:rPr>
                <w:rFonts w:ascii="Calibri" w:eastAsia="Times New Roman" w:hAnsi="Calibri" w:cs="Calibri"/>
                <w:lang w:eastAsia="pl-PL"/>
              </w:rPr>
              <w:t>ierunek l</w:t>
            </w:r>
            <w:r w:rsidR="000162AF" w:rsidRPr="001C3B79">
              <w:rPr>
                <w:rFonts w:ascii="Calibri" w:eastAsia="Times New Roman" w:hAnsi="Calibri" w:cs="Calibri"/>
                <w:lang w:eastAsia="pl-PL"/>
              </w:rPr>
              <w:t>ekarski w języku angielskim</w:t>
            </w:r>
          </w:p>
        </w:tc>
        <w:tc>
          <w:tcPr>
            <w:tcW w:w="1032" w:type="dxa"/>
            <w:vMerge w:val="restart"/>
            <w:tcBorders>
              <w:top w:val="single" w:sz="4" w:space="0" w:color="auto"/>
              <w:left w:val="single" w:sz="4" w:space="0" w:color="auto"/>
              <w:bottom w:val="single" w:sz="4" w:space="0" w:color="auto"/>
              <w:right w:val="single" w:sz="4" w:space="0" w:color="auto"/>
            </w:tcBorders>
            <w:shd w:val="clear" w:color="auto" w:fill="92D050"/>
            <w:vAlign w:val="center"/>
            <w:hideMark/>
          </w:tcPr>
          <w:p w14:paraId="2F9F59D0" w14:textId="6127B80C" w:rsidR="000162AF" w:rsidRPr="00ED4EDD" w:rsidRDefault="00984D59" w:rsidP="00D1035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Pr>
                <w:rFonts w:ascii="Calibri" w:eastAsia="Times New Roman" w:hAnsi="Calibri" w:cs="Calibri"/>
                <w:lang w:eastAsia="pl-PL"/>
              </w:rPr>
              <w:t>k</w:t>
            </w:r>
            <w:r w:rsidR="000162AF" w:rsidRPr="001C3B79">
              <w:rPr>
                <w:rFonts w:ascii="Calibri" w:eastAsia="Times New Roman" w:hAnsi="Calibri" w:cs="Calibri"/>
                <w:lang w:eastAsia="pl-PL"/>
              </w:rPr>
              <w:t>ierunek lekarski razem</w:t>
            </w:r>
          </w:p>
        </w:tc>
      </w:tr>
      <w:tr w:rsidR="000162AF" w:rsidRPr="00ED4EDD" w14:paraId="7B3B0553" w14:textId="77777777" w:rsidTr="001C3B79">
        <w:trPr>
          <w:trHeight w:val="580"/>
          <w:jc w:val="center"/>
        </w:trPr>
        <w:tc>
          <w:tcPr>
            <w:cnfStyle w:val="001000000000" w:firstRow="0" w:lastRow="0" w:firstColumn="1" w:lastColumn="0" w:oddVBand="0" w:evenVBand="0" w:oddHBand="0" w:evenHBand="0" w:firstRowFirstColumn="0" w:firstRowLastColumn="0" w:lastRowFirstColumn="0" w:lastRowLastColumn="0"/>
            <w:tcW w:w="2836" w:type="dxa"/>
            <w:vMerge/>
            <w:tcBorders>
              <w:top w:val="single" w:sz="4" w:space="0" w:color="auto"/>
              <w:left w:val="single" w:sz="4" w:space="0" w:color="auto"/>
              <w:bottom w:val="single" w:sz="4" w:space="0" w:color="auto"/>
              <w:right w:val="single" w:sz="4" w:space="0" w:color="auto"/>
            </w:tcBorders>
            <w:vAlign w:val="center"/>
            <w:hideMark/>
          </w:tcPr>
          <w:p w14:paraId="6FAA759E" w14:textId="77777777" w:rsidR="000162AF" w:rsidRPr="001C3B79" w:rsidRDefault="000162AF" w:rsidP="00D10350">
            <w:pPr>
              <w:rPr>
                <w:rFonts w:ascii="Calibri" w:eastAsia="Times New Roman" w:hAnsi="Calibri" w:cs="Calibri"/>
                <w:highlight w:val="yellow"/>
                <w:lang w:eastAsia="pl-PL"/>
              </w:rPr>
            </w:pPr>
          </w:p>
        </w:tc>
        <w:tc>
          <w:tcPr>
            <w:tcW w:w="959"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796F21EF" w14:textId="738F9869" w:rsidR="000162AF" w:rsidRPr="001C3B79" w:rsidRDefault="00AD7293"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Pr>
                <w:rFonts w:ascii="Calibri" w:eastAsia="Times New Roman" w:hAnsi="Calibri" w:cs="Calibri"/>
                <w:lang w:eastAsia="pl-PL"/>
              </w:rPr>
              <w:t>o</w:t>
            </w:r>
            <w:r w:rsidR="000162AF" w:rsidRPr="001C3B79">
              <w:rPr>
                <w:rFonts w:ascii="Calibri" w:eastAsia="Times New Roman" w:hAnsi="Calibri" w:cs="Calibri"/>
                <w:lang w:eastAsia="pl-PL"/>
              </w:rPr>
              <w:t>gółem</w:t>
            </w:r>
          </w:p>
        </w:tc>
        <w:tc>
          <w:tcPr>
            <w:tcW w:w="957"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3775D1A0" w14:textId="77777777" w:rsidR="000162AF" w:rsidRPr="001C3B79"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1C3B79">
              <w:rPr>
                <w:rFonts w:ascii="Calibri" w:eastAsia="Times New Roman" w:hAnsi="Calibri" w:cs="Calibri"/>
                <w:lang w:eastAsia="pl-PL"/>
              </w:rPr>
              <w:t>w tym kobiety</w:t>
            </w:r>
          </w:p>
        </w:tc>
        <w:tc>
          <w:tcPr>
            <w:tcW w:w="959"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3DF7AE15" w14:textId="13FC3CB1" w:rsidR="000162AF" w:rsidRPr="001C3B79" w:rsidRDefault="00AD7293"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Pr>
                <w:rFonts w:ascii="Calibri" w:eastAsia="Times New Roman" w:hAnsi="Calibri" w:cs="Calibri"/>
                <w:lang w:eastAsia="pl-PL"/>
              </w:rPr>
              <w:t>o</w:t>
            </w:r>
            <w:r w:rsidR="000162AF" w:rsidRPr="001C3B79">
              <w:rPr>
                <w:rFonts w:ascii="Calibri" w:eastAsia="Times New Roman" w:hAnsi="Calibri" w:cs="Calibri"/>
                <w:lang w:eastAsia="pl-PL"/>
              </w:rPr>
              <w:t>gółem</w:t>
            </w:r>
          </w:p>
        </w:tc>
        <w:tc>
          <w:tcPr>
            <w:tcW w:w="1230"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61DE35FE" w14:textId="77777777" w:rsidR="000162AF" w:rsidRPr="001C3B79"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1C3B79">
              <w:rPr>
                <w:rFonts w:ascii="Calibri" w:eastAsia="Times New Roman" w:hAnsi="Calibri" w:cs="Calibri"/>
                <w:lang w:eastAsia="pl-PL"/>
              </w:rPr>
              <w:t>w tym kobiety</w:t>
            </w:r>
          </w:p>
        </w:tc>
        <w:tc>
          <w:tcPr>
            <w:tcW w:w="1032" w:type="dxa"/>
            <w:vMerge/>
            <w:tcBorders>
              <w:top w:val="single" w:sz="4" w:space="0" w:color="auto"/>
              <w:left w:val="single" w:sz="4" w:space="0" w:color="auto"/>
              <w:bottom w:val="single" w:sz="4" w:space="0" w:color="auto"/>
              <w:right w:val="single" w:sz="4" w:space="0" w:color="auto"/>
            </w:tcBorders>
            <w:hideMark/>
          </w:tcPr>
          <w:p w14:paraId="24CA2D5D" w14:textId="77777777" w:rsidR="000162AF" w:rsidRPr="00ED4EDD" w:rsidRDefault="000162AF" w:rsidP="00D1035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p>
        </w:tc>
      </w:tr>
      <w:tr w:rsidR="000162AF" w:rsidRPr="00ED4EDD" w14:paraId="3737D457" w14:textId="77777777" w:rsidTr="001C3B79">
        <w:trPr>
          <w:trHeight w:val="290"/>
          <w:jc w:val="center"/>
        </w:trPr>
        <w:tc>
          <w:tcPr>
            <w:cnfStyle w:val="001000000000" w:firstRow="0" w:lastRow="0" w:firstColumn="1" w:lastColumn="0" w:oddVBand="0" w:evenVBand="0" w:oddHBand="0" w:evenHBand="0" w:firstRowFirstColumn="0" w:firstRowLastColumn="0" w:lastRowFirstColumn="0" w:lastRowLastColumn="0"/>
            <w:tcW w:w="2836" w:type="dxa"/>
            <w:tcBorders>
              <w:top w:val="single" w:sz="4" w:space="0" w:color="auto"/>
              <w:left w:val="single" w:sz="4" w:space="0" w:color="auto"/>
              <w:bottom w:val="single" w:sz="4" w:space="0" w:color="auto"/>
              <w:right w:val="single" w:sz="4" w:space="0" w:color="auto"/>
            </w:tcBorders>
            <w:hideMark/>
          </w:tcPr>
          <w:p w14:paraId="2248385E" w14:textId="77777777" w:rsidR="000162AF" w:rsidRPr="00ED4EDD" w:rsidRDefault="000162AF" w:rsidP="00D10350">
            <w:pPr>
              <w:jc w:val="center"/>
              <w:rPr>
                <w:rFonts w:ascii="Calibri" w:eastAsia="Times New Roman" w:hAnsi="Calibri" w:cs="Calibri"/>
                <w:lang w:eastAsia="pl-PL"/>
              </w:rPr>
            </w:pPr>
            <w:r w:rsidRPr="00ED4EDD">
              <w:rPr>
                <w:rFonts w:ascii="Calibri" w:eastAsia="Times New Roman" w:hAnsi="Calibri" w:cs="Calibri"/>
                <w:lang w:eastAsia="pl-PL"/>
              </w:rPr>
              <w:t>2014</w:t>
            </w:r>
          </w:p>
        </w:tc>
        <w:tc>
          <w:tcPr>
            <w:tcW w:w="959" w:type="dxa"/>
            <w:tcBorders>
              <w:top w:val="single" w:sz="4" w:space="0" w:color="auto"/>
              <w:left w:val="single" w:sz="4" w:space="0" w:color="auto"/>
              <w:bottom w:val="single" w:sz="4" w:space="0" w:color="auto"/>
              <w:right w:val="single" w:sz="4" w:space="0" w:color="auto"/>
            </w:tcBorders>
            <w:hideMark/>
          </w:tcPr>
          <w:p w14:paraId="47A72153"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48</w:t>
            </w:r>
          </w:p>
        </w:tc>
        <w:tc>
          <w:tcPr>
            <w:tcW w:w="957" w:type="dxa"/>
            <w:tcBorders>
              <w:top w:val="single" w:sz="4" w:space="0" w:color="auto"/>
              <w:left w:val="single" w:sz="4" w:space="0" w:color="auto"/>
              <w:bottom w:val="single" w:sz="4" w:space="0" w:color="auto"/>
              <w:right w:val="single" w:sz="4" w:space="0" w:color="auto"/>
            </w:tcBorders>
            <w:hideMark/>
          </w:tcPr>
          <w:p w14:paraId="71B64950"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32</w:t>
            </w:r>
          </w:p>
        </w:tc>
        <w:tc>
          <w:tcPr>
            <w:tcW w:w="959" w:type="dxa"/>
            <w:tcBorders>
              <w:top w:val="single" w:sz="4" w:space="0" w:color="auto"/>
              <w:left w:val="single" w:sz="4" w:space="0" w:color="auto"/>
              <w:bottom w:val="single" w:sz="4" w:space="0" w:color="auto"/>
              <w:right w:val="single" w:sz="4" w:space="0" w:color="auto"/>
            </w:tcBorders>
            <w:hideMark/>
          </w:tcPr>
          <w:p w14:paraId="79276BEF" w14:textId="755C5124" w:rsidR="000162AF" w:rsidRPr="00ED4EDD" w:rsidRDefault="001C3B79"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Pr>
                <w:rFonts w:ascii="Calibri" w:eastAsia="Times New Roman" w:hAnsi="Calibri" w:cs="Calibri"/>
                <w:lang w:eastAsia="pl-PL"/>
              </w:rPr>
              <w:t>-</w:t>
            </w:r>
          </w:p>
        </w:tc>
        <w:tc>
          <w:tcPr>
            <w:tcW w:w="1230" w:type="dxa"/>
            <w:tcBorders>
              <w:top w:val="single" w:sz="4" w:space="0" w:color="auto"/>
              <w:left w:val="single" w:sz="4" w:space="0" w:color="auto"/>
              <w:bottom w:val="single" w:sz="4" w:space="0" w:color="auto"/>
              <w:right w:val="single" w:sz="4" w:space="0" w:color="auto"/>
            </w:tcBorders>
            <w:hideMark/>
          </w:tcPr>
          <w:p w14:paraId="7864A2FC" w14:textId="534CF81A" w:rsidR="000162AF" w:rsidRPr="00ED4EDD" w:rsidRDefault="001C3B79" w:rsidP="00D103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pl-PL"/>
              </w:rPr>
            </w:pPr>
            <w:r>
              <w:rPr>
                <w:rFonts w:ascii="Times New Roman" w:eastAsia="Times New Roman" w:hAnsi="Times New Roman" w:cs="Times New Roman"/>
                <w:lang w:eastAsia="pl-PL"/>
              </w:rPr>
              <w:t>-</w:t>
            </w:r>
          </w:p>
        </w:tc>
        <w:tc>
          <w:tcPr>
            <w:tcW w:w="1032" w:type="dxa"/>
            <w:tcBorders>
              <w:top w:val="single" w:sz="4" w:space="0" w:color="auto"/>
              <w:left w:val="single" w:sz="4" w:space="0" w:color="auto"/>
              <w:bottom w:val="single" w:sz="4" w:space="0" w:color="auto"/>
              <w:right w:val="single" w:sz="4" w:space="0" w:color="auto"/>
            </w:tcBorders>
            <w:noWrap/>
            <w:hideMark/>
          </w:tcPr>
          <w:p w14:paraId="47CDA4CB" w14:textId="77777777" w:rsidR="000162AF" w:rsidRPr="00ED4EDD" w:rsidRDefault="000162AF" w:rsidP="001C3B7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48</w:t>
            </w:r>
          </w:p>
        </w:tc>
      </w:tr>
      <w:tr w:rsidR="000162AF" w:rsidRPr="00ED4EDD" w14:paraId="6F04BF55" w14:textId="77777777" w:rsidTr="001C3B79">
        <w:trPr>
          <w:trHeight w:val="290"/>
          <w:jc w:val="center"/>
        </w:trPr>
        <w:tc>
          <w:tcPr>
            <w:cnfStyle w:val="001000000000" w:firstRow="0" w:lastRow="0" w:firstColumn="1" w:lastColumn="0" w:oddVBand="0" w:evenVBand="0" w:oddHBand="0" w:evenHBand="0" w:firstRowFirstColumn="0" w:firstRowLastColumn="0" w:lastRowFirstColumn="0" w:lastRowLastColumn="0"/>
            <w:tcW w:w="2836" w:type="dxa"/>
            <w:tcBorders>
              <w:top w:val="single" w:sz="4" w:space="0" w:color="auto"/>
              <w:left w:val="single" w:sz="4" w:space="0" w:color="auto"/>
              <w:bottom w:val="single" w:sz="4" w:space="0" w:color="auto"/>
              <w:right w:val="single" w:sz="4" w:space="0" w:color="auto"/>
            </w:tcBorders>
            <w:hideMark/>
          </w:tcPr>
          <w:p w14:paraId="73D9EA37" w14:textId="77777777" w:rsidR="000162AF" w:rsidRPr="00ED4EDD" w:rsidRDefault="000162AF" w:rsidP="00D10350">
            <w:pPr>
              <w:jc w:val="center"/>
              <w:rPr>
                <w:rFonts w:ascii="Calibri" w:eastAsia="Times New Roman" w:hAnsi="Calibri" w:cs="Calibri"/>
                <w:lang w:eastAsia="pl-PL"/>
              </w:rPr>
            </w:pPr>
            <w:r w:rsidRPr="00ED4EDD">
              <w:rPr>
                <w:rFonts w:ascii="Calibri" w:eastAsia="Times New Roman" w:hAnsi="Calibri" w:cs="Calibri"/>
                <w:lang w:eastAsia="pl-PL"/>
              </w:rPr>
              <w:t>2015</w:t>
            </w:r>
          </w:p>
        </w:tc>
        <w:tc>
          <w:tcPr>
            <w:tcW w:w="959" w:type="dxa"/>
            <w:tcBorders>
              <w:top w:val="single" w:sz="4" w:space="0" w:color="auto"/>
              <w:left w:val="single" w:sz="4" w:space="0" w:color="auto"/>
              <w:bottom w:val="single" w:sz="4" w:space="0" w:color="auto"/>
              <w:right w:val="single" w:sz="4" w:space="0" w:color="auto"/>
            </w:tcBorders>
            <w:hideMark/>
          </w:tcPr>
          <w:p w14:paraId="09FB2D4E"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54</w:t>
            </w:r>
          </w:p>
        </w:tc>
        <w:tc>
          <w:tcPr>
            <w:tcW w:w="957" w:type="dxa"/>
            <w:tcBorders>
              <w:top w:val="single" w:sz="4" w:space="0" w:color="auto"/>
              <w:left w:val="single" w:sz="4" w:space="0" w:color="auto"/>
              <w:bottom w:val="single" w:sz="4" w:space="0" w:color="auto"/>
              <w:right w:val="single" w:sz="4" w:space="0" w:color="auto"/>
            </w:tcBorders>
            <w:hideMark/>
          </w:tcPr>
          <w:p w14:paraId="0405BD6A"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32</w:t>
            </w:r>
          </w:p>
        </w:tc>
        <w:tc>
          <w:tcPr>
            <w:tcW w:w="959" w:type="dxa"/>
            <w:tcBorders>
              <w:top w:val="single" w:sz="4" w:space="0" w:color="auto"/>
              <w:left w:val="single" w:sz="4" w:space="0" w:color="auto"/>
              <w:bottom w:val="single" w:sz="4" w:space="0" w:color="auto"/>
              <w:right w:val="single" w:sz="4" w:space="0" w:color="auto"/>
            </w:tcBorders>
            <w:hideMark/>
          </w:tcPr>
          <w:p w14:paraId="6B404833" w14:textId="6AF70984" w:rsidR="000162AF" w:rsidRPr="00ED4EDD" w:rsidRDefault="001C3B79"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Pr>
                <w:rFonts w:ascii="Calibri" w:eastAsia="Times New Roman" w:hAnsi="Calibri" w:cs="Calibri"/>
                <w:lang w:eastAsia="pl-PL"/>
              </w:rPr>
              <w:t>-</w:t>
            </w:r>
          </w:p>
        </w:tc>
        <w:tc>
          <w:tcPr>
            <w:tcW w:w="1230" w:type="dxa"/>
            <w:tcBorders>
              <w:top w:val="single" w:sz="4" w:space="0" w:color="auto"/>
              <w:left w:val="single" w:sz="4" w:space="0" w:color="auto"/>
              <w:bottom w:val="single" w:sz="4" w:space="0" w:color="auto"/>
              <w:right w:val="single" w:sz="4" w:space="0" w:color="auto"/>
            </w:tcBorders>
            <w:hideMark/>
          </w:tcPr>
          <w:p w14:paraId="1C1EAB50" w14:textId="04C78CBB" w:rsidR="000162AF" w:rsidRPr="00ED4EDD" w:rsidRDefault="001C3B79" w:rsidP="00D103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pl-PL"/>
              </w:rPr>
            </w:pPr>
            <w:r>
              <w:rPr>
                <w:rFonts w:ascii="Times New Roman" w:eastAsia="Times New Roman" w:hAnsi="Times New Roman" w:cs="Times New Roman"/>
                <w:lang w:eastAsia="pl-PL"/>
              </w:rPr>
              <w:t>-</w:t>
            </w:r>
          </w:p>
        </w:tc>
        <w:tc>
          <w:tcPr>
            <w:tcW w:w="1032" w:type="dxa"/>
            <w:tcBorders>
              <w:top w:val="single" w:sz="4" w:space="0" w:color="auto"/>
              <w:left w:val="single" w:sz="4" w:space="0" w:color="auto"/>
              <w:bottom w:val="single" w:sz="4" w:space="0" w:color="auto"/>
              <w:right w:val="single" w:sz="4" w:space="0" w:color="auto"/>
            </w:tcBorders>
            <w:noWrap/>
            <w:hideMark/>
          </w:tcPr>
          <w:p w14:paraId="5F9EED5C" w14:textId="77777777" w:rsidR="000162AF" w:rsidRPr="00ED4EDD" w:rsidRDefault="000162AF" w:rsidP="001C3B7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54</w:t>
            </w:r>
          </w:p>
        </w:tc>
      </w:tr>
      <w:tr w:rsidR="000162AF" w:rsidRPr="00ED4EDD" w14:paraId="1C6DE110" w14:textId="77777777" w:rsidTr="001C3B79">
        <w:trPr>
          <w:trHeight w:val="290"/>
          <w:jc w:val="center"/>
        </w:trPr>
        <w:tc>
          <w:tcPr>
            <w:cnfStyle w:val="001000000000" w:firstRow="0" w:lastRow="0" w:firstColumn="1" w:lastColumn="0" w:oddVBand="0" w:evenVBand="0" w:oddHBand="0" w:evenHBand="0" w:firstRowFirstColumn="0" w:firstRowLastColumn="0" w:lastRowFirstColumn="0" w:lastRowLastColumn="0"/>
            <w:tcW w:w="2836" w:type="dxa"/>
            <w:tcBorders>
              <w:top w:val="single" w:sz="4" w:space="0" w:color="auto"/>
              <w:left w:val="single" w:sz="4" w:space="0" w:color="auto"/>
              <w:bottom w:val="single" w:sz="4" w:space="0" w:color="auto"/>
              <w:right w:val="single" w:sz="4" w:space="0" w:color="auto"/>
            </w:tcBorders>
            <w:hideMark/>
          </w:tcPr>
          <w:p w14:paraId="242D02B6" w14:textId="77777777" w:rsidR="000162AF" w:rsidRPr="00ED4EDD" w:rsidRDefault="000162AF" w:rsidP="00D10350">
            <w:pPr>
              <w:jc w:val="center"/>
              <w:rPr>
                <w:rFonts w:ascii="Calibri" w:eastAsia="Times New Roman" w:hAnsi="Calibri" w:cs="Calibri"/>
                <w:lang w:eastAsia="pl-PL"/>
              </w:rPr>
            </w:pPr>
            <w:r w:rsidRPr="00ED4EDD">
              <w:rPr>
                <w:rFonts w:ascii="Calibri" w:eastAsia="Times New Roman" w:hAnsi="Calibri" w:cs="Calibri"/>
                <w:lang w:eastAsia="pl-PL"/>
              </w:rPr>
              <w:t>2016</w:t>
            </w:r>
          </w:p>
        </w:tc>
        <w:tc>
          <w:tcPr>
            <w:tcW w:w="959" w:type="dxa"/>
            <w:tcBorders>
              <w:top w:val="single" w:sz="4" w:space="0" w:color="auto"/>
              <w:left w:val="single" w:sz="4" w:space="0" w:color="auto"/>
              <w:bottom w:val="single" w:sz="4" w:space="0" w:color="auto"/>
              <w:right w:val="single" w:sz="4" w:space="0" w:color="auto"/>
            </w:tcBorders>
            <w:hideMark/>
          </w:tcPr>
          <w:p w14:paraId="6DCDCA12"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33</w:t>
            </w:r>
          </w:p>
        </w:tc>
        <w:tc>
          <w:tcPr>
            <w:tcW w:w="957" w:type="dxa"/>
            <w:tcBorders>
              <w:top w:val="single" w:sz="4" w:space="0" w:color="auto"/>
              <w:left w:val="single" w:sz="4" w:space="0" w:color="auto"/>
              <w:bottom w:val="single" w:sz="4" w:space="0" w:color="auto"/>
              <w:right w:val="single" w:sz="4" w:space="0" w:color="auto"/>
            </w:tcBorders>
            <w:hideMark/>
          </w:tcPr>
          <w:p w14:paraId="0ACDF919"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17</w:t>
            </w:r>
          </w:p>
        </w:tc>
        <w:tc>
          <w:tcPr>
            <w:tcW w:w="959" w:type="dxa"/>
            <w:tcBorders>
              <w:top w:val="single" w:sz="4" w:space="0" w:color="auto"/>
              <w:left w:val="single" w:sz="4" w:space="0" w:color="auto"/>
              <w:bottom w:val="single" w:sz="4" w:space="0" w:color="auto"/>
              <w:right w:val="single" w:sz="4" w:space="0" w:color="auto"/>
            </w:tcBorders>
            <w:hideMark/>
          </w:tcPr>
          <w:p w14:paraId="1AD9DE92"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12</w:t>
            </w:r>
          </w:p>
        </w:tc>
        <w:tc>
          <w:tcPr>
            <w:tcW w:w="1230" w:type="dxa"/>
            <w:tcBorders>
              <w:top w:val="single" w:sz="4" w:space="0" w:color="auto"/>
              <w:left w:val="single" w:sz="4" w:space="0" w:color="auto"/>
              <w:bottom w:val="single" w:sz="4" w:space="0" w:color="auto"/>
              <w:right w:val="single" w:sz="4" w:space="0" w:color="auto"/>
            </w:tcBorders>
            <w:hideMark/>
          </w:tcPr>
          <w:p w14:paraId="333C3A24"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2</w:t>
            </w:r>
          </w:p>
        </w:tc>
        <w:tc>
          <w:tcPr>
            <w:tcW w:w="1032" w:type="dxa"/>
            <w:tcBorders>
              <w:top w:val="single" w:sz="4" w:space="0" w:color="auto"/>
              <w:left w:val="single" w:sz="4" w:space="0" w:color="auto"/>
              <w:bottom w:val="single" w:sz="4" w:space="0" w:color="auto"/>
              <w:right w:val="single" w:sz="4" w:space="0" w:color="auto"/>
            </w:tcBorders>
            <w:noWrap/>
            <w:hideMark/>
          </w:tcPr>
          <w:p w14:paraId="288F4C46" w14:textId="77777777" w:rsidR="000162AF" w:rsidRPr="00ED4EDD" w:rsidRDefault="000162AF" w:rsidP="001C3B7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45</w:t>
            </w:r>
          </w:p>
        </w:tc>
      </w:tr>
      <w:tr w:rsidR="000162AF" w:rsidRPr="00ED4EDD" w14:paraId="74BB9205" w14:textId="77777777" w:rsidTr="001C3B79">
        <w:trPr>
          <w:trHeight w:val="290"/>
          <w:jc w:val="center"/>
        </w:trPr>
        <w:tc>
          <w:tcPr>
            <w:cnfStyle w:val="001000000000" w:firstRow="0" w:lastRow="0" w:firstColumn="1" w:lastColumn="0" w:oddVBand="0" w:evenVBand="0" w:oddHBand="0" w:evenHBand="0" w:firstRowFirstColumn="0" w:firstRowLastColumn="0" w:lastRowFirstColumn="0" w:lastRowLastColumn="0"/>
            <w:tcW w:w="2836" w:type="dxa"/>
            <w:tcBorders>
              <w:top w:val="single" w:sz="4" w:space="0" w:color="auto"/>
              <w:left w:val="single" w:sz="4" w:space="0" w:color="auto"/>
              <w:bottom w:val="single" w:sz="4" w:space="0" w:color="auto"/>
              <w:right w:val="single" w:sz="4" w:space="0" w:color="auto"/>
            </w:tcBorders>
            <w:hideMark/>
          </w:tcPr>
          <w:p w14:paraId="3E5FEF2A" w14:textId="77777777" w:rsidR="000162AF" w:rsidRPr="00ED4EDD" w:rsidRDefault="000162AF" w:rsidP="00D10350">
            <w:pPr>
              <w:jc w:val="center"/>
              <w:rPr>
                <w:rFonts w:ascii="Calibri" w:eastAsia="Times New Roman" w:hAnsi="Calibri" w:cs="Calibri"/>
                <w:lang w:eastAsia="pl-PL"/>
              </w:rPr>
            </w:pPr>
            <w:r w:rsidRPr="00ED4EDD">
              <w:rPr>
                <w:rFonts w:ascii="Calibri" w:eastAsia="Times New Roman" w:hAnsi="Calibri" w:cs="Calibri"/>
                <w:lang w:eastAsia="pl-PL"/>
              </w:rPr>
              <w:t>2017</w:t>
            </w:r>
          </w:p>
        </w:tc>
        <w:tc>
          <w:tcPr>
            <w:tcW w:w="959" w:type="dxa"/>
            <w:tcBorders>
              <w:top w:val="single" w:sz="4" w:space="0" w:color="auto"/>
              <w:left w:val="single" w:sz="4" w:space="0" w:color="auto"/>
              <w:bottom w:val="single" w:sz="4" w:space="0" w:color="auto"/>
              <w:right w:val="single" w:sz="4" w:space="0" w:color="auto"/>
            </w:tcBorders>
            <w:hideMark/>
          </w:tcPr>
          <w:p w14:paraId="0166FB9F"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40</w:t>
            </w:r>
          </w:p>
        </w:tc>
        <w:tc>
          <w:tcPr>
            <w:tcW w:w="957" w:type="dxa"/>
            <w:tcBorders>
              <w:top w:val="single" w:sz="4" w:space="0" w:color="auto"/>
              <w:left w:val="single" w:sz="4" w:space="0" w:color="auto"/>
              <w:bottom w:val="single" w:sz="4" w:space="0" w:color="auto"/>
              <w:right w:val="single" w:sz="4" w:space="0" w:color="auto"/>
            </w:tcBorders>
            <w:hideMark/>
          </w:tcPr>
          <w:p w14:paraId="66CFC2AC"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17</w:t>
            </w:r>
          </w:p>
        </w:tc>
        <w:tc>
          <w:tcPr>
            <w:tcW w:w="959" w:type="dxa"/>
            <w:tcBorders>
              <w:top w:val="single" w:sz="4" w:space="0" w:color="auto"/>
              <w:left w:val="single" w:sz="4" w:space="0" w:color="auto"/>
              <w:bottom w:val="single" w:sz="4" w:space="0" w:color="auto"/>
              <w:right w:val="single" w:sz="4" w:space="0" w:color="auto"/>
            </w:tcBorders>
            <w:hideMark/>
          </w:tcPr>
          <w:p w14:paraId="4B6C3E5D"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24</w:t>
            </w:r>
          </w:p>
        </w:tc>
        <w:tc>
          <w:tcPr>
            <w:tcW w:w="1230" w:type="dxa"/>
            <w:tcBorders>
              <w:top w:val="single" w:sz="4" w:space="0" w:color="auto"/>
              <w:left w:val="single" w:sz="4" w:space="0" w:color="auto"/>
              <w:bottom w:val="single" w:sz="4" w:space="0" w:color="auto"/>
              <w:right w:val="single" w:sz="4" w:space="0" w:color="auto"/>
            </w:tcBorders>
            <w:hideMark/>
          </w:tcPr>
          <w:p w14:paraId="12A16116"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9</w:t>
            </w:r>
          </w:p>
        </w:tc>
        <w:tc>
          <w:tcPr>
            <w:tcW w:w="1032" w:type="dxa"/>
            <w:tcBorders>
              <w:top w:val="single" w:sz="4" w:space="0" w:color="auto"/>
              <w:left w:val="single" w:sz="4" w:space="0" w:color="auto"/>
              <w:bottom w:val="single" w:sz="4" w:space="0" w:color="auto"/>
              <w:right w:val="single" w:sz="4" w:space="0" w:color="auto"/>
            </w:tcBorders>
            <w:noWrap/>
            <w:hideMark/>
          </w:tcPr>
          <w:p w14:paraId="541640AA" w14:textId="77777777" w:rsidR="000162AF" w:rsidRPr="00ED4EDD" w:rsidRDefault="000162AF" w:rsidP="001C3B7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64</w:t>
            </w:r>
          </w:p>
        </w:tc>
      </w:tr>
      <w:tr w:rsidR="000162AF" w:rsidRPr="00ED4EDD" w14:paraId="3D7C938E" w14:textId="77777777" w:rsidTr="001C3B79">
        <w:trPr>
          <w:trHeight w:val="290"/>
          <w:jc w:val="center"/>
        </w:trPr>
        <w:tc>
          <w:tcPr>
            <w:cnfStyle w:val="001000000000" w:firstRow="0" w:lastRow="0" w:firstColumn="1" w:lastColumn="0" w:oddVBand="0" w:evenVBand="0" w:oddHBand="0" w:evenHBand="0" w:firstRowFirstColumn="0" w:firstRowLastColumn="0" w:lastRowFirstColumn="0" w:lastRowLastColumn="0"/>
            <w:tcW w:w="2836" w:type="dxa"/>
            <w:tcBorders>
              <w:top w:val="single" w:sz="4" w:space="0" w:color="auto"/>
              <w:left w:val="single" w:sz="4" w:space="0" w:color="auto"/>
              <w:bottom w:val="single" w:sz="4" w:space="0" w:color="auto"/>
              <w:right w:val="single" w:sz="4" w:space="0" w:color="auto"/>
            </w:tcBorders>
            <w:hideMark/>
          </w:tcPr>
          <w:p w14:paraId="5ADDC8F8" w14:textId="77777777" w:rsidR="000162AF" w:rsidRPr="00ED4EDD" w:rsidRDefault="000162AF" w:rsidP="00D10350">
            <w:pPr>
              <w:jc w:val="center"/>
              <w:rPr>
                <w:rFonts w:ascii="Calibri" w:eastAsia="Times New Roman" w:hAnsi="Calibri" w:cs="Calibri"/>
                <w:lang w:eastAsia="pl-PL"/>
              </w:rPr>
            </w:pPr>
            <w:r w:rsidRPr="00ED4EDD">
              <w:rPr>
                <w:rFonts w:ascii="Calibri" w:eastAsia="Times New Roman" w:hAnsi="Calibri" w:cs="Calibri"/>
                <w:lang w:eastAsia="pl-PL"/>
              </w:rPr>
              <w:t>2018</w:t>
            </w:r>
          </w:p>
        </w:tc>
        <w:tc>
          <w:tcPr>
            <w:tcW w:w="959" w:type="dxa"/>
            <w:tcBorders>
              <w:top w:val="single" w:sz="4" w:space="0" w:color="auto"/>
              <w:left w:val="single" w:sz="4" w:space="0" w:color="auto"/>
              <w:bottom w:val="single" w:sz="4" w:space="0" w:color="auto"/>
              <w:right w:val="single" w:sz="4" w:space="0" w:color="auto"/>
            </w:tcBorders>
            <w:hideMark/>
          </w:tcPr>
          <w:p w14:paraId="0973B561"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41</w:t>
            </w:r>
          </w:p>
        </w:tc>
        <w:tc>
          <w:tcPr>
            <w:tcW w:w="957" w:type="dxa"/>
            <w:tcBorders>
              <w:top w:val="single" w:sz="4" w:space="0" w:color="auto"/>
              <w:left w:val="single" w:sz="4" w:space="0" w:color="auto"/>
              <w:bottom w:val="single" w:sz="4" w:space="0" w:color="auto"/>
              <w:right w:val="single" w:sz="4" w:space="0" w:color="auto"/>
            </w:tcBorders>
            <w:hideMark/>
          </w:tcPr>
          <w:p w14:paraId="3701F134"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29</w:t>
            </w:r>
          </w:p>
        </w:tc>
        <w:tc>
          <w:tcPr>
            <w:tcW w:w="959" w:type="dxa"/>
            <w:tcBorders>
              <w:top w:val="single" w:sz="4" w:space="0" w:color="auto"/>
              <w:left w:val="single" w:sz="4" w:space="0" w:color="auto"/>
              <w:bottom w:val="single" w:sz="4" w:space="0" w:color="auto"/>
              <w:right w:val="single" w:sz="4" w:space="0" w:color="auto"/>
            </w:tcBorders>
            <w:hideMark/>
          </w:tcPr>
          <w:p w14:paraId="608F1CC0"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20</w:t>
            </w:r>
          </w:p>
        </w:tc>
        <w:tc>
          <w:tcPr>
            <w:tcW w:w="1230" w:type="dxa"/>
            <w:tcBorders>
              <w:top w:val="single" w:sz="4" w:space="0" w:color="auto"/>
              <w:left w:val="single" w:sz="4" w:space="0" w:color="auto"/>
              <w:bottom w:val="single" w:sz="4" w:space="0" w:color="auto"/>
              <w:right w:val="single" w:sz="4" w:space="0" w:color="auto"/>
            </w:tcBorders>
            <w:hideMark/>
          </w:tcPr>
          <w:p w14:paraId="6D4EC8D0"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10</w:t>
            </w:r>
          </w:p>
        </w:tc>
        <w:tc>
          <w:tcPr>
            <w:tcW w:w="1032" w:type="dxa"/>
            <w:tcBorders>
              <w:top w:val="single" w:sz="4" w:space="0" w:color="auto"/>
              <w:left w:val="single" w:sz="4" w:space="0" w:color="auto"/>
              <w:bottom w:val="single" w:sz="4" w:space="0" w:color="auto"/>
              <w:right w:val="single" w:sz="4" w:space="0" w:color="auto"/>
            </w:tcBorders>
            <w:noWrap/>
            <w:hideMark/>
          </w:tcPr>
          <w:p w14:paraId="027AD651" w14:textId="77777777" w:rsidR="000162AF" w:rsidRPr="00ED4EDD" w:rsidRDefault="000162AF" w:rsidP="001C3B7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61</w:t>
            </w:r>
          </w:p>
        </w:tc>
      </w:tr>
      <w:tr w:rsidR="000162AF" w:rsidRPr="00ED4EDD" w14:paraId="65B77FB2" w14:textId="77777777" w:rsidTr="001C3B79">
        <w:trPr>
          <w:trHeight w:val="290"/>
          <w:jc w:val="center"/>
        </w:trPr>
        <w:tc>
          <w:tcPr>
            <w:cnfStyle w:val="001000000000" w:firstRow="0" w:lastRow="0" w:firstColumn="1" w:lastColumn="0" w:oddVBand="0" w:evenVBand="0" w:oddHBand="0" w:evenHBand="0" w:firstRowFirstColumn="0" w:firstRowLastColumn="0" w:lastRowFirstColumn="0" w:lastRowLastColumn="0"/>
            <w:tcW w:w="2836" w:type="dxa"/>
            <w:tcBorders>
              <w:top w:val="single" w:sz="4" w:space="0" w:color="auto"/>
              <w:left w:val="single" w:sz="4" w:space="0" w:color="auto"/>
              <w:bottom w:val="single" w:sz="4" w:space="0" w:color="auto"/>
              <w:right w:val="single" w:sz="4" w:space="0" w:color="auto"/>
            </w:tcBorders>
            <w:hideMark/>
          </w:tcPr>
          <w:p w14:paraId="6F3575EB" w14:textId="77777777" w:rsidR="000162AF" w:rsidRPr="00ED4EDD" w:rsidRDefault="000162AF" w:rsidP="00D10350">
            <w:pPr>
              <w:jc w:val="center"/>
              <w:rPr>
                <w:rFonts w:ascii="Calibri" w:eastAsia="Times New Roman" w:hAnsi="Calibri" w:cs="Calibri"/>
                <w:lang w:eastAsia="pl-PL"/>
              </w:rPr>
            </w:pPr>
            <w:r w:rsidRPr="00ED4EDD">
              <w:rPr>
                <w:rFonts w:ascii="Calibri" w:eastAsia="Times New Roman" w:hAnsi="Calibri" w:cs="Calibri"/>
                <w:lang w:eastAsia="pl-PL"/>
              </w:rPr>
              <w:t>2019</w:t>
            </w:r>
          </w:p>
        </w:tc>
        <w:tc>
          <w:tcPr>
            <w:tcW w:w="959" w:type="dxa"/>
            <w:tcBorders>
              <w:top w:val="single" w:sz="4" w:space="0" w:color="auto"/>
              <w:left w:val="single" w:sz="4" w:space="0" w:color="auto"/>
              <w:bottom w:val="single" w:sz="4" w:space="0" w:color="auto"/>
              <w:right w:val="single" w:sz="4" w:space="0" w:color="auto"/>
            </w:tcBorders>
            <w:hideMark/>
          </w:tcPr>
          <w:p w14:paraId="70F9A637"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62</w:t>
            </w:r>
          </w:p>
        </w:tc>
        <w:tc>
          <w:tcPr>
            <w:tcW w:w="957" w:type="dxa"/>
            <w:tcBorders>
              <w:top w:val="single" w:sz="4" w:space="0" w:color="auto"/>
              <w:left w:val="single" w:sz="4" w:space="0" w:color="auto"/>
              <w:bottom w:val="single" w:sz="4" w:space="0" w:color="auto"/>
              <w:right w:val="single" w:sz="4" w:space="0" w:color="auto"/>
            </w:tcBorders>
            <w:hideMark/>
          </w:tcPr>
          <w:p w14:paraId="346A70E9"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36</w:t>
            </w:r>
          </w:p>
        </w:tc>
        <w:tc>
          <w:tcPr>
            <w:tcW w:w="959" w:type="dxa"/>
            <w:tcBorders>
              <w:top w:val="single" w:sz="4" w:space="0" w:color="auto"/>
              <w:left w:val="single" w:sz="4" w:space="0" w:color="auto"/>
              <w:bottom w:val="single" w:sz="4" w:space="0" w:color="auto"/>
              <w:right w:val="single" w:sz="4" w:space="0" w:color="auto"/>
            </w:tcBorders>
            <w:hideMark/>
          </w:tcPr>
          <w:p w14:paraId="727A67E5"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17</w:t>
            </w:r>
          </w:p>
        </w:tc>
        <w:tc>
          <w:tcPr>
            <w:tcW w:w="1230" w:type="dxa"/>
            <w:tcBorders>
              <w:top w:val="single" w:sz="4" w:space="0" w:color="auto"/>
              <w:left w:val="single" w:sz="4" w:space="0" w:color="auto"/>
              <w:bottom w:val="single" w:sz="4" w:space="0" w:color="auto"/>
              <w:right w:val="single" w:sz="4" w:space="0" w:color="auto"/>
            </w:tcBorders>
            <w:hideMark/>
          </w:tcPr>
          <w:p w14:paraId="5CF0A072"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10</w:t>
            </w:r>
          </w:p>
        </w:tc>
        <w:tc>
          <w:tcPr>
            <w:tcW w:w="1032" w:type="dxa"/>
            <w:tcBorders>
              <w:top w:val="single" w:sz="4" w:space="0" w:color="auto"/>
              <w:left w:val="single" w:sz="4" w:space="0" w:color="auto"/>
              <w:bottom w:val="single" w:sz="4" w:space="0" w:color="auto"/>
              <w:right w:val="single" w:sz="4" w:space="0" w:color="auto"/>
            </w:tcBorders>
            <w:noWrap/>
            <w:hideMark/>
          </w:tcPr>
          <w:p w14:paraId="164810C1" w14:textId="77777777" w:rsidR="000162AF" w:rsidRPr="00ED4EDD" w:rsidRDefault="000162AF" w:rsidP="001C3B7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D4EDD">
              <w:rPr>
                <w:rFonts w:ascii="Calibri" w:eastAsia="Times New Roman" w:hAnsi="Calibri" w:cs="Calibri"/>
                <w:lang w:eastAsia="pl-PL"/>
              </w:rPr>
              <w:t>79</w:t>
            </w:r>
          </w:p>
        </w:tc>
      </w:tr>
      <w:tr w:rsidR="000162AF" w:rsidRPr="00ED4EDD" w14:paraId="43ABC239" w14:textId="77777777" w:rsidTr="001C3B79">
        <w:trPr>
          <w:trHeight w:val="290"/>
          <w:jc w:val="center"/>
        </w:trPr>
        <w:tc>
          <w:tcPr>
            <w:cnfStyle w:val="001000000000" w:firstRow="0" w:lastRow="0" w:firstColumn="1" w:lastColumn="0" w:oddVBand="0" w:evenVBand="0" w:oddHBand="0" w:evenHBand="0" w:firstRowFirstColumn="0" w:firstRowLastColumn="0" w:lastRowFirstColumn="0" w:lastRowLastColumn="0"/>
            <w:tcW w:w="283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BAAC9B9" w14:textId="77777777" w:rsidR="000162AF" w:rsidRPr="00ED4EDD" w:rsidRDefault="000162AF" w:rsidP="00D10350">
            <w:pPr>
              <w:jc w:val="center"/>
              <w:rPr>
                <w:rFonts w:ascii="Calibri" w:eastAsia="Times New Roman" w:hAnsi="Calibri" w:cs="Calibri"/>
                <w:b w:val="0"/>
                <w:bCs w:val="0"/>
                <w:lang w:eastAsia="pl-PL"/>
              </w:rPr>
            </w:pPr>
            <w:r w:rsidRPr="00ED4EDD">
              <w:rPr>
                <w:rFonts w:ascii="Calibri" w:eastAsia="Times New Roman" w:hAnsi="Calibri" w:cs="Calibri"/>
                <w:lang w:eastAsia="pl-PL"/>
              </w:rPr>
              <w:t>RAZEM</w:t>
            </w:r>
          </w:p>
        </w:tc>
        <w:tc>
          <w:tcPr>
            <w:tcW w:w="95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20993EC"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lang w:eastAsia="pl-PL"/>
              </w:rPr>
            </w:pPr>
            <w:r w:rsidRPr="00ED4EDD">
              <w:rPr>
                <w:rFonts w:ascii="Calibri" w:eastAsia="Times New Roman" w:hAnsi="Calibri" w:cs="Calibri"/>
                <w:b/>
                <w:bCs/>
                <w:lang w:eastAsia="pl-PL"/>
              </w:rPr>
              <w:t>278</w:t>
            </w:r>
          </w:p>
        </w:tc>
        <w:tc>
          <w:tcPr>
            <w:tcW w:w="95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47CBD24"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lang w:eastAsia="pl-PL"/>
              </w:rPr>
            </w:pPr>
            <w:r w:rsidRPr="00ED4EDD">
              <w:rPr>
                <w:rFonts w:ascii="Calibri" w:eastAsia="Times New Roman" w:hAnsi="Calibri" w:cs="Calibri"/>
                <w:b/>
                <w:bCs/>
                <w:lang w:eastAsia="pl-PL"/>
              </w:rPr>
              <w:t>163</w:t>
            </w:r>
          </w:p>
        </w:tc>
        <w:tc>
          <w:tcPr>
            <w:tcW w:w="95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0710A62"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lang w:eastAsia="pl-PL"/>
              </w:rPr>
            </w:pPr>
            <w:r w:rsidRPr="00ED4EDD">
              <w:rPr>
                <w:rFonts w:ascii="Calibri" w:eastAsia="Times New Roman" w:hAnsi="Calibri" w:cs="Calibri"/>
                <w:b/>
                <w:bCs/>
                <w:lang w:eastAsia="pl-PL"/>
              </w:rPr>
              <w:t>73</w:t>
            </w:r>
          </w:p>
        </w:tc>
        <w:tc>
          <w:tcPr>
            <w:tcW w:w="123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BA838A1" w14:textId="77777777" w:rsidR="000162AF" w:rsidRPr="00ED4EDD" w:rsidRDefault="000162AF" w:rsidP="00D1035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lang w:eastAsia="pl-PL"/>
              </w:rPr>
            </w:pPr>
            <w:r w:rsidRPr="00ED4EDD">
              <w:rPr>
                <w:rFonts w:ascii="Calibri" w:eastAsia="Times New Roman" w:hAnsi="Calibri" w:cs="Calibri"/>
                <w:b/>
                <w:bCs/>
                <w:lang w:eastAsia="pl-PL"/>
              </w:rPr>
              <w:t>31</w:t>
            </w:r>
          </w:p>
        </w:tc>
        <w:tc>
          <w:tcPr>
            <w:tcW w:w="103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3F914909" w14:textId="77777777" w:rsidR="000162AF" w:rsidRPr="00ED4EDD" w:rsidRDefault="000162AF" w:rsidP="001C3B7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lang w:eastAsia="pl-PL"/>
              </w:rPr>
            </w:pPr>
            <w:r w:rsidRPr="00ED4EDD">
              <w:rPr>
                <w:rFonts w:ascii="Calibri" w:eastAsia="Times New Roman" w:hAnsi="Calibri" w:cs="Calibri"/>
                <w:b/>
                <w:bCs/>
                <w:lang w:eastAsia="pl-PL"/>
              </w:rPr>
              <w:t>351</w:t>
            </w:r>
          </w:p>
        </w:tc>
      </w:tr>
    </w:tbl>
    <w:p w14:paraId="2F46EA63" w14:textId="58BB052F" w:rsidR="000162AF" w:rsidRDefault="001C3B79" w:rsidP="001C3B79">
      <w:pPr>
        <w:jc w:val="center"/>
        <w:rPr>
          <w:i/>
          <w:sz w:val="20"/>
          <w:szCs w:val="20"/>
        </w:rPr>
      </w:pPr>
      <w:r>
        <w:rPr>
          <w:i/>
          <w:sz w:val="20"/>
          <w:szCs w:val="20"/>
        </w:rPr>
        <w:t>ź</w:t>
      </w:r>
      <w:r w:rsidR="000162AF" w:rsidRPr="001C3B79">
        <w:rPr>
          <w:i/>
          <w:sz w:val="20"/>
          <w:szCs w:val="20"/>
        </w:rPr>
        <w:t xml:space="preserve">ródło: </w:t>
      </w:r>
      <w:r>
        <w:rPr>
          <w:i/>
          <w:sz w:val="20"/>
          <w:szCs w:val="20"/>
        </w:rPr>
        <w:t>o</w:t>
      </w:r>
      <w:r w:rsidR="000162AF" w:rsidRPr="001C3B79">
        <w:rPr>
          <w:i/>
          <w:sz w:val="20"/>
          <w:szCs w:val="20"/>
        </w:rPr>
        <w:t>pracowanie własne na podstawie zestawienia absolwentów kierunku lekarskiego (</w:t>
      </w:r>
      <w:hyperlink r:id="rId126" w:history="1">
        <w:r w:rsidRPr="00027846">
          <w:rPr>
            <w:rStyle w:val="Hipercze"/>
            <w:i/>
            <w:sz w:val="20"/>
            <w:szCs w:val="20"/>
          </w:rPr>
          <w:t>www.wl.uwm.edu.pl</w:t>
        </w:r>
      </w:hyperlink>
      <w:r w:rsidR="000162AF" w:rsidRPr="001C3B79">
        <w:rPr>
          <w:i/>
          <w:sz w:val="20"/>
          <w:szCs w:val="20"/>
        </w:rPr>
        <w:t>)</w:t>
      </w:r>
    </w:p>
    <w:p w14:paraId="5AF9A6B2" w14:textId="166E9B64" w:rsidR="001C3B79" w:rsidRDefault="001C3B79" w:rsidP="003E277A">
      <w:pPr>
        <w:rPr>
          <w:sz w:val="20"/>
          <w:szCs w:val="20"/>
        </w:rPr>
      </w:pPr>
    </w:p>
    <w:p w14:paraId="0D67433F" w14:textId="53FCC42B" w:rsidR="003E277A" w:rsidRPr="003E277A" w:rsidRDefault="003E277A" w:rsidP="003E277A">
      <w:pPr>
        <w:pStyle w:val="Legenda"/>
        <w:rPr>
          <w:sz w:val="22"/>
          <w:szCs w:val="22"/>
          <w:lang w:val="pl-PL"/>
        </w:rPr>
      </w:pPr>
      <w:bookmarkStart w:id="276" w:name="_Toc73516152"/>
      <w:r w:rsidRPr="003E277A">
        <w:rPr>
          <w:sz w:val="22"/>
          <w:szCs w:val="22"/>
        </w:rPr>
        <w:t xml:space="preserve">Wykres </w:t>
      </w:r>
      <w:r w:rsidRPr="003E277A">
        <w:rPr>
          <w:sz w:val="22"/>
          <w:szCs w:val="22"/>
        </w:rPr>
        <w:fldChar w:fldCharType="begin"/>
      </w:r>
      <w:r w:rsidRPr="003E277A">
        <w:rPr>
          <w:sz w:val="22"/>
          <w:szCs w:val="22"/>
        </w:rPr>
        <w:instrText xml:space="preserve"> SEQ Wykres \* ARABIC </w:instrText>
      </w:r>
      <w:r w:rsidRPr="003E277A">
        <w:rPr>
          <w:sz w:val="22"/>
          <w:szCs w:val="22"/>
        </w:rPr>
        <w:fldChar w:fldCharType="separate"/>
      </w:r>
      <w:r w:rsidR="00AD58C3">
        <w:rPr>
          <w:noProof/>
          <w:sz w:val="22"/>
          <w:szCs w:val="22"/>
        </w:rPr>
        <w:t>90</w:t>
      </w:r>
      <w:r w:rsidRPr="003E277A">
        <w:rPr>
          <w:sz w:val="22"/>
          <w:szCs w:val="22"/>
        </w:rPr>
        <w:fldChar w:fldCharType="end"/>
      </w:r>
      <w:r w:rsidRPr="003E277A">
        <w:rPr>
          <w:sz w:val="22"/>
          <w:szCs w:val="22"/>
        </w:rPr>
        <w:t xml:space="preserve">. </w:t>
      </w:r>
      <w:r w:rsidRPr="003E277A">
        <w:rPr>
          <w:bCs/>
          <w:sz w:val="22"/>
          <w:szCs w:val="22"/>
          <w:lang w:val="pl-PL"/>
        </w:rPr>
        <w:t>Absolwenci kierunku lekarskiego UWM w latach 2014-2019</w:t>
      </w:r>
      <w:bookmarkEnd w:id="276"/>
    </w:p>
    <w:p w14:paraId="4E9A9E19" w14:textId="77777777" w:rsidR="000162AF" w:rsidRPr="00ED4EDD" w:rsidRDefault="000162AF" w:rsidP="000162AF">
      <w:pPr>
        <w:spacing w:after="0"/>
        <w:jc w:val="center"/>
      </w:pPr>
      <w:r w:rsidRPr="00ED4EDD">
        <w:rPr>
          <w:noProof/>
          <w:lang w:eastAsia="pl-PL"/>
        </w:rPr>
        <w:drawing>
          <wp:inline distT="0" distB="0" distL="0" distR="0" wp14:anchorId="5D6F4C68" wp14:editId="5F14F9B1">
            <wp:extent cx="4315968" cy="2253082"/>
            <wp:effectExtent l="0" t="0" r="8890" b="13970"/>
            <wp:docPr id="56" name="Wykres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1CAFFF86" w14:textId="33781056" w:rsidR="000162AF" w:rsidRPr="001C3B79" w:rsidRDefault="001C3B79" w:rsidP="001C3B79">
      <w:pPr>
        <w:jc w:val="center"/>
        <w:rPr>
          <w:i/>
          <w:sz w:val="20"/>
          <w:szCs w:val="20"/>
        </w:rPr>
      </w:pPr>
      <w:r>
        <w:rPr>
          <w:i/>
          <w:sz w:val="20"/>
          <w:szCs w:val="20"/>
        </w:rPr>
        <w:t>ź</w:t>
      </w:r>
      <w:r w:rsidR="000162AF" w:rsidRPr="001C3B79">
        <w:rPr>
          <w:i/>
          <w:sz w:val="20"/>
          <w:szCs w:val="20"/>
        </w:rPr>
        <w:t xml:space="preserve">ródło: </w:t>
      </w:r>
      <w:r>
        <w:rPr>
          <w:i/>
          <w:sz w:val="20"/>
          <w:szCs w:val="20"/>
        </w:rPr>
        <w:t>o</w:t>
      </w:r>
      <w:r w:rsidR="000162AF" w:rsidRPr="001C3B79">
        <w:rPr>
          <w:i/>
          <w:sz w:val="20"/>
          <w:szCs w:val="20"/>
        </w:rPr>
        <w:t>pracowanie własne na podstawie zestawienia absolwentów kierunku lekarskiego (www.wl.uwm.edu.pl)</w:t>
      </w:r>
    </w:p>
    <w:p w14:paraId="073D039A" w14:textId="77777777" w:rsidR="001C3B79" w:rsidRDefault="001C3B79" w:rsidP="000162AF">
      <w:pPr>
        <w:jc w:val="both"/>
      </w:pPr>
    </w:p>
    <w:p w14:paraId="26EA7460" w14:textId="5C5FB627" w:rsidR="000162AF" w:rsidRDefault="000162AF" w:rsidP="000162AF">
      <w:pPr>
        <w:jc w:val="both"/>
      </w:pPr>
      <w:r w:rsidRPr="00ED4EDD">
        <w:t>Dodatkowo Wydzia</w:t>
      </w:r>
      <w:r w:rsidR="00AE5446">
        <w:t>ł</w:t>
      </w:r>
      <w:r w:rsidRPr="00ED4EDD">
        <w:t xml:space="preserve"> Nauk o Zdrowiu (od 2019 r. przekształcony w Szkołę Zdrowia Publicznego) Uniwersytetu Warmińsko-Mazurskiego </w:t>
      </w:r>
      <w:r w:rsidR="00AE5446">
        <w:t>oferuje edukację na kierunkach: pielęgniarstwo, położnictwo, ratownictwo medyczne, dietetyka.</w:t>
      </w:r>
      <w:r>
        <w:rPr>
          <w:rStyle w:val="Odwoanieprzypisudolnego"/>
        </w:rPr>
        <w:footnoteReference w:id="95"/>
      </w:r>
      <w:r w:rsidRPr="00ED4EDD">
        <w:t>.</w:t>
      </w:r>
    </w:p>
    <w:p w14:paraId="59D0F6A7" w14:textId="77777777" w:rsidR="00FB4623" w:rsidRDefault="00FB4623">
      <w:pPr>
        <w:rPr>
          <w:rFonts w:ascii="Calibri" w:eastAsia="Calibri" w:hAnsi="Calibri" w:cs="Mangal"/>
          <w:i/>
          <w:iCs/>
          <w:color w:val="00000A"/>
          <w:kern w:val="1"/>
          <w:sz w:val="24"/>
          <w:szCs w:val="24"/>
          <w:lang w:val="en-GB"/>
        </w:rPr>
      </w:pPr>
      <w:r>
        <w:br w:type="page"/>
      </w:r>
    </w:p>
    <w:p w14:paraId="6F3CB1AF" w14:textId="42F5B371" w:rsidR="00FB4623" w:rsidRPr="00FB4623" w:rsidRDefault="00FB4623" w:rsidP="00FB4623">
      <w:pPr>
        <w:pStyle w:val="Legenda"/>
        <w:rPr>
          <w:sz w:val="22"/>
          <w:szCs w:val="22"/>
          <w:lang w:val="pl-PL"/>
        </w:rPr>
      </w:pPr>
      <w:bookmarkStart w:id="277" w:name="_Toc73516153"/>
      <w:r w:rsidRPr="00FB4623">
        <w:rPr>
          <w:sz w:val="22"/>
          <w:szCs w:val="22"/>
        </w:rPr>
        <w:lastRenderedPageBreak/>
        <w:t xml:space="preserve">Wykres </w:t>
      </w:r>
      <w:r w:rsidRPr="00FB4623">
        <w:rPr>
          <w:sz w:val="22"/>
          <w:szCs w:val="22"/>
        </w:rPr>
        <w:fldChar w:fldCharType="begin"/>
      </w:r>
      <w:r w:rsidRPr="00FB4623">
        <w:rPr>
          <w:sz w:val="22"/>
          <w:szCs w:val="22"/>
        </w:rPr>
        <w:instrText xml:space="preserve"> SEQ Wykres \* ARABIC </w:instrText>
      </w:r>
      <w:r w:rsidRPr="00FB4623">
        <w:rPr>
          <w:sz w:val="22"/>
          <w:szCs w:val="22"/>
        </w:rPr>
        <w:fldChar w:fldCharType="separate"/>
      </w:r>
      <w:r w:rsidR="00AD58C3">
        <w:rPr>
          <w:noProof/>
          <w:sz w:val="22"/>
          <w:szCs w:val="22"/>
        </w:rPr>
        <w:t>91</w:t>
      </w:r>
      <w:r w:rsidRPr="00FB4623">
        <w:rPr>
          <w:sz w:val="22"/>
          <w:szCs w:val="22"/>
        </w:rPr>
        <w:fldChar w:fldCharType="end"/>
      </w:r>
      <w:r w:rsidRPr="00FB4623">
        <w:rPr>
          <w:sz w:val="22"/>
          <w:szCs w:val="22"/>
        </w:rPr>
        <w:t xml:space="preserve">. </w:t>
      </w:r>
      <w:r w:rsidRPr="00FB4623">
        <w:rPr>
          <w:bCs/>
          <w:sz w:val="22"/>
          <w:szCs w:val="22"/>
          <w:lang w:val="pl-PL"/>
        </w:rPr>
        <w:t>Liczba absolwentów Szkoły Zdrowia Publicznego UWM w latach 2017-2019</w:t>
      </w:r>
      <w:bookmarkEnd w:id="277"/>
    </w:p>
    <w:p w14:paraId="0B7F3F4D" w14:textId="77777777" w:rsidR="000162AF" w:rsidRDefault="000162AF" w:rsidP="000162AF">
      <w:pPr>
        <w:spacing w:after="0"/>
        <w:jc w:val="center"/>
      </w:pPr>
      <w:r>
        <w:rPr>
          <w:noProof/>
          <w:lang w:eastAsia="pl-PL"/>
        </w:rPr>
        <w:drawing>
          <wp:inline distT="0" distB="0" distL="0" distR="0" wp14:anchorId="6826E7CB" wp14:editId="1047A646">
            <wp:extent cx="4497070" cy="2377440"/>
            <wp:effectExtent l="0" t="0" r="17780" b="3810"/>
            <wp:docPr id="58" name="Wykres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2BAC17D5" w14:textId="26464A90" w:rsidR="000162AF" w:rsidRPr="00F87BFF" w:rsidRDefault="00F87BFF" w:rsidP="00F87BFF">
      <w:pPr>
        <w:spacing w:after="0"/>
        <w:jc w:val="center"/>
        <w:rPr>
          <w:i/>
          <w:sz w:val="20"/>
          <w:szCs w:val="20"/>
        </w:rPr>
      </w:pPr>
      <w:r>
        <w:rPr>
          <w:i/>
          <w:sz w:val="20"/>
          <w:szCs w:val="20"/>
        </w:rPr>
        <w:t>ź</w:t>
      </w:r>
      <w:r w:rsidR="000162AF" w:rsidRPr="00F87BFF">
        <w:rPr>
          <w:i/>
          <w:sz w:val="20"/>
          <w:szCs w:val="20"/>
        </w:rPr>
        <w:t>ródło:</w:t>
      </w:r>
      <w:r>
        <w:rPr>
          <w:i/>
          <w:sz w:val="20"/>
          <w:szCs w:val="20"/>
        </w:rPr>
        <w:t xml:space="preserve"> op</w:t>
      </w:r>
      <w:r w:rsidR="000162AF" w:rsidRPr="00F87BFF">
        <w:rPr>
          <w:i/>
          <w:sz w:val="20"/>
          <w:szCs w:val="20"/>
        </w:rPr>
        <w:t xml:space="preserve">racowanie własne na podstawie </w:t>
      </w:r>
      <w:r>
        <w:rPr>
          <w:i/>
          <w:sz w:val="20"/>
          <w:szCs w:val="20"/>
        </w:rPr>
        <w:t>danych</w:t>
      </w:r>
      <w:r w:rsidR="000162AF" w:rsidRPr="00F87BFF">
        <w:rPr>
          <w:i/>
          <w:sz w:val="20"/>
          <w:szCs w:val="20"/>
        </w:rPr>
        <w:t xml:space="preserve"> Szkoły Zdrowia Publicznego UWM</w:t>
      </w:r>
      <w:r>
        <w:rPr>
          <w:i/>
          <w:sz w:val="20"/>
          <w:szCs w:val="20"/>
        </w:rPr>
        <w:t xml:space="preserve"> w Olsztynie</w:t>
      </w:r>
    </w:p>
    <w:p w14:paraId="2478EE6B" w14:textId="60157A76" w:rsidR="00412CD0" w:rsidRDefault="00412CD0" w:rsidP="000162AF">
      <w:pPr>
        <w:spacing w:after="0"/>
        <w:jc w:val="both"/>
        <w:rPr>
          <w:i/>
        </w:rPr>
      </w:pPr>
    </w:p>
    <w:p w14:paraId="3307E353" w14:textId="147176B4" w:rsidR="00412CD0" w:rsidRPr="00ED4EDD" w:rsidRDefault="00412CD0" w:rsidP="000162AF">
      <w:pPr>
        <w:spacing w:after="0"/>
        <w:jc w:val="both"/>
      </w:pPr>
    </w:p>
    <w:p w14:paraId="041B1C53" w14:textId="77777777" w:rsidR="000162AF" w:rsidRPr="00ED4EDD" w:rsidRDefault="000162AF" w:rsidP="000162AF">
      <w:pPr>
        <w:jc w:val="both"/>
      </w:pPr>
      <w:r w:rsidRPr="00ED4EDD">
        <w:t>Z kolei Szkoła Policealna im. prof. Zbigniewa Religi w Olsztynie kształci specjalistów w zawodach medycznych i około medycznych. W latach 2013-2019 jej mury opuścili absolwenci następujących kierunków:</w:t>
      </w:r>
    </w:p>
    <w:p w14:paraId="1F1A5CBE" w14:textId="77777777" w:rsidR="000162AF" w:rsidRPr="00ED4EDD" w:rsidRDefault="000162AF" w:rsidP="000162AF">
      <w:pPr>
        <w:pStyle w:val="Akapitzlist"/>
        <w:numPr>
          <w:ilvl w:val="0"/>
          <w:numId w:val="11"/>
        </w:numPr>
      </w:pPr>
      <w:r w:rsidRPr="00ED4EDD">
        <w:t>technik masażysta – 144 osoby,</w:t>
      </w:r>
    </w:p>
    <w:p w14:paraId="5164AE87" w14:textId="77777777" w:rsidR="000162AF" w:rsidRPr="00ED4EDD" w:rsidRDefault="000162AF" w:rsidP="000162AF">
      <w:pPr>
        <w:pStyle w:val="Akapitzlist"/>
        <w:numPr>
          <w:ilvl w:val="0"/>
          <w:numId w:val="11"/>
        </w:numPr>
      </w:pPr>
      <w:r w:rsidRPr="00ED4EDD">
        <w:t>technik elektroradiolog – 102 osoby,</w:t>
      </w:r>
    </w:p>
    <w:p w14:paraId="1E885227" w14:textId="77777777" w:rsidR="000162AF" w:rsidRPr="00ED4EDD" w:rsidRDefault="000162AF" w:rsidP="000162AF">
      <w:pPr>
        <w:pStyle w:val="Akapitzlist"/>
        <w:numPr>
          <w:ilvl w:val="0"/>
          <w:numId w:val="11"/>
        </w:numPr>
      </w:pPr>
      <w:r w:rsidRPr="00ED4EDD">
        <w:t>technik farmaceutyczny – 146 osób,</w:t>
      </w:r>
    </w:p>
    <w:p w14:paraId="6EC4653A" w14:textId="77777777" w:rsidR="000162AF" w:rsidRPr="00ED4EDD" w:rsidRDefault="000162AF" w:rsidP="000162AF">
      <w:pPr>
        <w:pStyle w:val="Akapitzlist"/>
        <w:numPr>
          <w:ilvl w:val="0"/>
          <w:numId w:val="11"/>
        </w:numPr>
      </w:pPr>
      <w:r w:rsidRPr="00ED4EDD">
        <w:t>terapeuta zajęciowy – 41 osób,</w:t>
      </w:r>
    </w:p>
    <w:p w14:paraId="7F6C51B6" w14:textId="77777777" w:rsidR="000162AF" w:rsidRPr="00ED4EDD" w:rsidRDefault="000162AF" w:rsidP="000162AF">
      <w:pPr>
        <w:pStyle w:val="Akapitzlist"/>
        <w:numPr>
          <w:ilvl w:val="0"/>
          <w:numId w:val="11"/>
        </w:numPr>
      </w:pPr>
      <w:r w:rsidRPr="00ED4EDD">
        <w:t>higienistka stomatologiczna – 103 osoby,</w:t>
      </w:r>
    </w:p>
    <w:p w14:paraId="7987A5D4" w14:textId="77777777" w:rsidR="000162AF" w:rsidRPr="00ED4EDD" w:rsidRDefault="000162AF" w:rsidP="000162AF">
      <w:pPr>
        <w:pStyle w:val="Akapitzlist"/>
        <w:numPr>
          <w:ilvl w:val="0"/>
          <w:numId w:val="11"/>
        </w:numPr>
      </w:pPr>
      <w:r w:rsidRPr="00ED4EDD">
        <w:t>asystentka stomatologiczna – 24 osoby,</w:t>
      </w:r>
    </w:p>
    <w:p w14:paraId="63F1B9D0" w14:textId="77777777" w:rsidR="000162AF" w:rsidRPr="00ED4EDD" w:rsidRDefault="000162AF" w:rsidP="000162AF">
      <w:pPr>
        <w:pStyle w:val="Akapitzlist"/>
        <w:numPr>
          <w:ilvl w:val="0"/>
          <w:numId w:val="11"/>
        </w:numPr>
      </w:pPr>
      <w:r w:rsidRPr="00ED4EDD">
        <w:t>technik sterylizacji medycznej – 165 osób,</w:t>
      </w:r>
    </w:p>
    <w:p w14:paraId="4B724DE2" w14:textId="77777777" w:rsidR="000162AF" w:rsidRPr="00ED4EDD" w:rsidRDefault="000162AF" w:rsidP="000162AF">
      <w:pPr>
        <w:pStyle w:val="Akapitzlist"/>
        <w:numPr>
          <w:ilvl w:val="0"/>
          <w:numId w:val="11"/>
        </w:numPr>
      </w:pPr>
      <w:r w:rsidRPr="00ED4EDD">
        <w:t>opiekun medyczny – 183 osoby,</w:t>
      </w:r>
    </w:p>
    <w:p w14:paraId="7B22B176" w14:textId="77777777" w:rsidR="000162AF" w:rsidRPr="00ED4EDD" w:rsidRDefault="000162AF" w:rsidP="000162AF">
      <w:pPr>
        <w:pStyle w:val="Akapitzlist"/>
        <w:numPr>
          <w:ilvl w:val="0"/>
          <w:numId w:val="11"/>
        </w:numPr>
      </w:pPr>
      <w:r w:rsidRPr="00ED4EDD">
        <w:t>protetyk słuchu – 41 osób,</w:t>
      </w:r>
    </w:p>
    <w:p w14:paraId="7CFEFE50" w14:textId="77777777" w:rsidR="000162AF" w:rsidRPr="00ED4EDD" w:rsidRDefault="000162AF" w:rsidP="000162AF">
      <w:pPr>
        <w:pStyle w:val="Akapitzlist"/>
        <w:numPr>
          <w:ilvl w:val="0"/>
          <w:numId w:val="11"/>
        </w:numPr>
      </w:pPr>
      <w:r w:rsidRPr="00ED4EDD">
        <w:t>opiekunka dziecięca – 35 osób</w:t>
      </w:r>
      <w:r w:rsidRPr="00ED4EDD">
        <w:rPr>
          <w:rStyle w:val="Odwoanieprzypisudolnego"/>
        </w:rPr>
        <w:footnoteReference w:id="96"/>
      </w:r>
      <w:r w:rsidRPr="00ED4EDD">
        <w:t>.</w:t>
      </w:r>
    </w:p>
    <w:p w14:paraId="7491AD1B" w14:textId="77777777" w:rsidR="000162AF" w:rsidRPr="000162AF" w:rsidRDefault="000162AF" w:rsidP="000162AF">
      <w:pPr>
        <w:jc w:val="both"/>
        <w:rPr>
          <w:bCs/>
        </w:rPr>
      </w:pPr>
    </w:p>
    <w:p w14:paraId="4B0AE35C" w14:textId="4F4F063A" w:rsidR="003A1125" w:rsidRPr="000F1ECB" w:rsidRDefault="001F061C" w:rsidP="001F061C">
      <w:pPr>
        <w:pStyle w:val="Nagwek2"/>
      </w:pPr>
      <w:bookmarkStart w:id="278" w:name="_Toc73534945"/>
      <w:r>
        <w:t xml:space="preserve">4.3 </w:t>
      </w:r>
      <w:r w:rsidR="003A1125" w:rsidRPr="000F1ECB">
        <w:t>Centrum kultury</w:t>
      </w:r>
      <w:bookmarkEnd w:id="278"/>
    </w:p>
    <w:p w14:paraId="04EA882B" w14:textId="2787009D" w:rsidR="003A1125" w:rsidRDefault="00CD3FA2" w:rsidP="00CD3FA2">
      <w:pPr>
        <w:pStyle w:val="Nagwek3"/>
      </w:pPr>
      <w:bookmarkStart w:id="279" w:name="_Toc73534946"/>
      <w:r>
        <w:t xml:space="preserve">4.3.1 </w:t>
      </w:r>
      <w:r w:rsidR="003A1125">
        <w:t>Potencjał dziedzictwa kulturowego</w:t>
      </w:r>
      <w:bookmarkEnd w:id="279"/>
    </w:p>
    <w:p w14:paraId="7B6A1A42" w14:textId="05053C14" w:rsidR="00926562" w:rsidRPr="00553B6A" w:rsidRDefault="00926562" w:rsidP="00FB4623">
      <w:pPr>
        <w:autoSpaceDE w:val="0"/>
        <w:autoSpaceDN w:val="0"/>
        <w:adjustRightInd w:val="0"/>
        <w:jc w:val="both"/>
        <w:rPr>
          <w:rFonts w:cs="Times New Roman"/>
        </w:rPr>
      </w:pPr>
      <w:r w:rsidRPr="00553B6A">
        <w:rPr>
          <w:rFonts w:cs="Times New Roman"/>
        </w:rPr>
        <w:t xml:space="preserve">Dziedzictwo kulturowe miast wyznaczają tak czynniki materialne, jak i wartości niematerialne, takie jak tradycja, kultura duchowa i społeczna (wierzenia, język, obrzędowość, obyczaje i zwyczaje). W mieście o tak skomplikowanej historii jak Olsztyn, dziedzictwo o charakterze niematerialnym jest bogate </w:t>
      </w:r>
      <w:r w:rsidR="00C61799">
        <w:rPr>
          <w:rFonts w:cs="Times New Roman"/>
        </w:rPr>
        <w:br/>
      </w:r>
      <w:r w:rsidRPr="00553B6A">
        <w:rPr>
          <w:rFonts w:cs="Times New Roman"/>
        </w:rPr>
        <w:t>i różnorodne. Do najistotniejszych wartości niematerialnych Olsztyna niewątpliwie można zaliczyć:</w:t>
      </w:r>
    </w:p>
    <w:p w14:paraId="158132CB" w14:textId="38FB2901" w:rsidR="00C61799" w:rsidRPr="00162434" w:rsidRDefault="00926562" w:rsidP="00162434">
      <w:pPr>
        <w:pStyle w:val="Akapitzlist"/>
        <w:numPr>
          <w:ilvl w:val="0"/>
          <w:numId w:val="11"/>
        </w:numPr>
        <w:autoSpaceDE w:val="0"/>
        <w:autoSpaceDN w:val="0"/>
        <w:adjustRightInd w:val="0"/>
        <w:ind w:left="567" w:hanging="207"/>
        <w:rPr>
          <w:rFonts w:cs="Times New Roman"/>
        </w:rPr>
      </w:pPr>
      <w:r w:rsidRPr="00C61799">
        <w:rPr>
          <w:rFonts w:cs="Times New Roman"/>
        </w:rPr>
        <w:t>historyczne nazwy geograficzne o pochodzeniu średniowiecznym i wcześniejszym (np. Olszyn,</w:t>
      </w:r>
      <w:r w:rsidR="00162434">
        <w:rPr>
          <w:rFonts w:cs="Times New Roman"/>
        </w:rPr>
        <w:t xml:space="preserve"> </w:t>
      </w:r>
      <w:r w:rsidRPr="00162434">
        <w:rPr>
          <w:rFonts w:cs="Times New Roman"/>
        </w:rPr>
        <w:t>Łyna, itd.)</w:t>
      </w:r>
      <w:r w:rsidR="00C61799" w:rsidRPr="00162434">
        <w:rPr>
          <w:rFonts w:cs="Times New Roman"/>
        </w:rPr>
        <w:t>,</w:t>
      </w:r>
    </w:p>
    <w:p w14:paraId="399DDB48" w14:textId="7C6936CA" w:rsidR="00926562" w:rsidRPr="00C61799" w:rsidRDefault="00926562" w:rsidP="00FB4623">
      <w:pPr>
        <w:pStyle w:val="Akapitzlist"/>
        <w:numPr>
          <w:ilvl w:val="0"/>
          <w:numId w:val="11"/>
        </w:numPr>
        <w:autoSpaceDE w:val="0"/>
        <w:autoSpaceDN w:val="0"/>
        <w:adjustRightInd w:val="0"/>
        <w:ind w:left="567" w:hanging="207"/>
        <w:rPr>
          <w:rFonts w:cs="Times New Roman"/>
        </w:rPr>
      </w:pPr>
      <w:r w:rsidRPr="00C61799">
        <w:rPr>
          <w:rFonts w:cs="Times New Roman"/>
        </w:rPr>
        <w:t>wielokulturowość miasta</w:t>
      </w:r>
      <w:r w:rsidR="00C61799">
        <w:rPr>
          <w:rFonts w:cs="Times New Roman"/>
        </w:rPr>
        <w:t>,</w:t>
      </w:r>
    </w:p>
    <w:p w14:paraId="012E0570" w14:textId="005E201F" w:rsidR="00C61799" w:rsidRDefault="00926562" w:rsidP="00FB4623">
      <w:pPr>
        <w:pStyle w:val="Akapitzlist"/>
        <w:numPr>
          <w:ilvl w:val="0"/>
          <w:numId w:val="11"/>
        </w:numPr>
        <w:autoSpaceDE w:val="0"/>
        <w:autoSpaceDN w:val="0"/>
        <w:adjustRightInd w:val="0"/>
        <w:ind w:left="567" w:hanging="207"/>
        <w:rPr>
          <w:rFonts w:cs="Times New Roman"/>
        </w:rPr>
      </w:pPr>
      <w:r w:rsidRPr="00C61799">
        <w:rPr>
          <w:rFonts w:cs="Times New Roman"/>
        </w:rPr>
        <w:t xml:space="preserve">historyczne postaci związane z miastem, </w:t>
      </w:r>
      <w:r w:rsidR="00553B6A" w:rsidRPr="00C61799">
        <w:rPr>
          <w:rFonts w:cs="Times New Roman"/>
        </w:rPr>
        <w:t xml:space="preserve">w tym </w:t>
      </w:r>
      <w:r w:rsidR="00C61799" w:rsidRPr="00C61799">
        <w:rPr>
          <w:rFonts w:cs="Times New Roman"/>
        </w:rPr>
        <w:t xml:space="preserve">m.in. </w:t>
      </w:r>
      <w:r w:rsidRPr="00C61799">
        <w:rPr>
          <w:rFonts w:cs="Times New Roman"/>
        </w:rPr>
        <w:t>Mikołaj Kopernik</w:t>
      </w:r>
      <w:r w:rsidR="00C61799" w:rsidRPr="00C61799">
        <w:rPr>
          <w:rFonts w:cs="Times New Roman"/>
        </w:rPr>
        <w:t xml:space="preserve">, </w:t>
      </w:r>
      <w:r w:rsidRPr="00C61799">
        <w:rPr>
          <w:rFonts w:cs="Times New Roman"/>
        </w:rPr>
        <w:t>Erich Mendelsohn</w:t>
      </w:r>
      <w:r w:rsidR="00C61799" w:rsidRPr="00C61799">
        <w:rPr>
          <w:rFonts w:cs="Times New Roman"/>
        </w:rPr>
        <w:t xml:space="preserve">, </w:t>
      </w:r>
      <w:r w:rsidRPr="00C61799">
        <w:rPr>
          <w:rFonts w:cs="Times New Roman"/>
        </w:rPr>
        <w:t>Feliks Nowowiejski</w:t>
      </w:r>
      <w:r w:rsidR="00C61799" w:rsidRPr="00C61799">
        <w:rPr>
          <w:rFonts w:cs="Times New Roman"/>
        </w:rPr>
        <w:t>,</w:t>
      </w:r>
      <w:r w:rsidR="00C61799">
        <w:rPr>
          <w:rFonts w:cs="Times New Roman"/>
        </w:rPr>
        <w:t xml:space="preserve"> </w:t>
      </w:r>
      <w:r w:rsidRPr="00C61799">
        <w:rPr>
          <w:rFonts w:cs="Times New Roman"/>
        </w:rPr>
        <w:t>Maria Zientara-Malewska</w:t>
      </w:r>
      <w:r w:rsidR="00C61799">
        <w:rPr>
          <w:rFonts w:cs="Times New Roman"/>
        </w:rPr>
        <w:t>,</w:t>
      </w:r>
      <w:r w:rsidR="00FF3922">
        <w:rPr>
          <w:rFonts w:cs="Times New Roman"/>
        </w:rPr>
        <w:t xml:space="preserve"> i in.,</w:t>
      </w:r>
    </w:p>
    <w:p w14:paraId="3DDAEE84" w14:textId="210814FA" w:rsidR="00C61799" w:rsidRDefault="00926562" w:rsidP="00FB4623">
      <w:pPr>
        <w:pStyle w:val="Akapitzlist"/>
        <w:numPr>
          <w:ilvl w:val="0"/>
          <w:numId w:val="11"/>
        </w:numPr>
        <w:autoSpaceDE w:val="0"/>
        <w:autoSpaceDN w:val="0"/>
        <w:adjustRightInd w:val="0"/>
        <w:ind w:left="567" w:hanging="207"/>
        <w:rPr>
          <w:rFonts w:cs="Times New Roman"/>
        </w:rPr>
      </w:pPr>
      <w:r w:rsidRPr="00C61799">
        <w:rPr>
          <w:rFonts w:cs="Times New Roman"/>
        </w:rPr>
        <w:lastRenderedPageBreak/>
        <w:t>tradycj</w:t>
      </w:r>
      <w:r w:rsidR="001B53A4">
        <w:rPr>
          <w:rFonts w:cs="Times New Roman"/>
        </w:rPr>
        <w:t>ę</w:t>
      </w:r>
      <w:r w:rsidRPr="00C61799">
        <w:rPr>
          <w:rFonts w:cs="Times New Roman"/>
        </w:rPr>
        <w:t xml:space="preserve"> Olsztyna jako miasta ogrodu.</w:t>
      </w:r>
    </w:p>
    <w:p w14:paraId="280B2C2D" w14:textId="0714A439" w:rsidR="00CD3FA2" w:rsidRDefault="00FF3922" w:rsidP="00FB4623">
      <w:pPr>
        <w:autoSpaceDE w:val="0"/>
        <w:autoSpaceDN w:val="0"/>
        <w:adjustRightInd w:val="0"/>
        <w:jc w:val="both"/>
        <w:rPr>
          <w:bCs/>
        </w:rPr>
      </w:pPr>
      <w:r>
        <w:rPr>
          <w:bCs/>
        </w:rPr>
        <w:t>Na terenie Olsztyna znajduje się 435 zabytków wpisanych do rejestru zabytków nieruchomych województwa warmińsko-mazurskiego, 1067 obiektów ujętych w gminnej ewidencji zabytków oraz 640 różnego rodzaju obiektów wpisanych do rejestru zabytków ruchomych. W mieście znajduje się także 150 pomników, tablic pamiątkowych, rzeźb, płaskorzeźb i innych form upamiętnienia. Na terenie Olsztyna funkcjonuje szereg instytucji działających w obszarze kultury</w:t>
      </w:r>
      <w:r w:rsidR="00581347">
        <w:rPr>
          <w:bCs/>
        </w:rPr>
        <w:t xml:space="preserve"> </w:t>
      </w:r>
      <w:r w:rsidR="00893FC9">
        <w:rPr>
          <w:bCs/>
        </w:rPr>
        <w:t xml:space="preserve">- 4 muzea, 2 teatry, </w:t>
      </w:r>
      <w:r w:rsidR="00893FC9">
        <w:rPr>
          <w:bCs/>
        </w:rPr>
        <w:br/>
      </w:r>
      <w:r w:rsidR="005D45B4">
        <w:rPr>
          <w:bCs/>
        </w:rPr>
        <w:t>1 filharmonia, 16 bibliotek, 5 obiektów działalności wystawienniczej, 7 domów i ośrodków kultury, klubów i świetlic, 3 kina.</w:t>
      </w:r>
      <w:r w:rsidR="001069A9">
        <w:rPr>
          <w:bCs/>
        </w:rPr>
        <w:t xml:space="preserve"> Prowadzone są przez samorząd, część działa jako podmioty prywatne – fundacje, stowarzyszenia. </w:t>
      </w:r>
      <w:r w:rsidR="005D45B4">
        <w:rPr>
          <w:bCs/>
        </w:rPr>
        <w:t>Instytucje te zapewniają dostęp do potrzeb wyższego rzędu i możliwość obcowania z różnorodną, bogatą ofertą kulturalną.</w:t>
      </w:r>
    </w:p>
    <w:p w14:paraId="6DC5E1DF" w14:textId="428EBAB4" w:rsidR="00DB4007" w:rsidRPr="00824455" w:rsidRDefault="00824455" w:rsidP="00824455">
      <w:pPr>
        <w:pStyle w:val="Legenda"/>
        <w:rPr>
          <w:sz w:val="22"/>
          <w:szCs w:val="22"/>
          <w:lang w:val="pl-PL"/>
        </w:rPr>
      </w:pPr>
      <w:bookmarkStart w:id="280" w:name="_Toc73516154"/>
      <w:r w:rsidRPr="00824455">
        <w:rPr>
          <w:sz w:val="22"/>
          <w:szCs w:val="22"/>
        </w:rPr>
        <w:t xml:space="preserve">Wykres </w:t>
      </w:r>
      <w:r w:rsidRPr="00824455">
        <w:rPr>
          <w:sz w:val="22"/>
          <w:szCs w:val="22"/>
        </w:rPr>
        <w:fldChar w:fldCharType="begin"/>
      </w:r>
      <w:r w:rsidRPr="00824455">
        <w:rPr>
          <w:sz w:val="22"/>
          <w:szCs w:val="22"/>
        </w:rPr>
        <w:instrText xml:space="preserve"> SEQ Wykres \* ARABIC </w:instrText>
      </w:r>
      <w:r w:rsidRPr="00824455">
        <w:rPr>
          <w:sz w:val="22"/>
          <w:szCs w:val="22"/>
        </w:rPr>
        <w:fldChar w:fldCharType="separate"/>
      </w:r>
      <w:r w:rsidR="00AD58C3">
        <w:rPr>
          <w:noProof/>
          <w:sz w:val="22"/>
          <w:szCs w:val="22"/>
        </w:rPr>
        <w:t>92</w:t>
      </w:r>
      <w:r w:rsidRPr="00824455">
        <w:rPr>
          <w:sz w:val="22"/>
          <w:szCs w:val="22"/>
        </w:rPr>
        <w:fldChar w:fldCharType="end"/>
      </w:r>
      <w:r w:rsidRPr="00824455">
        <w:rPr>
          <w:sz w:val="22"/>
          <w:szCs w:val="22"/>
        </w:rPr>
        <w:t xml:space="preserve">. </w:t>
      </w:r>
      <w:r w:rsidRPr="00824455">
        <w:rPr>
          <w:bCs/>
          <w:sz w:val="22"/>
          <w:szCs w:val="22"/>
          <w:lang w:val="pl-PL"/>
        </w:rPr>
        <w:t>Placówki kultury w roku 2019</w:t>
      </w:r>
      <w:bookmarkEnd w:id="280"/>
    </w:p>
    <w:p w14:paraId="00A732A6" w14:textId="44C91D7F" w:rsidR="00DB4007" w:rsidRDefault="00DB4007" w:rsidP="00DB4007">
      <w:pPr>
        <w:autoSpaceDE w:val="0"/>
        <w:autoSpaceDN w:val="0"/>
        <w:adjustRightInd w:val="0"/>
        <w:spacing w:after="0" w:line="240" w:lineRule="auto"/>
        <w:jc w:val="center"/>
        <w:rPr>
          <w:bCs/>
        </w:rPr>
      </w:pPr>
      <w:r>
        <w:rPr>
          <w:noProof/>
          <w:lang w:eastAsia="pl-PL"/>
        </w:rPr>
        <w:drawing>
          <wp:inline distT="0" distB="0" distL="0" distR="0" wp14:anchorId="727D7B9B" wp14:editId="72654E77">
            <wp:extent cx="4418381" cy="2553005"/>
            <wp:effectExtent l="0" t="0" r="1270" b="0"/>
            <wp:docPr id="34" name="Wykres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731135FE" w14:textId="77777777" w:rsidR="00DB4007" w:rsidRPr="00394AE5" w:rsidRDefault="00DB4007" w:rsidP="00DB4007">
      <w:pPr>
        <w:spacing w:after="0" w:line="240" w:lineRule="auto"/>
        <w:jc w:val="center"/>
        <w:rPr>
          <w:i/>
          <w:sz w:val="20"/>
          <w:szCs w:val="20"/>
        </w:rPr>
      </w:pPr>
      <w:r w:rsidRPr="00394AE5">
        <w:rPr>
          <w:i/>
          <w:sz w:val="20"/>
          <w:szCs w:val="20"/>
        </w:rPr>
        <w:t>źródło: opracowanie własne na podstawie danych GUS</w:t>
      </w:r>
    </w:p>
    <w:p w14:paraId="5EEB4380" w14:textId="77777777" w:rsidR="00DB4007" w:rsidRDefault="00DB4007" w:rsidP="00FF3922">
      <w:pPr>
        <w:autoSpaceDE w:val="0"/>
        <w:autoSpaceDN w:val="0"/>
        <w:adjustRightInd w:val="0"/>
        <w:spacing w:after="0" w:line="240" w:lineRule="auto"/>
        <w:jc w:val="both"/>
        <w:rPr>
          <w:bCs/>
        </w:rPr>
      </w:pPr>
    </w:p>
    <w:p w14:paraId="0E9A97D4" w14:textId="7B3B9BE4" w:rsidR="00C20E21" w:rsidRPr="00C20E21" w:rsidRDefault="00C20E21" w:rsidP="00C20E21">
      <w:pPr>
        <w:autoSpaceDE w:val="0"/>
        <w:autoSpaceDN w:val="0"/>
        <w:adjustRightInd w:val="0"/>
        <w:spacing w:line="240" w:lineRule="auto"/>
        <w:jc w:val="both"/>
        <w:rPr>
          <w:bCs/>
        </w:rPr>
      </w:pPr>
      <w:r w:rsidRPr="00C20E21">
        <w:rPr>
          <w:bCs/>
        </w:rPr>
        <w:t>Obszary chronione wpisem do rejestrów zabytków nieruchomych znajdują się głównie w Śródmieściu</w:t>
      </w:r>
      <w:r w:rsidR="00162434">
        <w:rPr>
          <w:bCs/>
        </w:rPr>
        <w:t xml:space="preserve"> </w:t>
      </w:r>
      <w:r w:rsidRPr="00C20E21">
        <w:rPr>
          <w:bCs/>
        </w:rPr>
        <w:t xml:space="preserve"> (stare miasto), osiedl</w:t>
      </w:r>
      <w:r w:rsidR="00162434">
        <w:rPr>
          <w:bCs/>
        </w:rPr>
        <w:t>ach</w:t>
      </w:r>
      <w:r w:rsidRPr="00C20E21">
        <w:rPr>
          <w:bCs/>
        </w:rPr>
        <w:t xml:space="preserve"> Kortowo (kampus UWM), Kościuszki, Podgrodzie, Wojska Polskiego. Śródmieście oraz Zatorze zawierają znaczną liczbę obiektów zabytkowych.</w:t>
      </w:r>
      <w:r w:rsidR="00162434">
        <w:rPr>
          <w:bCs/>
        </w:rPr>
        <w:t xml:space="preserve"> Także w </w:t>
      </w:r>
      <w:r w:rsidRPr="00C20E21">
        <w:rPr>
          <w:bCs/>
        </w:rPr>
        <w:t xml:space="preserve"> Śródmieściu </w:t>
      </w:r>
      <w:r w:rsidR="00162434" w:rsidRPr="00C20E21">
        <w:rPr>
          <w:bCs/>
        </w:rPr>
        <w:t xml:space="preserve"> znajduje się jedyny obszar chroniony wpisem do rejestru zabytków archeologicznych</w:t>
      </w:r>
      <w:r w:rsidR="00162434" w:rsidRPr="00C20E21">
        <w:rPr>
          <w:bCs/>
          <w:vertAlign w:val="superscript"/>
        </w:rPr>
        <w:footnoteReference w:id="97"/>
      </w:r>
      <w:r w:rsidR="00162434" w:rsidRPr="00C20E21">
        <w:rPr>
          <w:bCs/>
        </w:rPr>
        <w:t xml:space="preserve">. </w:t>
      </w:r>
      <w:r w:rsidRPr="00C20E21">
        <w:rPr>
          <w:bCs/>
        </w:rPr>
        <w:t>Zawiera on „nawarstwienia kulturowe starego miasta, stanowiące odrębną wartość dotyczącą wiedzy na temat wyglądu i funkcjonowania miasta okresu lokacji”</w:t>
      </w:r>
      <w:r w:rsidRPr="00C20E21">
        <w:rPr>
          <w:bCs/>
          <w:vertAlign w:val="superscript"/>
        </w:rPr>
        <w:footnoteReference w:id="98"/>
      </w:r>
      <w:r w:rsidRPr="00C20E21">
        <w:rPr>
          <w:bCs/>
        </w:rPr>
        <w:t>.</w:t>
      </w:r>
    </w:p>
    <w:p w14:paraId="5BBF6B04" w14:textId="19A2B98C" w:rsidR="00C20E21" w:rsidRDefault="00C20E21" w:rsidP="00C20E21">
      <w:pPr>
        <w:autoSpaceDE w:val="0"/>
        <w:autoSpaceDN w:val="0"/>
        <w:adjustRightInd w:val="0"/>
        <w:spacing w:line="240" w:lineRule="auto"/>
        <w:jc w:val="both"/>
        <w:rPr>
          <w:bCs/>
        </w:rPr>
      </w:pPr>
    </w:p>
    <w:p w14:paraId="12B4F2BC" w14:textId="3823ACC4" w:rsidR="00893FC9" w:rsidRDefault="00893FC9">
      <w:pPr>
        <w:rPr>
          <w:bCs/>
        </w:rPr>
      </w:pPr>
      <w:r>
        <w:rPr>
          <w:bCs/>
        </w:rPr>
        <w:br w:type="page"/>
      </w:r>
    </w:p>
    <w:p w14:paraId="4BA7BB69" w14:textId="37FB51AC" w:rsidR="00893FC9" w:rsidRPr="00893FC9" w:rsidRDefault="00893FC9" w:rsidP="00893FC9">
      <w:pPr>
        <w:pStyle w:val="Legenda"/>
        <w:rPr>
          <w:bCs/>
          <w:sz w:val="22"/>
          <w:szCs w:val="22"/>
        </w:rPr>
      </w:pPr>
      <w:bookmarkStart w:id="281" w:name="_Toc73516184"/>
      <w:r w:rsidRPr="00893FC9">
        <w:rPr>
          <w:sz w:val="22"/>
          <w:szCs w:val="22"/>
        </w:rPr>
        <w:lastRenderedPageBreak/>
        <w:t xml:space="preserve">Rysunek </w:t>
      </w:r>
      <w:r w:rsidRPr="00893FC9">
        <w:rPr>
          <w:sz w:val="22"/>
          <w:szCs w:val="22"/>
        </w:rPr>
        <w:fldChar w:fldCharType="begin"/>
      </w:r>
      <w:r w:rsidRPr="00893FC9">
        <w:rPr>
          <w:sz w:val="22"/>
          <w:szCs w:val="22"/>
        </w:rPr>
        <w:instrText xml:space="preserve"> SEQ Rysunek \* ARABIC </w:instrText>
      </w:r>
      <w:r w:rsidRPr="00893FC9">
        <w:rPr>
          <w:sz w:val="22"/>
          <w:szCs w:val="22"/>
        </w:rPr>
        <w:fldChar w:fldCharType="separate"/>
      </w:r>
      <w:r w:rsidR="00AD58C3">
        <w:rPr>
          <w:noProof/>
          <w:sz w:val="22"/>
          <w:szCs w:val="22"/>
        </w:rPr>
        <w:t>19</w:t>
      </w:r>
      <w:r w:rsidRPr="00893FC9">
        <w:rPr>
          <w:sz w:val="22"/>
          <w:szCs w:val="22"/>
        </w:rPr>
        <w:fldChar w:fldCharType="end"/>
      </w:r>
      <w:r w:rsidRPr="00893FC9">
        <w:rPr>
          <w:sz w:val="22"/>
          <w:szCs w:val="22"/>
        </w:rPr>
        <w:t xml:space="preserve">. </w:t>
      </w:r>
      <w:r w:rsidRPr="00893FC9">
        <w:rPr>
          <w:sz w:val="22"/>
          <w:szCs w:val="22"/>
          <w:lang w:val="pl-PL"/>
        </w:rPr>
        <w:t>Ochrona dziedzictwa kulturowego w Olsztynie</w:t>
      </w:r>
      <w:bookmarkEnd w:id="281"/>
    </w:p>
    <w:p w14:paraId="2EA83372" w14:textId="77777777" w:rsidR="009877D3" w:rsidRDefault="00C20E21" w:rsidP="009877D3">
      <w:pPr>
        <w:keepNext/>
        <w:autoSpaceDE w:val="0"/>
        <w:autoSpaceDN w:val="0"/>
        <w:adjustRightInd w:val="0"/>
        <w:spacing w:line="240" w:lineRule="auto"/>
        <w:jc w:val="center"/>
      </w:pPr>
      <w:r w:rsidRPr="00C20E21">
        <w:rPr>
          <w:bCs/>
          <w:noProof/>
          <w:lang w:eastAsia="pl-PL"/>
        </w:rPr>
        <w:drawing>
          <wp:inline distT="0" distB="0" distL="0" distR="0" wp14:anchorId="4087F1AE" wp14:editId="3F3CE273">
            <wp:extent cx="5376672" cy="5751238"/>
            <wp:effectExtent l="0" t="0" r="0" b="1905"/>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392905" cy="5768602"/>
                    </a:xfrm>
                    <a:prstGeom prst="rect">
                      <a:avLst/>
                    </a:prstGeom>
                  </pic:spPr>
                </pic:pic>
              </a:graphicData>
            </a:graphic>
          </wp:inline>
        </w:drawing>
      </w:r>
    </w:p>
    <w:p w14:paraId="70EB4803" w14:textId="240CAABC" w:rsidR="00893FC9" w:rsidRPr="00893FC9" w:rsidRDefault="00893FC9" w:rsidP="00893FC9">
      <w:pPr>
        <w:spacing w:after="0" w:line="240" w:lineRule="auto"/>
        <w:jc w:val="center"/>
        <w:rPr>
          <w:i/>
          <w:sz w:val="20"/>
          <w:szCs w:val="20"/>
        </w:rPr>
      </w:pPr>
      <w:r w:rsidRPr="00893FC9">
        <w:rPr>
          <w:i/>
          <w:sz w:val="20"/>
          <w:szCs w:val="20"/>
        </w:rPr>
        <w:t>ź</w:t>
      </w:r>
      <w:r w:rsidR="009877D3" w:rsidRPr="00893FC9">
        <w:rPr>
          <w:i/>
          <w:sz w:val="20"/>
          <w:szCs w:val="20"/>
        </w:rPr>
        <w:t>ródło: SUiKZP; Załącznik nr 3 do Uchwały Nr XXXVII/660/13 Rady Miasta Olsztyna</w:t>
      </w:r>
    </w:p>
    <w:p w14:paraId="597971D6" w14:textId="6B60856B" w:rsidR="00C20E21" w:rsidRPr="00893FC9" w:rsidRDefault="009877D3" w:rsidP="00893FC9">
      <w:pPr>
        <w:spacing w:after="0" w:line="240" w:lineRule="auto"/>
        <w:jc w:val="center"/>
        <w:rPr>
          <w:bCs/>
          <w:i/>
          <w:sz w:val="20"/>
          <w:szCs w:val="20"/>
        </w:rPr>
      </w:pPr>
      <w:r w:rsidRPr="00893FC9">
        <w:rPr>
          <w:i/>
          <w:sz w:val="20"/>
          <w:szCs w:val="20"/>
        </w:rPr>
        <w:t>z dnia 15 maja 2013 r.; Mapa nr 3</w:t>
      </w:r>
    </w:p>
    <w:p w14:paraId="5E98ACBA" w14:textId="77777777" w:rsidR="00C20E21" w:rsidRPr="00C20E21" w:rsidRDefault="00C20E21" w:rsidP="00C20E21">
      <w:pPr>
        <w:autoSpaceDE w:val="0"/>
        <w:autoSpaceDN w:val="0"/>
        <w:adjustRightInd w:val="0"/>
        <w:spacing w:line="240" w:lineRule="auto"/>
        <w:jc w:val="both"/>
        <w:rPr>
          <w:bCs/>
        </w:rPr>
      </w:pPr>
    </w:p>
    <w:p w14:paraId="2227546F" w14:textId="77777777" w:rsidR="00C20E21" w:rsidRPr="00C20E21" w:rsidRDefault="00C20E21" w:rsidP="00C20E21">
      <w:pPr>
        <w:autoSpaceDE w:val="0"/>
        <w:autoSpaceDN w:val="0"/>
        <w:adjustRightInd w:val="0"/>
        <w:spacing w:line="240" w:lineRule="auto"/>
        <w:jc w:val="both"/>
        <w:rPr>
          <w:bCs/>
        </w:rPr>
      </w:pPr>
      <w:r w:rsidRPr="00C20E21">
        <w:rPr>
          <w:bCs/>
        </w:rPr>
        <w:t>W SUiKZP Olsztyna zostało wyróżnionych 6 rodzajów stref konserwatorskich, czyli obszarów, dla których zostały zaproponowane różne formy ochrony. Wyróżnia się:</w:t>
      </w:r>
    </w:p>
    <w:p w14:paraId="59DED946" w14:textId="77777777" w:rsidR="00C20E21" w:rsidRPr="00C20E21" w:rsidRDefault="00C20E21" w:rsidP="00C20E21">
      <w:pPr>
        <w:numPr>
          <w:ilvl w:val="0"/>
          <w:numId w:val="41"/>
        </w:numPr>
        <w:autoSpaceDE w:val="0"/>
        <w:autoSpaceDN w:val="0"/>
        <w:adjustRightInd w:val="0"/>
        <w:spacing w:line="240" w:lineRule="auto"/>
        <w:jc w:val="both"/>
        <w:rPr>
          <w:bCs/>
        </w:rPr>
      </w:pPr>
      <w:r w:rsidRPr="00C20E21">
        <w:rPr>
          <w:bCs/>
        </w:rPr>
        <w:t>Strefa A – pełna ochrona konserwatorska,</w:t>
      </w:r>
    </w:p>
    <w:p w14:paraId="5542400C" w14:textId="77777777" w:rsidR="00C20E21" w:rsidRPr="00C20E21" w:rsidRDefault="00C20E21" w:rsidP="00C20E21">
      <w:pPr>
        <w:numPr>
          <w:ilvl w:val="0"/>
          <w:numId w:val="41"/>
        </w:numPr>
        <w:autoSpaceDE w:val="0"/>
        <w:autoSpaceDN w:val="0"/>
        <w:adjustRightInd w:val="0"/>
        <w:spacing w:line="240" w:lineRule="auto"/>
        <w:jc w:val="both"/>
        <w:rPr>
          <w:bCs/>
        </w:rPr>
      </w:pPr>
      <w:r w:rsidRPr="00C20E21">
        <w:rPr>
          <w:bCs/>
        </w:rPr>
        <w:t>Strefa B – częściowa ochrona konserwatorska,</w:t>
      </w:r>
    </w:p>
    <w:p w14:paraId="69A00298" w14:textId="77777777" w:rsidR="00C20E21" w:rsidRPr="00C20E21" w:rsidRDefault="00C20E21" w:rsidP="00C20E21">
      <w:pPr>
        <w:numPr>
          <w:ilvl w:val="0"/>
          <w:numId w:val="41"/>
        </w:numPr>
        <w:autoSpaceDE w:val="0"/>
        <w:autoSpaceDN w:val="0"/>
        <w:adjustRightInd w:val="0"/>
        <w:spacing w:line="240" w:lineRule="auto"/>
        <w:jc w:val="both"/>
        <w:rPr>
          <w:bCs/>
        </w:rPr>
      </w:pPr>
      <w:r w:rsidRPr="00C20E21">
        <w:rPr>
          <w:bCs/>
        </w:rPr>
        <w:t>Strefa K – ochrona krajobrazu,</w:t>
      </w:r>
    </w:p>
    <w:p w14:paraId="3A90732F" w14:textId="77777777" w:rsidR="00C20E21" w:rsidRPr="00C20E21" w:rsidRDefault="00C20E21" w:rsidP="00C20E21">
      <w:pPr>
        <w:numPr>
          <w:ilvl w:val="0"/>
          <w:numId w:val="41"/>
        </w:numPr>
        <w:autoSpaceDE w:val="0"/>
        <w:autoSpaceDN w:val="0"/>
        <w:adjustRightInd w:val="0"/>
        <w:spacing w:line="240" w:lineRule="auto"/>
        <w:jc w:val="both"/>
        <w:rPr>
          <w:bCs/>
        </w:rPr>
      </w:pPr>
      <w:r w:rsidRPr="00C20E21">
        <w:rPr>
          <w:bCs/>
        </w:rPr>
        <w:t>Strefa E – ochrona ekspozycji,</w:t>
      </w:r>
    </w:p>
    <w:p w14:paraId="529FB67A" w14:textId="77777777" w:rsidR="00C20E21" w:rsidRPr="00C20E21" w:rsidRDefault="00C20E21" w:rsidP="00C20E21">
      <w:pPr>
        <w:numPr>
          <w:ilvl w:val="0"/>
          <w:numId w:val="41"/>
        </w:numPr>
        <w:autoSpaceDE w:val="0"/>
        <w:autoSpaceDN w:val="0"/>
        <w:adjustRightInd w:val="0"/>
        <w:spacing w:line="240" w:lineRule="auto"/>
        <w:jc w:val="both"/>
        <w:rPr>
          <w:bCs/>
        </w:rPr>
      </w:pPr>
      <w:r w:rsidRPr="00C20E21">
        <w:rPr>
          <w:bCs/>
        </w:rPr>
        <w:t>Strefa W – bezwzględna ochrona archeologiczna,</w:t>
      </w:r>
    </w:p>
    <w:p w14:paraId="54284F72" w14:textId="77777777" w:rsidR="00C20E21" w:rsidRPr="00C20E21" w:rsidRDefault="00C20E21" w:rsidP="00C20E21">
      <w:pPr>
        <w:numPr>
          <w:ilvl w:val="0"/>
          <w:numId w:val="41"/>
        </w:numPr>
        <w:autoSpaceDE w:val="0"/>
        <w:autoSpaceDN w:val="0"/>
        <w:adjustRightInd w:val="0"/>
        <w:spacing w:line="240" w:lineRule="auto"/>
        <w:jc w:val="both"/>
        <w:rPr>
          <w:bCs/>
        </w:rPr>
      </w:pPr>
      <w:r w:rsidRPr="00C20E21">
        <w:rPr>
          <w:bCs/>
        </w:rPr>
        <w:lastRenderedPageBreak/>
        <w:t>Strefa OW – strefa obserwacji archeologicznej</w:t>
      </w:r>
      <w:r w:rsidRPr="00C20E21">
        <w:rPr>
          <w:bCs/>
          <w:vertAlign w:val="superscript"/>
        </w:rPr>
        <w:footnoteReference w:id="99"/>
      </w:r>
      <w:r w:rsidRPr="00C20E21">
        <w:rPr>
          <w:bCs/>
        </w:rPr>
        <w:t>.</w:t>
      </w:r>
    </w:p>
    <w:p w14:paraId="297C9C30" w14:textId="64D1F51D" w:rsidR="00C20E21" w:rsidRPr="00C20E21" w:rsidRDefault="00C20E21" w:rsidP="00C20E21">
      <w:pPr>
        <w:autoSpaceDE w:val="0"/>
        <w:autoSpaceDN w:val="0"/>
        <w:adjustRightInd w:val="0"/>
        <w:spacing w:line="240" w:lineRule="auto"/>
        <w:jc w:val="both"/>
        <w:rPr>
          <w:bCs/>
        </w:rPr>
      </w:pPr>
      <w:r w:rsidRPr="00C20E21">
        <w:rPr>
          <w:bCs/>
        </w:rPr>
        <w:t>Strefa pełnej ochrony konserwatorskiej w Olsztynie obejmuje stare miasto. Do strefy B zaliczono rozległe tereny w centrum miasta, głównie w osiedlach: Śródmieście, Zatorze, Wojska Polskiego, Kościuszki, Grunwaldzkie. Dodano także poszczególne tereny w pasie od Gutkowa do osiedla Mazurskie</w:t>
      </w:r>
      <w:r w:rsidR="00162434">
        <w:rPr>
          <w:bCs/>
        </w:rPr>
        <w:t>go</w:t>
      </w:r>
      <w:r w:rsidRPr="00C20E21">
        <w:rPr>
          <w:bCs/>
        </w:rPr>
        <w:t xml:space="preserve"> oraz dalszą część kampusu UWM w Kortowie, która obecnie nie jest obszarem chronionym. Pomniejsze obszary oznaczone jako strefa B znajdują się w większości dzielnic. </w:t>
      </w:r>
    </w:p>
    <w:p w14:paraId="2C8093C3" w14:textId="77777777" w:rsidR="00C20E21" w:rsidRPr="00C20E21" w:rsidRDefault="00C20E21" w:rsidP="00C20E21">
      <w:pPr>
        <w:autoSpaceDE w:val="0"/>
        <w:autoSpaceDN w:val="0"/>
        <w:adjustRightInd w:val="0"/>
        <w:spacing w:line="240" w:lineRule="auto"/>
        <w:jc w:val="both"/>
        <w:rPr>
          <w:bCs/>
        </w:rPr>
      </w:pPr>
      <w:r w:rsidRPr="00C20E21">
        <w:rPr>
          <w:bCs/>
        </w:rPr>
        <w:t>Proponowane strefy ochrony krajobrazu znajdują się przede wszystkim w pasie od osiedla Wojska Polskiego do granicy miasta w Kortowie. Są to tereny zielone „stanowiące dopełnienie kompozycji lub charakterystyczne tło dla zabytkowych zespołów”</w:t>
      </w:r>
      <w:r w:rsidRPr="00C20E21">
        <w:rPr>
          <w:bCs/>
          <w:vertAlign w:val="superscript"/>
        </w:rPr>
        <w:footnoteReference w:id="100"/>
      </w:r>
      <w:r w:rsidRPr="00C20E21">
        <w:rPr>
          <w:bCs/>
        </w:rPr>
        <w:t>.</w:t>
      </w:r>
    </w:p>
    <w:p w14:paraId="5BB16DC4" w14:textId="6AEE0EA1" w:rsidR="00C20E21" w:rsidRDefault="00C20E21" w:rsidP="00C20E21">
      <w:pPr>
        <w:autoSpaceDE w:val="0"/>
        <w:autoSpaceDN w:val="0"/>
        <w:adjustRightInd w:val="0"/>
        <w:spacing w:line="240" w:lineRule="auto"/>
        <w:jc w:val="both"/>
        <w:rPr>
          <w:bCs/>
        </w:rPr>
      </w:pPr>
      <w:r w:rsidRPr="00C20E21">
        <w:rPr>
          <w:bCs/>
        </w:rPr>
        <w:t>Strefa bezwzględnej ochrony archeologicznej odpowiada obecnym terenom wpisanym do rejestru zabytków archeologicznych. Natomiast strefy obserwacji archeologicznej zostały wyznaczone poza centrum miasta w miejscach skupisk stanowisk archeologicznych</w:t>
      </w:r>
      <w:r w:rsidRPr="00C20E21">
        <w:rPr>
          <w:bCs/>
          <w:vertAlign w:val="superscript"/>
        </w:rPr>
        <w:footnoteReference w:id="101"/>
      </w:r>
      <w:r w:rsidRPr="00C20E21">
        <w:rPr>
          <w:bCs/>
        </w:rPr>
        <w:t>.</w:t>
      </w:r>
    </w:p>
    <w:p w14:paraId="40CCCE72" w14:textId="7C8D07C4" w:rsidR="00C20E21" w:rsidRPr="00C312B9" w:rsidRDefault="00C312B9" w:rsidP="00C312B9">
      <w:pPr>
        <w:pStyle w:val="Legenda"/>
        <w:rPr>
          <w:sz w:val="22"/>
          <w:szCs w:val="22"/>
          <w:lang w:val="pl-PL"/>
        </w:rPr>
      </w:pPr>
      <w:bookmarkStart w:id="282" w:name="_Toc73516185"/>
      <w:r w:rsidRPr="00C312B9">
        <w:rPr>
          <w:sz w:val="22"/>
          <w:szCs w:val="22"/>
          <w:lang w:val="pl-PL"/>
        </w:rPr>
        <w:t xml:space="preserve">Rysunek </w:t>
      </w:r>
      <w:r w:rsidRPr="00C312B9">
        <w:rPr>
          <w:sz w:val="22"/>
          <w:szCs w:val="22"/>
        </w:rPr>
        <w:fldChar w:fldCharType="begin"/>
      </w:r>
      <w:r w:rsidRPr="00C312B9">
        <w:rPr>
          <w:sz w:val="22"/>
          <w:szCs w:val="22"/>
          <w:lang w:val="pl-PL"/>
        </w:rPr>
        <w:instrText xml:space="preserve"> SEQ Rysunek \* ARABIC </w:instrText>
      </w:r>
      <w:r w:rsidRPr="00C312B9">
        <w:rPr>
          <w:sz w:val="22"/>
          <w:szCs w:val="22"/>
        </w:rPr>
        <w:fldChar w:fldCharType="separate"/>
      </w:r>
      <w:r w:rsidR="00AD58C3">
        <w:rPr>
          <w:noProof/>
          <w:sz w:val="22"/>
          <w:szCs w:val="22"/>
          <w:lang w:val="pl-PL"/>
        </w:rPr>
        <w:t>20</w:t>
      </w:r>
      <w:r w:rsidRPr="00C312B9">
        <w:rPr>
          <w:sz w:val="22"/>
          <w:szCs w:val="22"/>
        </w:rPr>
        <w:fldChar w:fldCharType="end"/>
      </w:r>
      <w:r w:rsidRPr="00C312B9">
        <w:rPr>
          <w:sz w:val="22"/>
          <w:szCs w:val="22"/>
          <w:lang w:val="pl-PL"/>
        </w:rPr>
        <w:t>. Ochrona dziedzictwa kulturowego proponowana w SUiKZP</w:t>
      </w:r>
      <w:bookmarkEnd w:id="282"/>
    </w:p>
    <w:p w14:paraId="0F6550EC" w14:textId="77777777" w:rsidR="00320C39" w:rsidRDefault="00C20E21" w:rsidP="00320C39">
      <w:pPr>
        <w:keepNext/>
        <w:autoSpaceDE w:val="0"/>
        <w:autoSpaceDN w:val="0"/>
        <w:adjustRightInd w:val="0"/>
        <w:spacing w:line="240" w:lineRule="auto"/>
        <w:jc w:val="center"/>
      </w:pPr>
      <w:r w:rsidRPr="00C20E21">
        <w:rPr>
          <w:bCs/>
          <w:noProof/>
          <w:lang w:eastAsia="pl-PL"/>
        </w:rPr>
        <w:drawing>
          <wp:inline distT="0" distB="0" distL="0" distR="0" wp14:anchorId="151E6C77" wp14:editId="4B33DB42">
            <wp:extent cx="5760720" cy="5024755"/>
            <wp:effectExtent l="0" t="0" r="0" b="4445"/>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60720" cy="5024755"/>
                    </a:xfrm>
                    <a:prstGeom prst="rect">
                      <a:avLst/>
                    </a:prstGeom>
                  </pic:spPr>
                </pic:pic>
              </a:graphicData>
            </a:graphic>
          </wp:inline>
        </w:drawing>
      </w:r>
    </w:p>
    <w:p w14:paraId="0C18C7E1" w14:textId="0B4AE7F2" w:rsidR="00C20E21" w:rsidRPr="00C312B9" w:rsidRDefault="00C312B9" w:rsidP="00C312B9">
      <w:pPr>
        <w:rPr>
          <w:bCs/>
          <w:i/>
          <w:sz w:val="20"/>
          <w:szCs w:val="20"/>
        </w:rPr>
      </w:pPr>
      <w:r>
        <w:rPr>
          <w:i/>
          <w:sz w:val="20"/>
          <w:szCs w:val="20"/>
        </w:rPr>
        <w:t>ź</w:t>
      </w:r>
      <w:r w:rsidR="00320C39" w:rsidRPr="00C312B9">
        <w:rPr>
          <w:i/>
          <w:sz w:val="20"/>
          <w:szCs w:val="20"/>
        </w:rPr>
        <w:t>ródło: Załącznik nr 3 do Uchwały Nr XXXVII/660/13 Rady Miasta Olsztyna z dnia 15 maja 2013 r.; Mapa nr 2</w:t>
      </w:r>
    </w:p>
    <w:p w14:paraId="0F8716DE" w14:textId="00C5D4F8" w:rsidR="005D45B4" w:rsidRDefault="00C20E21" w:rsidP="00C20E21">
      <w:pPr>
        <w:autoSpaceDE w:val="0"/>
        <w:autoSpaceDN w:val="0"/>
        <w:adjustRightInd w:val="0"/>
        <w:spacing w:line="240" w:lineRule="auto"/>
        <w:jc w:val="both"/>
        <w:rPr>
          <w:bCs/>
        </w:rPr>
      </w:pPr>
      <w:r w:rsidRPr="00C20E21">
        <w:rPr>
          <w:bCs/>
        </w:rPr>
        <w:lastRenderedPageBreak/>
        <w:t>Zarówno według studium jak i według rejestru zabytków tereny najcenniejsze pod względem dziedzictwa kulturowego znajdują się w środkowym pasie miasta. Szczególnie istotny jest obszar Śródmieścia, gdzie łączą się różne formy ochrony (rzeczywiste i proponowane).</w:t>
      </w:r>
    </w:p>
    <w:p w14:paraId="2D82AC02" w14:textId="200A709A" w:rsidR="00C20E21" w:rsidRPr="005D45B4" w:rsidRDefault="00C20E21" w:rsidP="00FF3922">
      <w:pPr>
        <w:autoSpaceDE w:val="0"/>
        <w:autoSpaceDN w:val="0"/>
        <w:adjustRightInd w:val="0"/>
        <w:spacing w:after="0" w:line="240" w:lineRule="auto"/>
        <w:jc w:val="both"/>
        <w:rPr>
          <w:bCs/>
        </w:rPr>
      </w:pPr>
    </w:p>
    <w:p w14:paraId="1334A323" w14:textId="7D199DAF" w:rsidR="003A1125" w:rsidRDefault="00E37859" w:rsidP="00E37859">
      <w:pPr>
        <w:pStyle w:val="Nagwek3"/>
      </w:pPr>
      <w:bookmarkStart w:id="283" w:name="_Toc73534947"/>
      <w:r>
        <w:t xml:space="preserve">4.3.2 </w:t>
      </w:r>
      <w:r w:rsidR="003A1125" w:rsidRPr="00E37859">
        <w:t>Uczestnictwo w kulturze</w:t>
      </w:r>
      <w:bookmarkEnd w:id="283"/>
    </w:p>
    <w:p w14:paraId="210404CA" w14:textId="45F6FB59" w:rsidR="0006657C" w:rsidRDefault="0006657C" w:rsidP="0006657C">
      <w:pPr>
        <w:tabs>
          <w:tab w:val="num" w:pos="720"/>
        </w:tabs>
        <w:jc w:val="both"/>
      </w:pPr>
      <w:r w:rsidRPr="00ED4EDD">
        <w:t>Wyrazem atrakcyjności oferty kulturalnej jest uczestnictwo w imprezach organizowanych przez instytucje kultury. Wskaźnik ten jest również wykorzystywany, jako jedna z miar aktywności społecznej</w:t>
      </w:r>
      <w:r w:rsidRPr="00ED4EDD">
        <w:rPr>
          <w:rStyle w:val="Odwoanieprzypisudolnego"/>
        </w:rPr>
        <w:footnoteReference w:id="102"/>
      </w:r>
      <w:r w:rsidRPr="00ED4EDD">
        <w:t>.</w:t>
      </w:r>
    </w:p>
    <w:p w14:paraId="2F155FFF" w14:textId="47912FE0" w:rsidR="00B61A11" w:rsidRDefault="00F07F63" w:rsidP="0006657C">
      <w:pPr>
        <w:tabs>
          <w:tab w:val="num" w:pos="720"/>
        </w:tabs>
        <w:jc w:val="both"/>
      </w:pPr>
      <w:r>
        <w:t>W roku 2019 o</w:t>
      </w:r>
      <w:r w:rsidR="000E77A4">
        <w:t>lsztynianie równie chętnie uczestnicz</w:t>
      </w:r>
      <w:r>
        <w:t>yli</w:t>
      </w:r>
      <w:r w:rsidR="000E77A4">
        <w:t xml:space="preserve"> w imprezach organizowanych przez centra </w:t>
      </w:r>
      <w:r>
        <w:br/>
      </w:r>
      <w:r w:rsidR="000E77A4">
        <w:t>i domy kultury</w:t>
      </w:r>
      <w:r>
        <w:t xml:space="preserve"> (893,6 osób w przeliczeniu na 1000 mieszkańców)</w:t>
      </w:r>
      <w:r w:rsidR="000E77A4">
        <w:t>, korzysta</w:t>
      </w:r>
      <w:r w:rsidR="00A0477E">
        <w:t>li</w:t>
      </w:r>
      <w:r w:rsidR="000E77A4">
        <w:t xml:space="preserve"> z oferty kulturalnej </w:t>
      </w:r>
      <w:r>
        <w:t xml:space="preserve">muzeów (694,1 osób w przeliczeniu na 1000 mieszkańców) oraz galerii i salonów sztuki (819,5 osób </w:t>
      </w:r>
      <w:r>
        <w:br/>
        <w:t>w przeliczeniu na 1000 mieszkańców). Na podstawie analizy dostępnych danych zaobserwowano znaczące dysproporcje jakie występują w pozostałych ośrodkach wojewódzkich</w:t>
      </w:r>
      <w:r w:rsidR="00E424FE">
        <w:t xml:space="preserve"> w zakresie liczebności  korzystających z oferty kulturalnej. Na przykład w imprezach organizowanych przez centra, domy </w:t>
      </w:r>
      <w:r w:rsidR="00E424FE">
        <w:br/>
        <w:t xml:space="preserve">i ośrodki kultury </w:t>
      </w:r>
      <w:r w:rsidR="00A0477E">
        <w:t xml:space="preserve">w </w:t>
      </w:r>
      <w:r w:rsidR="00E424FE">
        <w:t>Lublinie uczestniczyło średnio 2823 osoby/1000 mieszkańców, zaś zwiedzających galerie i salony sztuki było blisko 117 osób/1000 mieszkańców.</w:t>
      </w:r>
    </w:p>
    <w:p w14:paraId="37474F25" w14:textId="568CA13D" w:rsidR="00C312B9" w:rsidRPr="00C312B9" w:rsidRDefault="00C312B9" w:rsidP="00C312B9">
      <w:pPr>
        <w:pStyle w:val="Legenda"/>
        <w:rPr>
          <w:sz w:val="22"/>
          <w:szCs w:val="22"/>
          <w:lang w:val="pl-PL"/>
        </w:rPr>
      </w:pPr>
      <w:bookmarkStart w:id="284" w:name="_Toc73516155"/>
      <w:r w:rsidRPr="00C312B9">
        <w:rPr>
          <w:sz w:val="22"/>
          <w:szCs w:val="22"/>
        </w:rPr>
        <w:t xml:space="preserve">Wykres </w:t>
      </w:r>
      <w:r w:rsidRPr="00C312B9">
        <w:rPr>
          <w:sz w:val="22"/>
          <w:szCs w:val="22"/>
        </w:rPr>
        <w:fldChar w:fldCharType="begin"/>
      </w:r>
      <w:r w:rsidRPr="00C312B9">
        <w:rPr>
          <w:sz w:val="22"/>
          <w:szCs w:val="22"/>
        </w:rPr>
        <w:instrText xml:space="preserve"> SEQ Wykres \* ARABIC </w:instrText>
      </w:r>
      <w:r w:rsidRPr="00C312B9">
        <w:rPr>
          <w:sz w:val="22"/>
          <w:szCs w:val="22"/>
        </w:rPr>
        <w:fldChar w:fldCharType="separate"/>
      </w:r>
      <w:r w:rsidR="00AD58C3">
        <w:rPr>
          <w:noProof/>
          <w:sz w:val="22"/>
          <w:szCs w:val="22"/>
        </w:rPr>
        <w:t>93</w:t>
      </w:r>
      <w:r w:rsidRPr="00C312B9">
        <w:rPr>
          <w:sz w:val="22"/>
          <w:szCs w:val="22"/>
        </w:rPr>
        <w:fldChar w:fldCharType="end"/>
      </w:r>
      <w:r w:rsidRPr="00C312B9">
        <w:rPr>
          <w:sz w:val="22"/>
          <w:szCs w:val="22"/>
        </w:rPr>
        <w:t xml:space="preserve">. </w:t>
      </w:r>
      <w:r w:rsidRPr="00C312B9">
        <w:rPr>
          <w:bCs/>
          <w:sz w:val="22"/>
          <w:szCs w:val="22"/>
          <w:lang w:val="pl-PL"/>
        </w:rPr>
        <w:t>Korzystający z oferty kulturalnej w przeliczeniu na 1000 ludności w roku 2019</w:t>
      </w:r>
      <w:bookmarkEnd w:id="284"/>
      <w:r w:rsidRPr="00C312B9">
        <w:rPr>
          <w:bCs/>
          <w:sz w:val="22"/>
          <w:szCs w:val="22"/>
          <w:lang w:val="pl-PL"/>
        </w:rPr>
        <w:t xml:space="preserve"> </w:t>
      </w:r>
    </w:p>
    <w:p w14:paraId="43444CAD" w14:textId="0884637F" w:rsidR="00C43A34" w:rsidRDefault="00C43A34" w:rsidP="0007663E">
      <w:pPr>
        <w:tabs>
          <w:tab w:val="num" w:pos="720"/>
        </w:tabs>
        <w:spacing w:after="0" w:line="240" w:lineRule="auto"/>
        <w:jc w:val="center"/>
      </w:pPr>
      <w:r>
        <w:rPr>
          <w:noProof/>
          <w:lang w:eastAsia="pl-PL"/>
        </w:rPr>
        <w:drawing>
          <wp:inline distT="0" distB="0" distL="0" distR="0" wp14:anchorId="1380EB88" wp14:editId="15A96499">
            <wp:extent cx="4579315" cy="2933396"/>
            <wp:effectExtent l="0" t="0" r="12065" b="635"/>
            <wp:docPr id="59" name="Wykres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57E532BE" w14:textId="77777777" w:rsidR="0007663E" w:rsidRPr="00394AE5" w:rsidRDefault="0007663E" w:rsidP="0007663E">
      <w:pPr>
        <w:spacing w:after="0" w:line="240" w:lineRule="auto"/>
        <w:jc w:val="center"/>
        <w:rPr>
          <w:i/>
          <w:sz w:val="20"/>
          <w:szCs w:val="20"/>
        </w:rPr>
      </w:pPr>
      <w:r w:rsidRPr="00394AE5">
        <w:rPr>
          <w:i/>
          <w:sz w:val="20"/>
          <w:szCs w:val="20"/>
        </w:rPr>
        <w:t>źródło: opracowanie własne na podstawie danych GUS</w:t>
      </w:r>
    </w:p>
    <w:p w14:paraId="59E9C6EB" w14:textId="2E4B0C0A" w:rsidR="000E77A4" w:rsidRDefault="000E77A4" w:rsidP="0007663E">
      <w:pPr>
        <w:tabs>
          <w:tab w:val="num" w:pos="720"/>
        </w:tabs>
        <w:jc w:val="both"/>
      </w:pPr>
    </w:p>
    <w:p w14:paraId="4C925E4B" w14:textId="04055550" w:rsidR="0006657C" w:rsidRDefault="0007663E" w:rsidP="007513D8">
      <w:pPr>
        <w:tabs>
          <w:tab w:val="num" w:pos="720"/>
        </w:tabs>
        <w:jc w:val="both"/>
      </w:pPr>
      <w:r>
        <w:t xml:space="preserve">Olsztyn charakteryzuje </w:t>
      </w:r>
      <w:r w:rsidR="007513D8">
        <w:t>wyższy, niż w omawianych stolicach województw,</w:t>
      </w:r>
      <w:r>
        <w:t xml:space="preserve"> wskaźnik liczby czytelników bibliotek publicznych w przeliczeniu na 1000 mieszkańców (211 osób</w:t>
      </w:r>
      <w:r w:rsidR="009E18B2">
        <w:t xml:space="preserve"> w 2019 roku</w:t>
      </w:r>
      <w:r>
        <w:t>).</w:t>
      </w:r>
      <w:r w:rsidR="007513D8">
        <w:t xml:space="preserve">  </w:t>
      </w:r>
      <w:r w:rsidR="009E18B2">
        <w:t xml:space="preserve">W badanych latach 2013 i 2019 </w:t>
      </w:r>
      <w:r w:rsidR="007513D8">
        <w:t xml:space="preserve">w olsztyńskich bibliotekach </w:t>
      </w:r>
      <w:r w:rsidR="009E18B2">
        <w:t xml:space="preserve">wrasta </w:t>
      </w:r>
      <w:r w:rsidR="007513D8">
        <w:t xml:space="preserve">nieznacznie </w:t>
      </w:r>
      <w:r w:rsidR="009E18B2">
        <w:t xml:space="preserve">poziom wypożyczeń księgozbioru bibliotecznego w przeliczeniu na 1 czytelnika – </w:t>
      </w:r>
      <w:r w:rsidR="007513D8">
        <w:t>21</w:t>
      </w:r>
      <w:r w:rsidR="009E18B2">
        <w:t xml:space="preserve"> wypożyczone woluminy</w:t>
      </w:r>
      <w:r w:rsidR="007513D8">
        <w:t xml:space="preserve"> w roku 2013 oraz 22 woluminy – w roku 2019.</w:t>
      </w:r>
      <w:r w:rsidR="009E18B2">
        <w:t xml:space="preserve"> </w:t>
      </w:r>
      <w:r w:rsidR="000941DB">
        <w:t xml:space="preserve">Korzystna jest również względnie niska liczba mieszkańców przypadająca na 1 placówkę biblioteczną (6,8 </w:t>
      </w:r>
      <w:r w:rsidR="00E37BD0">
        <w:t xml:space="preserve">tys. </w:t>
      </w:r>
      <w:r w:rsidR="000941DB">
        <w:t xml:space="preserve">osób w roku 2019). </w:t>
      </w:r>
    </w:p>
    <w:p w14:paraId="5030BCEE" w14:textId="77777777" w:rsidR="009E6503" w:rsidRDefault="009E6503">
      <w:pPr>
        <w:rPr>
          <w:rFonts w:ascii="Calibri" w:eastAsia="Calibri" w:hAnsi="Calibri" w:cs="Mangal"/>
          <w:i/>
          <w:iCs/>
          <w:color w:val="00000A"/>
          <w:kern w:val="1"/>
          <w:lang w:val="en-GB"/>
        </w:rPr>
      </w:pPr>
      <w:r>
        <w:br w:type="page"/>
      </w:r>
    </w:p>
    <w:p w14:paraId="16A463E4" w14:textId="70C83444" w:rsidR="00B151F6" w:rsidRPr="00B151F6" w:rsidRDefault="00B151F6" w:rsidP="00B151F6">
      <w:pPr>
        <w:pStyle w:val="Legenda"/>
        <w:rPr>
          <w:sz w:val="22"/>
          <w:szCs w:val="22"/>
          <w:lang w:val="pl-PL"/>
        </w:rPr>
      </w:pPr>
      <w:bookmarkStart w:id="285" w:name="_Toc73516156"/>
      <w:r w:rsidRPr="00B151F6">
        <w:rPr>
          <w:sz w:val="22"/>
          <w:szCs w:val="22"/>
        </w:rPr>
        <w:lastRenderedPageBreak/>
        <w:t xml:space="preserve">Wykres </w:t>
      </w:r>
      <w:r w:rsidRPr="00B151F6">
        <w:rPr>
          <w:sz w:val="22"/>
          <w:szCs w:val="22"/>
        </w:rPr>
        <w:fldChar w:fldCharType="begin"/>
      </w:r>
      <w:r w:rsidRPr="00B151F6">
        <w:rPr>
          <w:sz w:val="22"/>
          <w:szCs w:val="22"/>
        </w:rPr>
        <w:instrText xml:space="preserve"> SEQ Wykres \* ARABIC </w:instrText>
      </w:r>
      <w:r w:rsidRPr="00B151F6">
        <w:rPr>
          <w:sz w:val="22"/>
          <w:szCs w:val="22"/>
        </w:rPr>
        <w:fldChar w:fldCharType="separate"/>
      </w:r>
      <w:r w:rsidR="00AD58C3">
        <w:rPr>
          <w:noProof/>
          <w:sz w:val="22"/>
          <w:szCs w:val="22"/>
        </w:rPr>
        <w:t>94</w:t>
      </w:r>
      <w:r w:rsidRPr="00B151F6">
        <w:rPr>
          <w:sz w:val="22"/>
          <w:szCs w:val="22"/>
        </w:rPr>
        <w:fldChar w:fldCharType="end"/>
      </w:r>
      <w:r w:rsidRPr="00B151F6">
        <w:rPr>
          <w:sz w:val="22"/>
          <w:szCs w:val="22"/>
        </w:rPr>
        <w:t xml:space="preserve">. </w:t>
      </w:r>
      <w:r w:rsidRPr="00B151F6">
        <w:rPr>
          <w:bCs/>
          <w:sz w:val="22"/>
          <w:szCs w:val="22"/>
          <w:lang w:val="pl-PL"/>
        </w:rPr>
        <w:t>Czytelnicy bibliotek publicznych na 1000 mieszkańców</w:t>
      </w:r>
      <w:r w:rsidRPr="00B151F6">
        <w:rPr>
          <w:bCs/>
          <w:sz w:val="22"/>
          <w:szCs w:val="22"/>
          <w:lang w:val="en-US"/>
        </w:rPr>
        <w:t xml:space="preserve"> w latach 2013 i 2019</w:t>
      </w:r>
      <w:bookmarkEnd w:id="285"/>
    </w:p>
    <w:p w14:paraId="43DD1E34" w14:textId="03A89D68" w:rsidR="00522697" w:rsidRDefault="00B9744B" w:rsidP="007513D8">
      <w:pPr>
        <w:spacing w:after="0" w:line="240" w:lineRule="auto"/>
        <w:jc w:val="center"/>
      </w:pPr>
      <w:r>
        <w:rPr>
          <w:noProof/>
          <w:lang w:eastAsia="pl-PL"/>
        </w:rPr>
        <w:drawing>
          <wp:inline distT="0" distB="0" distL="0" distR="0" wp14:anchorId="30224055" wp14:editId="2143BA56">
            <wp:extent cx="4111142" cy="2179929"/>
            <wp:effectExtent l="0" t="0" r="3810" b="11430"/>
            <wp:docPr id="55" name="Wykres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561DD8CD" w14:textId="77777777" w:rsidR="007513D8" w:rsidRPr="00394AE5" w:rsidRDefault="007513D8" w:rsidP="007513D8">
      <w:pPr>
        <w:spacing w:after="0" w:line="240" w:lineRule="auto"/>
        <w:jc w:val="center"/>
        <w:rPr>
          <w:i/>
          <w:sz w:val="20"/>
          <w:szCs w:val="20"/>
        </w:rPr>
      </w:pPr>
      <w:r w:rsidRPr="00394AE5">
        <w:rPr>
          <w:i/>
          <w:sz w:val="20"/>
          <w:szCs w:val="20"/>
        </w:rPr>
        <w:t>źródło: opracowanie własne na podstawie danych GUS</w:t>
      </w:r>
    </w:p>
    <w:p w14:paraId="76AB630A" w14:textId="77777777" w:rsidR="007513D8" w:rsidRDefault="007513D8" w:rsidP="00C20E21"/>
    <w:p w14:paraId="4F79F374" w14:textId="77777777" w:rsidR="00C20E21" w:rsidRPr="00C20E21" w:rsidRDefault="00C20E21" w:rsidP="00C20E21">
      <w:pPr>
        <w:jc w:val="both"/>
      </w:pPr>
      <w:r w:rsidRPr="00C20E21">
        <w:t>Praktycznie wszystkie spośród największych obiektów kultury takich jak teatry, muzea, kina, filharmonia, Planetarium i Obserwatorium Astronomiczne są położone w ścisłych centrum miasta. Wyjątkiem jest jedno kino „Multikino” (osiedle Brzeziny) i Muzeum Przyrody (osiedle Nagórki).</w:t>
      </w:r>
    </w:p>
    <w:p w14:paraId="147D8D3F" w14:textId="548958AE" w:rsidR="00C20E21" w:rsidRPr="005D5660" w:rsidRDefault="005D5660" w:rsidP="005D5660">
      <w:pPr>
        <w:pStyle w:val="Legenda"/>
        <w:rPr>
          <w:sz w:val="22"/>
          <w:szCs w:val="22"/>
          <w:lang w:val="pl-PL"/>
        </w:rPr>
      </w:pPr>
      <w:bookmarkStart w:id="286" w:name="_Toc73516186"/>
      <w:r w:rsidRPr="005D5660">
        <w:rPr>
          <w:sz w:val="22"/>
          <w:szCs w:val="22"/>
          <w:lang w:val="pl-PL"/>
        </w:rPr>
        <w:t xml:space="preserve">Rysunek </w:t>
      </w:r>
      <w:r w:rsidRPr="005D5660">
        <w:rPr>
          <w:sz w:val="22"/>
          <w:szCs w:val="22"/>
        </w:rPr>
        <w:fldChar w:fldCharType="begin"/>
      </w:r>
      <w:r w:rsidRPr="005D5660">
        <w:rPr>
          <w:sz w:val="22"/>
          <w:szCs w:val="22"/>
          <w:lang w:val="pl-PL"/>
        </w:rPr>
        <w:instrText xml:space="preserve"> SEQ Rysunek \* ARABIC </w:instrText>
      </w:r>
      <w:r w:rsidRPr="005D5660">
        <w:rPr>
          <w:sz w:val="22"/>
          <w:szCs w:val="22"/>
        </w:rPr>
        <w:fldChar w:fldCharType="separate"/>
      </w:r>
      <w:r w:rsidR="00AD58C3">
        <w:rPr>
          <w:noProof/>
          <w:sz w:val="22"/>
          <w:szCs w:val="22"/>
          <w:lang w:val="pl-PL"/>
        </w:rPr>
        <w:t>21</w:t>
      </w:r>
      <w:r w:rsidRPr="005D5660">
        <w:rPr>
          <w:sz w:val="22"/>
          <w:szCs w:val="22"/>
        </w:rPr>
        <w:fldChar w:fldCharType="end"/>
      </w:r>
      <w:r w:rsidRPr="005D5660">
        <w:rPr>
          <w:sz w:val="22"/>
          <w:szCs w:val="22"/>
          <w:lang w:val="pl-PL"/>
        </w:rPr>
        <w:t>. Rozmieszczenie obiektów kultury</w:t>
      </w:r>
      <w:bookmarkEnd w:id="286"/>
    </w:p>
    <w:p w14:paraId="23F57DE5" w14:textId="77777777" w:rsidR="00320C39" w:rsidRDefault="00C20E21" w:rsidP="00320C39">
      <w:pPr>
        <w:keepNext/>
        <w:jc w:val="center"/>
      </w:pPr>
      <w:r w:rsidRPr="00C20E21">
        <w:rPr>
          <w:noProof/>
          <w:lang w:eastAsia="pl-PL"/>
        </w:rPr>
        <w:drawing>
          <wp:inline distT="0" distB="0" distL="0" distR="0" wp14:anchorId="47ACCE48" wp14:editId="64C28BCA">
            <wp:extent cx="4371422" cy="3763316"/>
            <wp:effectExtent l="0" t="0" r="0" b="8890"/>
            <wp:docPr id="211" name="Obraz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374912" cy="3766320"/>
                    </a:xfrm>
                    <a:prstGeom prst="rect">
                      <a:avLst/>
                    </a:prstGeom>
                  </pic:spPr>
                </pic:pic>
              </a:graphicData>
            </a:graphic>
          </wp:inline>
        </w:drawing>
      </w:r>
    </w:p>
    <w:p w14:paraId="3E635857" w14:textId="36F36C12" w:rsidR="005D5660" w:rsidRDefault="005D5660" w:rsidP="005D5660">
      <w:pPr>
        <w:pStyle w:val="Legenda"/>
        <w:spacing w:before="0" w:after="0" w:line="240" w:lineRule="auto"/>
        <w:jc w:val="center"/>
        <w:rPr>
          <w:sz w:val="20"/>
          <w:lang w:val="pl-PL"/>
        </w:rPr>
      </w:pPr>
      <w:r>
        <w:rPr>
          <w:sz w:val="20"/>
          <w:lang w:val="pl-PL"/>
        </w:rPr>
        <w:t>ź</w:t>
      </w:r>
      <w:r w:rsidR="00320C39" w:rsidRPr="00320C39">
        <w:rPr>
          <w:sz w:val="20"/>
          <w:lang w:val="pl-PL"/>
        </w:rPr>
        <w:t>ródło danych: https://olsztyn.eu/kultura/i</w:t>
      </w:r>
      <w:r>
        <w:rPr>
          <w:sz w:val="20"/>
          <w:lang w:val="pl-PL"/>
        </w:rPr>
        <w:t>nstytucje-miejsca-pelne-kultury</w:t>
      </w:r>
      <w:r w:rsidR="00320C39" w:rsidRPr="00320C39">
        <w:rPr>
          <w:sz w:val="20"/>
          <w:lang w:val="pl-PL"/>
        </w:rPr>
        <w:t xml:space="preserve"> </w:t>
      </w:r>
    </w:p>
    <w:p w14:paraId="2FA07724" w14:textId="0C915480" w:rsidR="00C20E21" w:rsidRPr="003F5DFC" w:rsidRDefault="00320C39" w:rsidP="005D5660">
      <w:pPr>
        <w:pStyle w:val="Legenda"/>
        <w:spacing w:before="0" w:after="0" w:line="240" w:lineRule="auto"/>
        <w:jc w:val="center"/>
        <w:rPr>
          <w:sz w:val="20"/>
          <w:lang w:val="pl-PL"/>
        </w:rPr>
      </w:pPr>
      <w:r w:rsidRPr="003F5DFC">
        <w:rPr>
          <w:sz w:val="20"/>
          <w:lang w:val="pl-PL"/>
        </w:rPr>
        <w:t>Podkład: Mapa Akustyczna Olsztyna; str. 10</w:t>
      </w:r>
    </w:p>
    <w:p w14:paraId="5674A78D" w14:textId="4E05EAB6" w:rsidR="00E37859" w:rsidRDefault="00E37859" w:rsidP="00E37859"/>
    <w:p w14:paraId="5F4A7ACC" w14:textId="77777777" w:rsidR="00162434" w:rsidRDefault="00162434" w:rsidP="00FD4AD8">
      <w:pPr>
        <w:pStyle w:val="Nagwek3"/>
      </w:pPr>
    </w:p>
    <w:p w14:paraId="2B902A97" w14:textId="4745E40C" w:rsidR="003A1125" w:rsidRPr="00FD4AD8" w:rsidRDefault="00FD4AD8" w:rsidP="00FD4AD8">
      <w:pPr>
        <w:pStyle w:val="Nagwek3"/>
      </w:pPr>
      <w:bookmarkStart w:id="287" w:name="_Toc73534948"/>
      <w:r>
        <w:t xml:space="preserve">4.3.3 </w:t>
      </w:r>
      <w:r w:rsidR="003A1125" w:rsidRPr="00FD4AD8">
        <w:t>Organizacje pozarządowe</w:t>
      </w:r>
      <w:r w:rsidR="000F1ECB" w:rsidRPr="00FD4AD8">
        <w:t xml:space="preserve"> z obszaru kultury</w:t>
      </w:r>
      <w:bookmarkEnd w:id="287"/>
    </w:p>
    <w:p w14:paraId="3F3E5501" w14:textId="3EA330F7" w:rsidR="006E2C5C" w:rsidRDefault="00E36743" w:rsidP="000F1ECB">
      <w:pPr>
        <w:tabs>
          <w:tab w:val="num" w:pos="284"/>
        </w:tabs>
        <w:jc w:val="both"/>
        <w:rPr>
          <w:rFonts w:ascii="Calibri Light" w:hAnsi="Calibri Light"/>
        </w:rPr>
      </w:pPr>
      <w:r w:rsidRPr="00C923BB">
        <w:rPr>
          <w:rFonts w:ascii="Calibri Light" w:hAnsi="Calibri Light"/>
        </w:rPr>
        <w:t>Miasto Olsztyn</w:t>
      </w:r>
      <w:r w:rsidRPr="000E4C90">
        <w:rPr>
          <w:rFonts w:ascii="Calibri Light" w:hAnsi="Calibri Light"/>
        </w:rPr>
        <w:t xml:space="preserve"> wspiera działalność lokalnych organizacji pozar</w:t>
      </w:r>
      <w:r>
        <w:rPr>
          <w:rFonts w:ascii="Calibri Light" w:hAnsi="Calibri Light"/>
        </w:rPr>
        <w:t>ządowych, liderów społecznych i </w:t>
      </w:r>
      <w:r w:rsidRPr="000E4C90">
        <w:rPr>
          <w:rFonts w:ascii="Calibri Light" w:hAnsi="Calibri Light"/>
        </w:rPr>
        <w:t xml:space="preserve">grupy lokalne, współpracuje z różnymi środowiskami oraz partnerami. W 2019 roku odnotowano </w:t>
      </w:r>
      <w:r w:rsidRPr="00C923BB">
        <w:rPr>
          <w:rFonts w:ascii="Calibri Light" w:hAnsi="Calibri Light"/>
        </w:rPr>
        <w:t>istnienie 1200 róż</w:t>
      </w:r>
      <w:r w:rsidR="006E2C5C">
        <w:rPr>
          <w:rFonts w:ascii="Calibri Light" w:hAnsi="Calibri Light"/>
        </w:rPr>
        <w:t>nych organizacji, z których</w:t>
      </w:r>
      <w:r w:rsidRPr="00C923BB">
        <w:rPr>
          <w:rFonts w:ascii="Calibri Light" w:hAnsi="Calibri Light"/>
        </w:rPr>
        <w:t xml:space="preserve"> </w:t>
      </w:r>
      <w:r w:rsidR="006E2C5C">
        <w:rPr>
          <w:rFonts w:ascii="Calibri Light" w:hAnsi="Calibri Light"/>
        </w:rPr>
        <w:t xml:space="preserve">140 działa w obszarze kultury. </w:t>
      </w:r>
      <w:r w:rsidR="00787FC7">
        <w:rPr>
          <w:rFonts w:ascii="Calibri Light" w:hAnsi="Calibri Light"/>
        </w:rPr>
        <w:t xml:space="preserve">Największą liczbę organizacji pozarządowych, działających na rzecz ochrony dorobku kulturowego i rozwoju kultury zanotowano </w:t>
      </w:r>
      <w:r w:rsidR="00713339">
        <w:rPr>
          <w:rFonts w:ascii="Calibri Light" w:hAnsi="Calibri Light"/>
        </w:rPr>
        <w:br/>
      </w:r>
      <w:r w:rsidR="00787FC7">
        <w:rPr>
          <w:rFonts w:ascii="Calibri Light" w:hAnsi="Calibri Light"/>
        </w:rPr>
        <w:t xml:space="preserve">w Lublinie – 257 podmiotów. </w:t>
      </w:r>
      <w:r w:rsidR="00713339">
        <w:rPr>
          <w:rFonts w:ascii="Calibri Light" w:hAnsi="Calibri Light"/>
        </w:rPr>
        <w:t>Na wykresie poniżej p</w:t>
      </w:r>
      <w:r w:rsidR="00787FC7">
        <w:rPr>
          <w:rFonts w:ascii="Calibri Light" w:hAnsi="Calibri Light"/>
        </w:rPr>
        <w:t>rzedstawi</w:t>
      </w:r>
      <w:r w:rsidR="00713339">
        <w:rPr>
          <w:rFonts w:ascii="Calibri Light" w:hAnsi="Calibri Light"/>
        </w:rPr>
        <w:t>ono</w:t>
      </w:r>
      <w:r w:rsidR="00787FC7">
        <w:rPr>
          <w:rFonts w:ascii="Calibri Light" w:hAnsi="Calibri Light"/>
        </w:rPr>
        <w:t xml:space="preserve"> </w:t>
      </w:r>
      <w:r w:rsidR="00713339">
        <w:rPr>
          <w:rFonts w:ascii="Calibri Light" w:hAnsi="Calibri Light"/>
        </w:rPr>
        <w:t xml:space="preserve">zasięg </w:t>
      </w:r>
      <w:r w:rsidR="00787FC7">
        <w:rPr>
          <w:rFonts w:ascii="Calibri Light" w:hAnsi="Calibri Light"/>
        </w:rPr>
        <w:t xml:space="preserve">organizacji </w:t>
      </w:r>
      <w:r w:rsidR="00713339">
        <w:rPr>
          <w:rFonts w:ascii="Calibri Light" w:hAnsi="Calibri Light"/>
        </w:rPr>
        <w:t xml:space="preserve">kultury </w:t>
      </w:r>
      <w:r w:rsidR="00787FC7">
        <w:rPr>
          <w:rFonts w:ascii="Calibri Light" w:hAnsi="Calibri Light"/>
        </w:rPr>
        <w:t xml:space="preserve">działających </w:t>
      </w:r>
      <w:r w:rsidR="00713339">
        <w:rPr>
          <w:rFonts w:ascii="Calibri Light" w:hAnsi="Calibri Light"/>
        </w:rPr>
        <w:t xml:space="preserve">na terenie </w:t>
      </w:r>
      <w:r w:rsidR="00787FC7">
        <w:rPr>
          <w:rFonts w:ascii="Calibri Light" w:hAnsi="Calibri Light"/>
        </w:rPr>
        <w:t xml:space="preserve">omawianych </w:t>
      </w:r>
      <w:r w:rsidR="00713339">
        <w:rPr>
          <w:rFonts w:ascii="Calibri Light" w:hAnsi="Calibri Light"/>
        </w:rPr>
        <w:t xml:space="preserve">miast Polski Wschodniej w przeliczeniu na 1000 mieszkańców. </w:t>
      </w:r>
      <w:r w:rsidR="00D22A15">
        <w:rPr>
          <w:rFonts w:ascii="Calibri Light" w:hAnsi="Calibri Light"/>
        </w:rPr>
        <w:t xml:space="preserve">Najbardziej </w:t>
      </w:r>
      <w:r w:rsidR="00713339">
        <w:rPr>
          <w:rFonts w:ascii="Calibri Light" w:hAnsi="Calibri Light"/>
        </w:rPr>
        <w:t xml:space="preserve">korzystną sytuację obserwuje się </w:t>
      </w:r>
      <w:r w:rsidR="00DC06FF">
        <w:rPr>
          <w:rFonts w:ascii="Calibri Light" w:hAnsi="Calibri Light"/>
        </w:rPr>
        <w:t xml:space="preserve">w Olsztynie – 0,81 podmiotów na 1000 olsztynian oraz w Lublinie – 0,76 organizacji na 1000 lublinian. </w:t>
      </w:r>
    </w:p>
    <w:p w14:paraId="552ED906" w14:textId="59FD676B" w:rsidR="00DD4EF0" w:rsidRPr="00DD4EF0" w:rsidRDefault="00DD4EF0" w:rsidP="00DD4EF0">
      <w:pPr>
        <w:pStyle w:val="Legenda"/>
        <w:rPr>
          <w:sz w:val="22"/>
          <w:szCs w:val="22"/>
          <w:lang w:val="pl-PL"/>
        </w:rPr>
      </w:pPr>
      <w:bookmarkStart w:id="288" w:name="_Toc73516157"/>
      <w:r w:rsidRPr="00DD4EF0">
        <w:rPr>
          <w:sz w:val="22"/>
          <w:szCs w:val="22"/>
        </w:rPr>
        <w:t xml:space="preserve">Wykres </w:t>
      </w:r>
      <w:r w:rsidRPr="00DD4EF0">
        <w:rPr>
          <w:sz w:val="22"/>
          <w:szCs w:val="22"/>
        </w:rPr>
        <w:fldChar w:fldCharType="begin"/>
      </w:r>
      <w:r w:rsidRPr="00DD4EF0">
        <w:rPr>
          <w:sz w:val="22"/>
          <w:szCs w:val="22"/>
        </w:rPr>
        <w:instrText xml:space="preserve"> SEQ Wykres \* ARABIC </w:instrText>
      </w:r>
      <w:r w:rsidRPr="00DD4EF0">
        <w:rPr>
          <w:sz w:val="22"/>
          <w:szCs w:val="22"/>
        </w:rPr>
        <w:fldChar w:fldCharType="separate"/>
      </w:r>
      <w:r w:rsidR="00AD58C3">
        <w:rPr>
          <w:noProof/>
          <w:sz w:val="22"/>
          <w:szCs w:val="22"/>
        </w:rPr>
        <w:t>95</w:t>
      </w:r>
      <w:r w:rsidRPr="00DD4EF0">
        <w:rPr>
          <w:sz w:val="22"/>
          <w:szCs w:val="22"/>
        </w:rPr>
        <w:fldChar w:fldCharType="end"/>
      </w:r>
      <w:r w:rsidRPr="00DD4EF0">
        <w:rPr>
          <w:sz w:val="22"/>
          <w:szCs w:val="22"/>
        </w:rPr>
        <w:t xml:space="preserve">. </w:t>
      </w:r>
      <w:r w:rsidRPr="00DD4EF0">
        <w:rPr>
          <w:bCs/>
          <w:sz w:val="22"/>
          <w:szCs w:val="22"/>
          <w:lang w:val="en-US"/>
        </w:rPr>
        <w:t>Organizacje pozarządowe</w:t>
      </w:r>
      <w:r w:rsidRPr="00DD4EF0">
        <w:rPr>
          <w:bCs/>
          <w:sz w:val="22"/>
          <w:szCs w:val="22"/>
          <w:lang w:val="pl-PL"/>
        </w:rPr>
        <w:t xml:space="preserve"> działające w obszarze kultury w przeliczeniu na 1000 mieszkańców w roku 2019</w:t>
      </w:r>
      <w:bookmarkEnd w:id="288"/>
    </w:p>
    <w:p w14:paraId="380EB581" w14:textId="11BADDB9" w:rsidR="00425031" w:rsidRDefault="00425031" w:rsidP="00425031">
      <w:pPr>
        <w:tabs>
          <w:tab w:val="num" w:pos="284"/>
        </w:tabs>
        <w:jc w:val="center"/>
        <w:rPr>
          <w:rFonts w:ascii="Calibri Light" w:hAnsi="Calibri Light"/>
        </w:rPr>
      </w:pPr>
      <w:r>
        <w:rPr>
          <w:noProof/>
          <w:lang w:eastAsia="pl-PL"/>
        </w:rPr>
        <w:drawing>
          <wp:inline distT="0" distB="0" distL="0" distR="0" wp14:anchorId="1A3E95E4" wp14:editId="632F2E8D">
            <wp:extent cx="4156582" cy="2296886"/>
            <wp:effectExtent l="0" t="0" r="15875" b="8255"/>
            <wp:docPr id="42" name="Wykres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48D8AFFD" w14:textId="7FB7BD18" w:rsidR="00425031" w:rsidRPr="00313928" w:rsidRDefault="00313928" w:rsidP="00425031">
      <w:pPr>
        <w:tabs>
          <w:tab w:val="num" w:pos="284"/>
        </w:tabs>
        <w:jc w:val="center"/>
        <w:rPr>
          <w:rFonts w:ascii="Calibri Light" w:hAnsi="Calibri Light"/>
          <w:i/>
          <w:sz w:val="20"/>
          <w:szCs w:val="20"/>
        </w:rPr>
      </w:pPr>
      <w:r w:rsidRPr="00313928">
        <w:rPr>
          <w:rFonts w:ascii="Calibri Light" w:hAnsi="Calibri Light"/>
          <w:i/>
          <w:sz w:val="20"/>
          <w:szCs w:val="20"/>
        </w:rPr>
        <w:t>ź</w:t>
      </w:r>
      <w:r w:rsidR="00425031" w:rsidRPr="00313928">
        <w:rPr>
          <w:rFonts w:ascii="Calibri Light" w:hAnsi="Calibri Light"/>
          <w:i/>
          <w:sz w:val="20"/>
          <w:szCs w:val="20"/>
        </w:rPr>
        <w:t>ródło: opracowanie własne na podstawie spisu organizacji pozarządowych https://spis.ngo.pl/</w:t>
      </w:r>
    </w:p>
    <w:p w14:paraId="01205762" w14:textId="77777777" w:rsidR="00FD4AD8" w:rsidRDefault="00FD4AD8" w:rsidP="000F1ECB">
      <w:pPr>
        <w:tabs>
          <w:tab w:val="num" w:pos="284"/>
        </w:tabs>
        <w:jc w:val="both"/>
        <w:rPr>
          <w:bCs/>
        </w:rPr>
      </w:pPr>
    </w:p>
    <w:p w14:paraId="508AC7C6" w14:textId="114437E0" w:rsidR="000F1ECB" w:rsidRPr="000F1ECB" w:rsidRDefault="000F1ECB" w:rsidP="000F1ECB">
      <w:pPr>
        <w:tabs>
          <w:tab w:val="num" w:pos="284"/>
        </w:tabs>
        <w:jc w:val="both"/>
        <w:rPr>
          <w:bCs/>
        </w:rPr>
      </w:pPr>
      <w:r>
        <w:rPr>
          <w:bCs/>
        </w:rPr>
        <w:t>4.4. Centrum sportu i rekreacji</w:t>
      </w:r>
    </w:p>
    <w:p w14:paraId="2EDBF6F7" w14:textId="77777777" w:rsidR="00592D16" w:rsidRPr="00ED4EDD" w:rsidRDefault="00DC641C" w:rsidP="00592D16">
      <w:pPr>
        <w:autoSpaceDE w:val="0"/>
        <w:autoSpaceDN w:val="0"/>
        <w:adjustRightInd w:val="0"/>
        <w:spacing w:after="120" w:line="240" w:lineRule="auto"/>
        <w:jc w:val="both"/>
        <w:rPr>
          <w:rFonts w:cstheme="minorHAnsi"/>
        </w:rPr>
      </w:pPr>
      <w:r>
        <w:rPr>
          <w:bCs/>
        </w:rPr>
        <w:t>Główną rolę w obszarze sportu w Olsztynie pełni Ośrodek Sportu i Rekreacji</w:t>
      </w:r>
      <w:r w:rsidR="00566641">
        <w:rPr>
          <w:bCs/>
        </w:rPr>
        <w:t xml:space="preserve">. Duże znaczenie odgrywa  również działalność </w:t>
      </w:r>
      <w:r w:rsidRPr="00ED4EDD">
        <w:rPr>
          <w:rFonts w:cstheme="minorHAnsi"/>
        </w:rPr>
        <w:t>stowarzysze</w:t>
      </w:r>
      <w:r w:rsidR="00566641">
        <w:rPr>
          <w:rFonts w:cstheme="minorHAnsi"/>
        </w:rPr>
        <w:t>ń</w:t>
      </w:r>
      <w:r w:rsidRPr="00ED4EDD">
        <w:rPr>
          <w:rFonts w:cstheme="minorHAnsi"/>
        </w:rPr>
        <w:t xml:space="preserve"> i klub</w:t>
      </w:r>
      <w:r w:rsidR="00566641">
        <w:rPr>
          <w:rFonts w:cstheme="minorHAnsi"/>
        </w:rPr>
        <w:t>ów</w:t>
      </w:r>
      <w:r w:rsidRPr="00ED4EDD">
        <w:rPr>
          <w:rFonts w:cstheme="minorHAnsi"/>
        </w:rPr>
        <w:t xml:space="preserve"> sportow</w:t>
      </w:r>
      <w:r w:rsidR="00566641">
        <w:rPr>
          <w:rFonts w:cstheme="minorHAnsi"/>
        </w:rPr>
        <w:t>ych.</w:t>
      </w:r>
      <w:r w:rsidRPr="00ED4EDD">
        <w:rPr>
          <w:rFonts w:cstheme="minorHAnsi"/>
        </w:rPr>
        <w:t xml:space="preserve"> Infrastrukturę sportowo-rekreacyjną </w:t>
      </w:r>
      <w:r w:rsidR="00873375">
        <w:rPr>
          <w:rFonts w:cstheme="minorHAnsi"/>
        </w:rPr>
        <w:br/>
      </w:r>
      <w:r w:rsidR="00566641">
        <w:rPr>
          <w:rFonts w:cstheme="minorHAnsi"/>
        </w:rPr>
        <w:t>w Olsztynie tworz</w:t>
      </w:r>
      <w:r w:rsidRPr="00ED4EDD">
        <w:rPr>
          <w:rFonts w:cstheme="minorHAnsi"/>
        </w:rPr>
        <w:t>ą m.in. obiekty samorządowe</w:t>
      </w:r>
      <w:r w:rsidRPr="00ED4EDD">
        <w:rPr>
          <w:rStyle w:val="Odwoanieprzypisudolnego"/>
          <w:rFonts w:cstheme="minorHAnsi"/>
        </w:rPr>
        <w:footnoteReference w:id="103"/>
      </w:r>
      <w:r w:rsidRPr="00ED4EDD">
        <w:rPr>
          <w:rFonts w:cstheme="minorHAnsi"/>
        </w:rPr>
        <w:t>, uczelniane</w:t>
      </w:r>
      <w:r w:rsidRPr="00ED4EDD">
        <w:rPr>
          <w:rStyle w:val="Odwoanieprzypisudolnego"/>
          <w:rFonts w:cstheme="minorHAnsi"/>
        </w:rPr>
        <w:footnoteReference w:id="104"/>
      </w:r>
      <w:r w:rsidRPr="00ED4EDD">
        <w:rPr>
          <w:rFonts w:cstheme="minorHAnsi"/>
        </w:rPr>
        <w:t xml:space="preserve"> i prywatne</w:t>
      </w:r>
      <w:r w:rsidRPr="00ED4EDD">
        <w:rPr>
          <w:rStyle w:val="Odwoanieprzypisudolnego"/>
          <w:rFonts w:cstheme="minorHAnsi"/>
        </w:rPr>
        <w:footnoteReference w:id="105"/>
      </w:r>
      <w:r w:rsidRPr="00ED4EDD">
        <w:rPr>
          <w:rFonts w:cstheme="minorHAnsi"/>
        </w:rPr>
        <w:t>.</w:t>
      </w:r>
      <w:r w:rsidR="00166DEC">
        <w:rPr>
          <w:rFonts w:cstheme="minorHAnsi"/>
        </w:rPr>
        <w:t xml:space="preserve"> Możliwości rekreacyjno-sport</w:t>
      </w:r>
      <w:r w:rsidR="0082655B">
        <w:rPr>
          <w:rFonts w:cstheme="minorHAnsi"/>
        </w:rPr>
        <w:t>owe Olsztyna są niezwykle bogate</w:t>
      </w:r>
      <w:r w:rsidR="00166DEC">
        <w:rPr>
          <w:rFonts w:cstheme="minorHAnsi"/>
        </w:rPr>
        <w:t>, na co</w:t>
      </w:r>
      <w:r w:rsidR="00840F05">
        <w:rPr>
          <w:rFonts w:cstheme="minorHAnsi"/>
        </w:rPr>
        <w:t xml:space="preserve"> mają</w:t>
      </w:r>
      <w:r w:rsidR="00166DEC">
        <w:rPr>
          <w:rFonts w:cstheme="minorHAnsi"/>
        </w:rPr>
        <w:t xml:space="preserve"> wpływ uwarunko</w:t>
      </w:r>
      <w:r w:rsidR="00840F05">
        <w:rPr>
          <w:rFonts w:cstheme="minorHAnsi"/>
        </w:rPr>
        <w:t>wania środowiskowo-przestrzenne miasta.</w:t>
      </w:r>
      <w:r w:rsidR="00592D16">
        <w:rPr>
          <w:rFonts w:cstheme="minorHAnsi"/>
        </w:rPr>
        <w:t xml:space="preserve"> </w:t>
      </w:r>
      <w:r w:rsidR="00592D16" w:rsidRPr="00ED4EDD">
        <w:rPr>
          <w:rFonts w:cstheme="minorHAnsi"/>
        </w:rPr>
        <w:t>Promocja zdrowego stylu życia, zachęty do aktywności fizycznej w każdym wieku oraz świadczenie usług sportowo-rekreacyjnych i organizacja imprez sportowych odbywa się przy znaczącym współudziale licznych organizacji pozarządowych, w tym stowarzyszeń.</w:t>
      </w:r>
    </w:p>
    <w:p w14:paraId="199FA839" w14:textId="6F630EF8" w:rsidR="00873375" w:rsidRDefault="00873375" w:rsidP="00DC641C">
      <w:pPr>
        <w:autoSpaceDE w:val="0"/>
        <w:autoSpaceDN w:val="0"/>
        <w:adjustRightInd w:val="0"/>
        <w:spacing w:after="120" w:line="240" w:lineRule="auto"/>
        <w:jc w:val="both"/>
        <w:rPr>
          <w:rFonts w:cstheme="minorHAnsi"/>
        </w:rPr>
      </w:pPr>
    </w:p>
    <w:p w14:paraId="360C3FDA" w14:textId="77777777" w:rsidR="00873375" w:rsidRDefault="00873375" w:rsidP="00DC641C">
      <w:pPr>
        <w:autoSpaceDE w:val="0"/>
        <w:autoSpaceDN w:val="0"/>
        <w:adjustRightInd w:val="0"/>
        <w:spacing w:after="120" w:line="240" w:lineRule="auto"/>
        <w:jc w:val="both"/>
        <w:rPr>
          <w:rFonts w:cstheme="minorHAnsi"/>
        </w:rPr>
      </w:pPr>
    </w:p>
    <w:p w14:paraId="6D17C47E" w14:textId="10AFC75B" w:rsidR="004F658F" w:rsidRDefault="00810170" w:rsidP="00DC641C">
      <w:pPr>
        <w:autoSpaceDE w:val="0"/>
        <w:autoSpaceDN w:val="0"/>
        <w:adjustRightInd w:val="0"/>
        <w:spacing w:after="120" w:line="240" w:lineRule="auto"/>
        <w:jc w:val="both"/>
        <w:rPr>
          <w:rFonts w:eastAsia="Times New Roman" w:cs="Times New Roman"/>
          <w:lang w:eastAsia="pl-PL"/>
        </w:rPr>
      </w:pPr>
      <w:r>
        <w:rPr>
          <w:rFonts w:cstheme="minorHAnsi"/>
        </w:rPr>
        <w:t>Na terenie Olsztyna, w</w:t>
      </w:r>
      <w:r w:rsidR="00592D16">
        <w:rPr>
          <w:rFonts w:cstheme="minorHAnsi"/>
        </w:rPr>
        <w:t xml:space="preserve"> roku 2018 miłośni</w:t>
      </w:r>
      <w:r>
        <w:rPr>
          <w:rFonts w:cstheme="minorHAnsi"/>
        </w:rPr>
        <w:t>cy</w:t>
      </w:r>
      <w:r w:rsidR="00592D16">
        <w:rPr>
          <w:rFonts w:cstheme="minorHAnsi"/>
        </w:rPr>
        <w:t xml:space="preserve"> aktywn</w:t>
      </w:r>
      <w:r>
        <w:rPr>
          <w:rFonts w:cstheme="minorHAnsi"/>
        </w:rPr>
        <w:t xml:space="preserve">ego spędzania czasu mieli do dyspozycji </w:t>
      </w:r>
      <w:r w:rsidR="00840F05">
        <w:rPr>
          <w:rFonts w:cstheme="minorHAnsi"/>
        </w:rPr>
        <w:t>30 obiektów sportowych</w:t>
      </w:r>
      <w:r w:rsidR="00840F05">
        <w:rPr>
          <w:rStyle w:val="Odwoanieprzypisudolnego"/>
          <w:rFonts w:cstheme="minorHAnsi"/>
        </w:rPr>
        <w:footnoteReference w:id="106"/>
      </w:r>
      <w:r w:rsidR="00840F05">
        <w:rPr>
          <w:rFonts w:cstheme="minorHAnsi"/>
        </w:rPr>
        <w:t xml:space="preserve"> (</w:t>
      </w:r>
      <w:r>
        <w:rPr>
          <w:rFonts w:cstheme="minorHAnsi"/>
        </w:rPr>
        <w:t xml:space="preserve">nieco mniej </w:t>
      </w:r>
      <w:r w:rsidR="00840F05">
        <w:rPr>
          <w:rFonts w:cstheme="minorHAnsi"/>
        </w:rPr>
        <w:t>niż w roku 2014)</w:t>
      </w:r>
      <w:r w:rsidR="00840F05">
        <w:rPr>
          <w:rStyle w:val="Odwoanieprzypisudolnego"/>
          <w:rFonts w:cstheme="minorHAnsi"/>
        </w:rPr>
        <w:footnoteReference w:id="107"/>
      </w:r>
      <w:r w:rsidR="00840F05">
        <w:rPr>
          <w:rFonts w:cstheme="minorHAnsi"/>
        </w:rPr>
        <w:t xml:space="preserve">. </w:t>
      </w:r>
      <w:r w:rsidR="001206C4">
        <w:rPr>
          <w:rFonts w:cstheme="minorHAnsi"/>
        </w:rPr>
        <w:t>W</w:t>
      </w:r>
      <w:r w:rsidR="00840F05">
        <w:rPr>
          <w:rFonts w:cstheme="minorHAnsi"/>
        </w:rPr>
        <w:t xml:space="preserve"> ramach 64</w:t>
      </w:r>
      <w:r w:rsidR="00AD7293">
        <w:rPr>
          <w:rStyle w:val="Odwoanieprzypisudolnego"/>
          <w:rFonts w:cstheme="minorHAnsi"/>
        </w:rPr>
        <w:footnoteReference w:id="108"/>
      </w:r>
      <w:r w:rsidR="00840F05">
        <w:rPr>
          <w:rFonts w:cstheme="minorHAnsi"/>
        </w:rPr>
        <w:t xml:space="preserve"> klubów sportowych działały 103 sekcje, zrzeszające wokół siebie ponad 4,5 </w:t>
      </w:r>
      <w:r w:rsidR="00E37BD0">
        <w:t xml:space="preserve">tys. </w:t>
      </w:r>
      <w:r w:rsidR="00840F05">
        <w:rPr>
          <w:rFonts w:cstheme="minorHAnsi"/>
        </w:rPr>
        <w:t xml:space="preserve">członków. </w:t>
      </w:r>
    </w:p>
    <w:p w14:paraId="7BD60522" w14:textId="739166D8" w:rsidR="004F4683" w:rsidRDefault="004F658F" w:rsidP="00DC641C">
      <w:pPr>
        <w:autoSpaceDE w:val="0"/>
        <w:autoSpaceDN w:val="0"/>
        <w:adjustRightInd w:val="0"/>
        <w:spacing w:after="120" w:line="240" w:lineRule="auto"/>
        <w:jc w:val="both"/>
        <w:rPr>
          <w:rFonts w:eastAsia="Times New Roman" w:cs="Times New Roman"/>
          <w:lang w:eastAsia="pl-PL"/>
        </w:rPr>
      </w:pPr>
      <w:r>
        <w:rPr>
          <w:rFonts w:eastAsia="Times New Roman" w:cs="Times New Roman"/>
          <w:lang w:eastAsia="pl-PL"/>
        </w:rPr>
        <w:t xml:space="preserve">Spośród </w:t>
      </w:r>
      <w:r w:rsidR="00592770">
        <w:rPr>
          <w:rFonts w:eastAsia="Times New Roman" w:cs="Times New Roman"/>
          <w:lang w:eastAsia="pl-PL"/>
        </w:rPr>
        <w:t>omawianych stolic Polski Wschodniej, miastem z najbogatszą bazą</w:t>
      </w:r>
      <w:r>
        <w:rPr>
          <w:rFonts w:eastAsia="Times New Roman" w:cs="Times New Roman"/>
          <w:lang w:eastAsia="pl-PL"/>
        </w:rPr>
        <w:t xml:space="preserve"> sportową </w:t>
      </w:r>
      <w:r w:rsidR="00592770">
        <w:rPr>
          <w:rFonts w:eastAsia="Times New Roman" w:cs="Times New Roman"/>
          <w:lang w:eastAsia="pl-PL"/>
        </w:rPr>
        <w:t xml:space="preserve">był Lublin, </w:t>
      </w:r>
      <w:r w:rsidR="00AD7293">
        <w:rPr>
          <w:rFonts w:eastAsia="Times New Roman" w:cs="Times New Roman"/>
          <w:lang w:eastAsia="pl-PL"/>
        </w:rPr>
        <w:br/>
        <w:t xml:space="preserve">w </w:t>
      </w:r>
      <w:r w:rsidR="00592770">
        <w:rPr>
          <w:rFonts w:eastAsia="Times New Roman" w:cs="Times New Roman"/>
          <w:lang w:eastAsia="pl-PL"/>
        </w:rPr>
        <w:t xml:space="preserve">którym aktywność sportową można było prowadzić na 62 obiektach. </w:t>
      </w:r>
      <w:r w:rsidR="00873375">
        <w:rPr>
          <w:rFonts w:eastAsia="Times New Roman" w:cs="Times New Roman"/>
          <w:lang w:eastAsia="pl-PL"/>
        </w:rPr>
        <w:t xml:space="preserve">Najwięcej klubów i sekcji sportowych funkcjonowało </w:t>
      </w:r>
      <w:r w:rsidR="00810170">
        <w:rPr>
          <w:rFonts w:eastAsia="Times New Roman" w:cs="Times New Roman"/>
          <w:lang w:eastAsia="pl-PL"/>
        </w:rPr>
        <w:t xml:space="preserve">zaś </w:t>
      </w:r>
      <w:r w:rsidR="00873375">
        <w:rPr>
          <w:rFonts w:eastAsia="Times New Roman" w:cs="Times New Roman"/>
          <w:lang w:eastAsia="pl-PL"/>
        </w:rPr>
        <w:t>w Białymstoku – 123 kluby i 220 sekcji.</w:t>
      </w:r>
    </w:p>
    <w:p w14:paraId="1623C2D4" w14:textId="536FF15E" w:rsidR="00DD4EF0" w:rsidRPr="00DD4EF0" w:rsidRDefault="00DD4EF0" w:rsidP="00DD4EF0">
      <w:pPr>
        <w:pStyle w:val="Legenda"/>
        <w:rPr>
          <w:sz w:val="22"/>
          <w:szCs w:val="22"/>
          <w:lang w:val="pl-PL"/>
        </w:rPr>
      </w:pPr>
      <w:bookmarkStart w:id="289" w:name="_Toc73516158"/>
      <w:r w:rsidRPr="00DD4EF0">
        <w:rPr>
          <w:sz w:val="22"/>
          <w:szCs w:val="22"/>
        </w:rPr>
        <w:t xml:space="preserve">Wykres </w:t>
      </w:r>
      <w:r w:rsidRPr="00DD4EF0">
        <w:rPr>
          <w:sz w:val="22"/>
          <w:szCs w:val="22"/>
        </w:rPr>
        <w:fldChar w:fldCharType="begin"/>
      </w:r>
      <w:r w:rsidRPr="00DD4EF0">
        <w:rPr>
          <w:sz w:val="22"/>
          <w:szCs w:val="22"/>
        </w:rPr>
        <w:instrText xml:space="preserve"> SEQ Wykres \* ARABIC </w:instrText>
      </w:r>
      <w:r w:rsidRPr="00DD4EF0">
        <w:rPr>
          <w:sz w:val="22"/>
          <w:szCs w:val="22"/>
        </w:rPr>
        <w:fldChar w:fldCharType="separate"/>
      </w:r>
      <w:r w:rsidR="00AD58C3">
        <w:rPr>
          <w:noProof/>
          <w:sz w:val="22"/>
          <w:szCs w:val="22"/>
        </w:rPr>
        <w:t>96</w:t>
      </w:r>
      <w:r w:rsidRPr="00DD4EF0">
        <w:rPr>
          <w:sz w:val="22"/>
          <w:szCs w:val="22"/>
        </w:rPr>
        <w:fldChar w:fldCharType="end"/>
      </w:r>
      <w:r w:rsidRPr="00DD4EF0">
        <w:rPr>
          <w:sz w:val="22"/>
          <w:szCs w:val="22"/>
        </w:rPr>
        <w:t xml:space="preserve">. </w:t>
      </w:r>
      <w:r w:rsidRPr="00DD4EF0">
        <w:rPr>
          <w:bCs/>
          <w:sz w:val="22"/>
          <w:szCs w:val="22"/>
          <w:lang w:val="en-US"/>
        </w:rPr>
        <w:t>Obiekty sportowe w latach 2014 i 2018</w:t>
      </w:r>
      <w:bookmarkEnd w:id="289"/>
    </w:p>
    <w:p w14:paraId="3B27A669" w14:textId="5F846BAC" w:rsidR="004F4683" w:rsidRDefault="004F4683" w:rsidP="00AD7293">
      <w:pPr>
        <w:autoSpaceDE w:val="0"/>
        <w:autoSpaceDN w:val="0"/>
        <w:adjustRightInd w:val="0"/>
        <w:spacing w:after="0" w:line="240" w:lineRule="auto"/>
        <w:jc w:val="center"/>
        <w:rPr>
          <w:rFonts w:cstheme="minorHAnsi"/>
        </w:rPr>
      </w:pPr>
      <w:r>
        <w:rPr>
          <w:noProof/>
          <w:lang w:eastAsia="pl-PL"/>
        </w:rPr>
        <w:drawing>
          <wp:inline distT="0" distB="0" distL="0" distR="0" wp14:anchorId="58C603CF" wp14:editId="2CB5D8CE">
            <wp:extent cx="3819830" cy="1916583"/>
            <wp:effectExtent l="0" t="0" r="9525" b="7620"/>
            <wp:docPr id="54" name="Wykres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28F27935" w14:textId="77777777" w:rsidR="00AD7293" w:rsidRPr="00394AE5" w:rsidRDefault="00AD7293" w:rsidP="00AD7293">
      <w:pPr>
        <w:spacing w:after="0" w:line="240" w:lineRule="auto"/>
        <w:jc w:val="center"/>
        <w:rPr>
          <w:i/>
          <w:sz w:val="20"/>
          <w:szCs w:val="20"/>
        </w:rPr>
      </w:pPr>
      <w:r w:rsidRPr="00394AE5">
        <w:rPr>
          <w:i/>
          <w:sz w:val="20"/>
          <w:szCs w:val="20"/>
        </w:rPr>
        <w:t>źródło: opracowanie własne na podstawie danych GUS</w:t>
      </w:r>
    </w:p>
    <w:p w14:paraId="76238876" w14:textId="77777777" w:rsidR="00AD7293" w:rsidRDefault="00AD7293" w:rsidP="004F4683">
      <w:pPr>
        <w:autoSpaceDE w:val="0"/>
        <w:autoSpaceDN w:val="0"/>
        <w:adjustRightInd w:val="0"/>
        <w:spacing w:after="120" w:line="240" w:lineRule="auto"/>
        <w:jc w:val="center"/>
        <w:rPr>
          <w:rFonts w:cstheme="minorHAnsi"/>
        </w:rPr>
      </w:pPr>
    </w:p>
    <w:p w14:paraId="1E1941AA" w14:textId="42EA3B85" w:rsidR="00DD4EF0" w:rsidRPr="00DD4EF0" w:rsidRDefault="00DD4EF0" w:rsidP="00DD4EF0">
      <w:pPr>
        <w:pStyle w:val="Legenda"/>
        <w:rPr>
          <w:sz w:val="22"/>
          <w:szCs w:val="22"/>
          <w:lang w:val="pl-PL"/>
        </w:rPr>
      </w:pPr>
      <w:bookmarkStart w:id="290" w:name="_Toc73516159"/>
      <w:r w:rsidRPr="00DD4EF0">
        <w:rPr>
          <w:sz w:val="22"/>
          <w:szCs w:val="22"/>
        </w:rPr>
        <w:t xml:space="preserve">Wykres </w:t>
      </w:r>
      <w:r w:rsidRPr="00DD4EF0">
        <w:rPr>
          <w:sz w:val="22"/>
          <w:szCs w:val="22"/>
        </w:rPr>
        <w:fldChar w:fldCharType="begin"/>
      </w:r>
      <w:r w:rsidRPr="00DD4EF0">
        <w:rPr>
          <w:sz w:val="22"/>
          <w:szCs w:val="22"/>
        </w:rPr>
        <w:instrText xml:space="preserve"> SEQ Wykres \* ARABIC </w:instrText>
      </w:r>
      <w:r w:rsidRPr="00DD4EF0">
        <w:rPr>
          <w:sz w:val="22"/>
          <w:szCs w:val="22"/>
        </w:rPr>
        <w:fldChar w:fldCharType="separate"/>
      </w:r>
      <w:r w:rsidR="00AD58C3">
        <w:rPr>
          <w:noProof/>
          <w:sz w:val="22"/>
          <w:szCs w:val="22"/>
        </w:rPr>
        <w:t>97</w:t>
      </w:r>
      <w:r w:rsidRPr="00DD4EF0">
        <w:rPr>
          <w:sz w:val="22"/>
          <w:szCs w:val="22"/>
        </w:rPr>
        <w:fldChar w:fldCharType="end"/>
      </w:r>
      <w:r w:rsidRPr="00DD4EF0">
        <w:rPr>
          <w:sz w:val="22"/>
          <w:szCs w:val="22"/>
        </w:rPr>
        <w:t xml:space="preserve">. </w:t>
      </w:r>
      <w:r w:rsidRPr="00DD4EF0">
        <w:rPr>
          <w:bCs/>
          <w:sz w:val="22"/>
          <w:szCs w:val="22"/>
          <w:lang w:val="pl-PL"/>
        </w:rPr>
        <w:t>Kluby sportowe w latach 2014-2018</w:t>
      </w:r>
      <w:bookmarkEnd w:id="290"/>
    </w:p>
    <w:p w14:paraId="0A6E64D7" w14:textId="527FAF46" w:rsidR="00AD7293" w:rsidRDefault="00AD7293" w:rsidP="00AD7293">
      <w:pPr>
        <w:spacing w:after="0" w:line="240" w:lineRule="auto"/>
        <w:jc w:val="center"/>
        <w:rPr>
          <w:rFonts w:eastAsiaTheme="majorEastAsia" w:cstheme="majorBidi"/>
          <w:color w:val="2E74B5" w:themeColor="accent1" w:themeShade="BF"/>
          <w:sz w:val="32"/>
          <w:szCs w:val="32"/>
        </w:rPr>
      </w:pPr>
      <w:r>
        <w:rPr>
          <w:noProof/>
          <w:lang w:eastAsia="pl-PL"/>
        </w:rPr>
        <w:drawing>
          <wp:inline distT="0" distB="0" distL="0" distR="0" wp14:anchorId="5F9295CC" wp14:editId="183E05D2">
            <wp:extent cx="3827721" cy="2424223"/>
            <wp:effectExtent l="0" t="0" r="1905" b="14605"/>
            <wp:docPr id="60" name="Wykres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504F0394" w14:textId="3D9F240E" w:rsidR="00AD7293" w:rsidRPr="00394AE5" w:rsidRDefault="00AD7293" w:rsidP="00AD7293">
      <w:pPr>
        <w:spacing w:after="0" w:line="240" w:lineRule="auto"/>
        <w:jc w:val="center"/>
        <w:rPr>
          <w:i/>
          <w:sz w:val="20"/>
          <w:szCs w:val="20"/>
        </w:rPr>
      </w:pPr>
      <w:r w:rsidRPr="00394AE5">
        <w:rPr>
          <w:i/>
          <w:sz w:val="20"/>
          <w:szCs w:val="20"/>
        </w:rPr>
        <w:t>źródło: opracowanie własne na podstawie danych GUS</w:t>
      </w:r>
      <w:r w:rsidR="00873375">
        <w:rPr>
          <w:rStyle w:val="Odwoanieprzypisudolnego"/>
          <w:i/>
          <w:sz w:val="20"/>
          <w:szCs w:val="20"/>
        </w:rPr>
        <w:footnoteReference w:id="109"/>
      </w:r>
    </w:p>
    <w:p w14:paraId="0773FF41" w14:textId="77777777" w:rsidR="00AD7293" w:rsidRDefault="00AD7293" w:rsidP="00AD7293">
      <w:pPr>
        <w:jc w:val="center"/>
        <w:rPr>
          <w:rFonts w:eastAsiaTheme="majorEastAsia" w:cstheme="majorBidi"/>
          <w:color w:val="2E74B5" w:themeColor="accent1" w:themeShade="BF"/>
          <w:sz w:val="32"/>
          <w:szCs w:val="32"/>
        </w:rPr>
      </w:pPr>
    </w:p>
    <w:p w14:paraId="741CC980" w14:textId="5129118D" w:rsidR="00873375" w:rsidRDefault="00873375" w:rsidP="00873375">
      <w:pPr>
        <w:autoSpaceDE w:val="0"/>
        <w:autoSpaceDN w:val="0"/>
        <w:adjustRightInd w:val="0"/>
        <w:spacing w:after="120" w:line="240" w:lineRule="auto"/>
        <w:jc w:val="both"/>
        <w:rPr>
          <w:rFonts w:eastAsia="Times New Roman" w:cs="Times New Roman"/>
          <w:lang w:eastAsia="pl-PL"/>
        </w:rPr>
      </w:pPr>
      <w:r>
        <w:rPr>
          <w:rFonts w:cstheme="minorHAnsi"/>
        </w:rPr>
        <w:t xml:space="preserve">Wśród dyscyplin uprawianych w Olsztynie można </w:t>
      </w:r>
      <w:r w:rsidRPr="00453ABD">
        <w:rPr>
          <w:rFonts w:cstheme="minorHAnsi"/>
        </w:rPr>
        <w:t xml:space="preserve">wymienić m.in. </w:t>
      </w:r>
      <w:r w:rsidRPr="00453ABD">
        <w:rPr>
          <w:rFonts w:eastAsia="Times New Roman" w:cs="Times New Roman"/>
          <w:lang w:eastAsia="pl-PL"/>
        </w:rPr>
        <w:t>koszykówkę,</w:t>
      </w:r>
      <w:r w:rsidRPr="00453ABD">
        <w:rPr>
          <w:rFonts w:eastAsia="Times New Roman" w:cs="Times New Roman"/>
          <w:color w:val="FF0000"/>
          <w:lang w:eastAsia="pl-PL"/>
        </w:rPr>
        <w:t xml:space="preserve"> </w:t>
      </w:r>
      <w:r w:rsidRPr="00453ABD">
        <w:rPr>
          <w:rFonts w:eastAsia="Times New Roman" w:cs="Times New Roman"/>
          <w:lang w:eastAsia="pl-PL"/>
        </w:rPr>
        <w:t>kolarstwo,</w:t>
      </w:r>
      <w:r w:rsidRPr="00453ABD">
        <w:rPr>
          <w:rFonts w:eastAsia="Times New Roman" w:cs="Times New Roman"/>
          <w:color w:val="FF0000"/>
          <w:lang w:eastAsia="pl-PL"/>
        </w:rPr>
        <w:t xml:space="preserve"> </w:t>
      </w:r>
      <w:r w:rsidRPr="00453ABD">
        <w:rPr>
          <w:rFonts w:eastAsia="Times New Roman" w:cs="Times New Roman"/>
          <w:color w:val="000000" w:themeColor="text1"/>
          <w:lang w:eastAsia="pl-PL"/>
        </w:rPr>
        <w:t>kajakarstwo, żeglarstwo</w:t>
      </w:r>
      <w:r w:rsidRPr="00453ABD">
        <w:rPr>
          <w:rFonts w:eastAsia="Times New Roman" w:cs="Times New Roman"/>
          <w:lang w:eastAsia="pl-PL"/>
        </w:rPr>
        <w:t>,</w:t>
      </w:r>
      <w:r w:rsidRPr="00453ABD">
        <w:rPr>
          <w:rFonts w:eastAsia="Times New Roman" w:cs="Times New Roman"/>
          <w:color w:val="FF0000"/>
          <w:lang w:eastAsia="pl-PL"/>
        </w:rPr>
        <w:t xml:space="preserve"> </w:t>
      </w:r>
      <w:r w:rsidRPr="00453ABD">
        <w:rPr>
          <w:rFonts w:eastAsia="Times New Roman" w:cs="Times New Roman"/>
          <w:lang w:eastAsia="pl-PL"/>
        </w:rPr>
        <w:t>piłkę ręczną,</w:t>
      </w:r>
      <w:r w:rsidRPr="00453ABD">
        <w:rPr>
          <w:rFonts w:eastAsia="Times New Roman" w:cs="Times New Roman"/>
          <w:color w:val="FF0000"/>
          <w:lang w:eastAsia="pl-PL"/>
        </w:rPr>
        <w:t xml:space="preserve"> </w:t>
      </w:r>
      <w:r w:rsidRPr="00453ABD">
        <w:rPr>
          <w:rFonts w:eastAsia="Times New Roman" w:cs="Times New Roman"/>
          <w:lang w:eastAsia="pl-PL"/>
        </w:rPr>
        <w:t>piłkę siatkową,</w:t>
      </w:r>
      <w:r w:rsidRPr="00453ABD">
        <w:rPr>
          <w:rFonts w:eastAsia="Times New Roman" w:cs="Times New Roman"/>
          <w:color w:val="FF0000"/>
          <w:lang w:eastAsia="pl-PL"/>
        </w:rPr>
        <w:t xml:space="preserve"> </w:t>
      </w:r>
      <w:r w:rsidRPr="00453ABD">
        <w:rPr>
          <w:rFonts w:eastAsia="Times New Roman" w:cs="Times New Roman"/>
          <w:lang w:eastAsia="pl-PL"/>
        </w:rPr>
        <w:t>lekkoatletykę,</w:t>
      </w:r>
      <w:r w:rsidRPr="00453ABD">
        <w:rPr>
          <w:rFonts w:eastAsia="Times New Roman" w:cs="Times New Roman"/>
          <w:color w:val="FF0000"/>
          <w:lang w:eastAsia="pl-PL"/>
        </w:rPr>
        <w:t xml:space="preserve"> </w:t>
      </w:r>
      <w:r w:rsidRPr="00453ABD">
        <w:rPr>
          <w:rFonts w:eastAsia="Times New Roman" w:cs="Times New Roman"/>
          <w:lang w:eastAsia="pl-PL"/>
        </w:rPr>
        <w:t>taekwondo olimpijskie,</w:t>
      </w:r>
      <w:r w:rsidRPr="00453ABD">
        <w:rPr>
          <w:rFonts w:eastAsia="Times New Roman" w:cs="Times New Roman"/>
          <w:color w:val="FF0000"/>
          <w:lang w:eastAsia="pl-PL"/>
        </w:rPr>
        <w:t xml:space="preserve"> </w:t>
      </w:r>
      <w:r w:rsidRPr="00453ABD">
        <w:rPr>
          <w:rFonts w:eastAsia="Times New Roman" w:cs="Times New Roman"/>
          <w:lang w:eastAsia="pl-PL"/>
        </w:rPr>
        <w:t>pływanie, kanadyjki, zapasy, judo, piłkę nożną, kolarstwo niepełnosprawnych, short track, gimnastykę sportową, tenis, szermierkę, strzelectwo i in.</w:t>
      </w:r>
      <w:r>
        <w:rPr>
          <w:rFonts w:eastAsia="Times New Roman" w:cs="Times New Roman"/>
          <w:lang w:eastAsia="pl-PL"/>
        </w:rPr>
        <w:t xml:space="preserve"> </w:t>
      </w:r>
    </w:p>
    <w:p w14:paraId="716F8D74" w14:textId="3C724451" w:rsidR="00AD7293" w:rsidRDefault="0071774D" w:rsidP="00592D16">
      <w:pPr>
        <w:jc w:val="both"/>
      </w:pPr>
      <w:r>
        <w:lastRenderedPageBreak/>
        <w:t xml:space="preserve">W badanym okresie 2014-2018, w każdym z omawianych ośrodków, wskaźnik aktywności sportowej wyrażony liczbą członków klubów sportowych </w:t>
      </w:r>
      <w:r w:rsidR="00592D16">
        <w:t xml:space="preserve">w </w:t>
      </w:r>
      <w:r>
        <w:t>przelicz</w:t>
      </w:r>
      <w:r w:rsidR="00592D16">
        <w:t>eniu</w:t>
      </w:r>
      <w:r>
        <w:t xml:space="preserve"> na 1000 ludności</w:t>
      </w:r>
      <w:r w:rsidR="00592D16">
        <w:t>,</w:t>
      </w:r>
      <w:r>
        <w:t xml:space="preserve"> charakteryzuje stała tendencja wzrostowa. </w:t>
      </w:r>
      <w:r w:rsidR="00592D16">
        <w:t xml:space="preserve">W Olsztynie w roku 2018 zaobserwowano wzrost o prawie 14% w roku 2018 </w:t>
      </w:r>
      <w:r w:rsidR="00592D16">
        <w:br/>
        <w:t xml:space="preserve">w porównaniu do 2014 roku. </w:t>
      </w:r>
      <w:r>
        <w:t xml:space="preserve">W roku 2018 najbardziej aktywnymi mieszkańcami byli rzeszowianie </w:t>
      </w:r>
      <w:r w:rsidR="00343F43">
        <w:t xml:space="preserve">- </w:t>
      </w:r>
      <w:r w:rsidR="00592D16">
        <w:t xml:space="preserve">na 1000 mieszkańców </w:t>
      </w:r>
      <w:r>
        <w:t>5</w:t>
      </w:r>
      <w:r w:rsidR="00592D16">
        <w:t>4 osoby był</w:t>
      </w:r>
      <w:r w:rsidR="008875C7">
        <w:t>y</w:t>
      </w:r>
      <w:r w:rsidR="00592D16">
        <w:t xml:space="preserve"> członkami klubów sportowych.</w:t>
      </w:r>
    </w:p>
    <w:p w14:paraId="76183F14" w14:textId="0987AAFB" w:rsidR="00AD7293" w:rsidRPr="00DD4EF0" w:rsidRDefault="00DD4EF0" w:rsidP="00DD4EF0">
      <w:pPr>
        <w:pStyle w:val="Legenda"/>
        <w:rPr>
          <w:rFonts w:cstheme="minorHAnsi"/>
          <w:sz w:val="22"/>
          <w:szCs w:val="22"/>
        </w:rPr>
      </w:pPr>
      <w:bookmarkStart w:id="291" w:name="_Toc73534997"/>
      <w:r w:rsidRPr="00DD4EF0">
        <w:rPr>
          <w:sz w:val="22"/>
          <w:szCs w:val="22"/>
        </w:rPr>
        <w:t xml:space="preserve">Tabela </w:t>
      </w:r>
      <w:r w:rsidRPr="00DD4EF0">
        <w:rPr>
          <w:sz w:val="22"/>
          <w:szCs w:val="22"/>
        </w:rPr>
        <w:fldChar w:fldCharType="begin"/>
      </w:r>
      <w:r w:rsidRPr="00DD4EF0">
        <w:rPr>
          <w:sz w:val="22"/>
          <w:szCs w:val="22"/>
        </w:rPr>
        <w:instrText xml:space="preserve"> SEQ Tabela \* ARABIC </w:instrText>
      </w:r>
      <w:r w:rsidRPr="00DD4EF0">
        <w:rPr>
          <w:sz w:val="22"/>
          <w:szCs w:val="22"/>
        </w:rPr>
        <w:fldChar w:fldCharType="separate"/>
      </w:r>
      <w:r w:rsidR="00AD58C3">
        <w:rPr>
          <w:noProof/>
          <w:sz w:val="22"/>
          <w:szCs w:val="22"/>
        </w:rPr>
        <w:t>34</w:t>
      </w:r>
      <w:r w:rsidRPr="00DD4EF0">
        <w:rPr>
          <w:sz w:val="22"/>
          <w:szCs w:val="22"/>
        </w:rPr>
        <w:fldChar w:fldCharType="end"/>
      </w:r>
      <w:r w:rsidRPr="00DD4EF0">
        <w:rPr>
          <w:sz w:val="22"/>
          <w:szCs w:val="22"/>
        </w:rPr>
        <w:t>. C</w:t>
      </w:r>
      <w:r w:rsidRPr="00DD4EF0">
        <w:rPr>
          <w:sz w:val="22"/>
          <w:szCs w:val="22"/>
          <w:lang w:eastAsia="pl-PL"/>
        </w:rPr>
        <w:t>złonkowie klubów sportowych w przeliczeniu na 1000 mieszkańców (os.)</w:t>
      </w:r>
      <w:r w:rsidR="00481752">
        <w:rPr>
          <w:rStyle w:val="Odwoanieprzypisudolnego"/>
          <w:sz w:val="22"/>
          <w:szCs w:val="22"/>
          <w:lang w:eastAsia="pl-PL"/>
        </w:rPr>
        <w:footnoteReference w:id="110"/>
      </w:r>
      <w:bookmarkEnd w:id="291"/>
    </w:p>
    <w:tbl>
      <w:tblPr>
        <w:tblW w:w="4542" w:type="dxa"/>
        <w:jc w:val="center"/>
        <w:tblCellMar>
          <w:left w:w="70" w:type="dxa"/>
          <w:right w:w="70" w:type="dxa"/>
        </w:tblCellMar>
        <w:tblLook w:val="04A0" w:firstRow="1" w:lastRow="0" w:firstColumn="1" w:lastColumn="0" w:noHBand="0" w:noVBand="1"/>
      </w:tblPr>
      <w:tblGrid>
        <w:gridCol w:w="1102"/>
        <w:gridCol w:w="1167"/>
        <w:gridCol w:w="1173"/>
        <w:gridCol w:w="1100"/>
      </w:tblGrid>
      <w:tr w:rsidR="00592770" w:rsidRPr="00592770" w14:paraId="2F5A87DF" w14:textId="77777777" w:rsidTr="00DD4EF0">
        <w:trPr>
          <w:trHeight w:val="300"/>
          <w:jc w:val="center"/>
        </w:trPr>
        <w:tc>
          <w:tcPr>
            <w:tcW w:w="1102" w:type="dxa"/>
            <w:tcBorders>
              <w:top w:val="nil"/>
              <w:left w:val="nil"/>
              <w:bottom w:val="single" w:sz="4" w:space="0" w:color="auto"/>
              <w:right w:val="nil"/>
            </w:tcBorders>
            <w:shd w:val="clear" w:color="auto" w:fill="auto"/>
            <w:noWrap/>
            <w:vAlign w:val="bottom"/>
            <w:hideMark/>
          </w:tcPr>
          <w:p w14:paraId="63DFC32B" w14:textId="77777777" w:rsidR="00592770" w:rsidRPr="00592770" w:rsidRDefault="00592770" w:rsidP="00592770">
            <w:pPr>
              <w:spacing w:after="0" w:line="240" w:lineRule="auto"/>
              <w:rPr>
                <w:rFonts w:ascii="Calibri" w:eastAsia="Times New Roman" w:hAnsi="Calibri" w:cs="Times New Roman"/>
                <w:color w:val="000000"/>
                <w:lang w:eastAsia="pl-PL"/>
              </w:rPr>
            </w:pPr>
          </w:p>
        </w:tc>
        <w:tc>
          <w:tcPr>
            <w:tcW w:w="1167" w:type="dxa"/>
            <w:tcBorders>
              <w:top w:val="single" w:sz="4" w:space="0" w:color="auto"/>
              <w:left w:val="single" w:sz="4" w:space="0" w:color="000000"/>
              <w:bottom w:val="single" w:sz="4" w:space="0" w:color="auto"/>
              <w:right w:val="single" w:sz="4" w:space="0" w:color="000000"/>
            </w:tcBorders>
            <w:shd w:val="clear" w:color="auto" w:fill="92D050"/>
            <w:vAlign w:val="center"/>
            <w:hideMark/>
          </w:tcPr>
          <w:p w14:paraId="1A4F3FFC" w14:textId="77777777" w:rsidR="00592770" w:rsidRPr="00592770" w:rsidRDefault="00592770" w:rsidP="00592770">
            <w:pPr>
              <w:spacing w:after="0" w:line="240" w:lineRule="auto"/>
              <w:jc w:val="center"/>
              <w:rPr>
                <w:rFonts w:ascii="Calibri" w:eastAsia="Times New Roman" w:hAnsi="Calibri" w:cs="Times New Roman"/>
                <w:b/>
                <w:color w:val="000000"/>
                <w:lang w:eastAsia="pl-PL"/>
              </w:rPr>
            </w:pPr>
            <w:r w:rsidRPr="00592770">
              <w:rPr>
                <w:rFonts w:ascii="Calibri" w:eastAsia="Times New Roman" w:hAnsi="Calibri" w:cs="Times New Roman"/>
                <w:b/>
                <w:color w:val="000000"/>
                <w:lang w:eastAsia="pl-PL"/>
              </w:rPr>
              <w:t>2014</w:t>
            </w:r>
          </w:p>
        </w:tc>
        <w:tc>
          <w:tcPr>
            <w:tcW w:w="1173" w:type="dxa"/>
            <w:tcBorders>
              <w:top w:val="single" w:sz="4" w:space="0" w:color="auto"/>
              <w:left w:val="nil"/>
              <w:bottom w:val="single" w:sz="4" w:space="0" w:color="auto"/>
              <w:right w:val="single" w:sz="4" w:space="0" w:color="000000"/>
            </w:tcBorders>
            <w:shd w:val="clear" w:color="auto" w:fill="92D050"/>
            <w:vAlign w:val="center"/>
            <w:hideMark/>
          </w:tcPr>
          <w:p w14:paraId="6D566795" w14:textId="77777777" w:rsidR="00592770" w:rsidRPr="00592770" w:rsidRDefault="00592770" w:rsidP="00592770">
            <w:pPr>
              <w:spacing w:after="0" w:line="240" w:lineRule="auto"/>
              <w:jc w:val="center"/>
              <w:rPr>
                <w:rFonts w:ascii="Calibri" w:eastAsia="Times New Roman" w:hAnsi="Calibri" w:cs="Times New Roman"/>
                <w:b/>
                <w:color w:val="000000"/>
                <w:lang w:eastAsia="pl-PL"/>
              </w:rPr>
            </w:pPr>
            <w:r w:rsidRPr="00592770">
              <w:rPr>
                <w:rFonts w:ascii="Calibri" w:eastAsia="Times New Roman" w:hAnsi="Calibri" w:cs="Times New Roman"/>
                <w:b/>
                <w:color w:val="000000"/>
                <w:lang w:eastAsia="pl-PL"/>
              </w:rPr>
              <w:t>2016</w:t>
            </w:r>
          </w:p>
        </w:tc>
        <w:tc>
          <w:tcPr>
            <w:tcW w:w="1100" w:type="dxa"/>
            <w:tcBorders>
              <w:top w:val="single" w:sz="4" w:space="0" w:color="auto"/>
              <w:left w:val="nil"/>
              <w:bottom w:val="single" w:sz="4" w:space="0" w:color="auto"/>
              <w:right w:val="single" w:sz="4" w:space="0" w:color="000000"/>
            </w:tcBorders>
            <w:shd w:val="clear" w:color="auto" w:fill="92D050"/>
            <w:vAlign w:val="center"/>
            <w:hideMark/>
          </w:tcPr>
          <w:p w14:paraId="26D0B272" w14:textId="77777777" w:rsidR="00592770" w:rsidRPr="00592770" w:rsidRDefault="00592770" w:rsidP="00592770">
            <w:pPr>
              <w:spacing w:after="0" w:line="240" w:lineRule="auto"/>
              <w:jc w:val="center"/>
              <w:rPr>
                <w:rFonts w:ascii="Calibri" w:eastAsia="Times New Roman" w:hAnsi="Calibri" w:cs="Times New Roman"/>
                <w:b/>
                <w:color w:val="000000"/>
                <w:lang w:eastAsia="pl-PL"/>
              </w:rPr>
            </w:pPr>
            <w:r w:rsidRPr="00592770">
              <w:rPr>
                <w:rFonts w:ascii="Calibri" w:eastAsia="Times New Roman" w:hAnsi="Calibri" w:cs="Times New Roman"/>
                <w:b/>
                <w:color w:val="000000"/>
                <w:lang w:eastAsia="pl-PL"/>
              </w:rPr>
              <w:t>2018</w:t>
            </w:r>
          </w:p>
        </w:tc>
      </w:tr>
      <w:tr w:rsidR="00592770" w:rsidRPr="00592770" w14:paraId="4B48EFE3" w14:textId="77777777" w:rsidTr="0071774D">
        <w:trPr>
          <w:trHeight w:val="300"/>
          <w:jc w:val="center"/>
        </w:trPr>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1B424A" w14:textId="77777777" w:rsidR="00592770" w:rsidRPr="00592770" w:rsidRDefault="00592770" w:rsidP="00592770">
            <w:pPr>
              <w:spacing w:after="0" w:line="240" w:lineRule="auto"/>
              <w:rPr>
                <w:rFonts w:ascii="Calibri" w:eastAsia="Times New Roman" w:hAnsi="Calibri" w:cs="Times New Roman"/>
                <w:lang w:eastAsia="pl-PL"/>
              </w:rPr>
            </w:pPr>
            <w:r w:rsidRPr="00592770">
              <w:rPr>
                <w:rFonts w:ascii="Calibri" w:eastAsia="Times New Roman" w:hAnsi="Calibri" w:cs="Times New Roman"/>
                <w:lang w:eastAsia="pl-PL"/>
              </w:rPr>
              <w:t>Olsztyn</w:t>
            </w:r>
          </w:p>
        </w:tc>
        <w:tc>
          <w:tcPr>
            <w:tcW w:w="11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CAE747" w14:textId="77777777" w:rsidR="00592770" w:rsidRPr="00592770" w:rsidRDefault="00592770" w:rsidP="00592770">
            <w:pPr>
              <w:spacing w:after="0" w:line="240" w:lineRule="auto"/>
              <w:jc w:val="right"/>
              <w:rPr>
                <w:rFonts w:ascii="Calibri" w:eastAsia="Times New Roman" w:hAnsi="Calibri" w:cs="Times New Roman"/>
                <w:lang w:eastAsia="pl-PL"/>
              </w:rPr>
            </w:pPr>
            <w:r w:rsidRPr="00592770">
              <w:rPr>
                <w:rFonts w:ascii="Calibri" w:eastAsia="Times New Roman" w:hAnsi="Calibri" w:cs="Times New Roman"/>
                <w:lang w:eastAsia="pl-PL"/>
              </w:rPr>
              <w:t>22,7</w:t>
            </w:r>
          </w:p>
        </w:tc>
        <w:tc>
          <w:tcPr>
            <w:tcW w:w="11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1752D3" w14:textId="77777777" w:rsidR="00592770" w:rsidRPr="00592770" w:rsidRDefault="00592770" w:rsidP="00592770">
            <w:pPr>
              <w:spacing w:after="0" w:line="240" w:lineRule="auto"/>
              <w:jc w:val="right"/>
              <w:rPr>
                <w:rFonts w:ascii="Calibri" w:eastAsia="Times New Roman" w:hAnsi="Calibri" w:cs="Times New Roman"/>
                <w:lang w:eastAsia="pl-PL"/>
              </w:rPr>
            </w:pPr>
            <w:r w:rsidRPr="00592770">
              <w:rPr>
                <w:rFonts w:ascii="Calibri" w:eastAsia="Times New Roman" w:hAnsi="Calibri" w:cs="Times New Roman"/>
                <w:lang w:eastAsia="pl-PL"/>
              </w:rPr>
              <w:t>24,5</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D16629" w14:textId="77777777" w:rsidR="00592770" w:rsidRPr="00592770" w:rsidRDefault="00592770" w:rsidP="00592770">
            <w:pPr>
              <w:spacing w:after="0" w:line="240" w:lineRule="auto"/>
              <w:jc w:val="right"/>
              <w:rPr>
                <w:rFonts w:ascii="Calibri" w:eastAsia="Times New Roman" w:hAnsi="Calibri" w:cs="Times New Roman"/>
                <w:lang w:eastAsia="pl-PL"/>
              </w:rPr>
            </w:pPr>
            <w:r w:rsidRPr="00592770">
              <w:rPr>
                <w:rFonts w:ascii="Calibri" w:eastAsia="Times New Roman" w:hAnsi="Calibri" w:cs="Times New Roman"/>
                <w:lang w:eastAsia="pl-PL"/>
              </w:rPr>
              <w:t>26,3</w:t>
            </w:r>
          </w:p>
        </w:tc>
      </w:tr>
      <w:tr w:rsidR="00592770" w:rsidRPr="00592770" w14:paraId="37543013" w14:textId="77777777" w:rsidTr="0071774D">
        <w:trPr>
          <w:trHeight w:val="300"/>
          <w:jc w:val="center"/>
        </w:trPr>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27ABC2" w14:textId="77777777" w:rsidR="00592770" w:rsidRPr="00592770" w:rsidRDefault="00592770" w:rsidP="00592770">
            <w:pPr>
              <w:spacing w:after="0" w:line="240" w:lineRule="auto"/>
              <w:rPr>
                <w:rFonts w:ascii="Calibri" w:eastAsia="Times New Roman" w:hAnsi="Calibri" w:cs="Times New Roman"/>
                <w:lang w:eastAsia="pl-PL"/>
              </w:rPr>
            </w:pPr>
            <w:r w:rsidRPr="00592770">
              <w:rPr>
                <w:rFonts w:ascii="Calibri" w:eastAsia="Times New Roman" w:hAnsi="Calibri" w:cs="Times New Roman"/>
                <w:lang w:eastAsia="pl-PL"/>
              </w:rPr>
              <w:t>Kielce</w:t>
            </w:r>
          </w:p>
        </w:tc>
        <w:tc>
          <w:tcPr>
            <w:tcW w:w="11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F51894" w14:textId="77777777" w:rsidR="00592770" w:rsidRPr="00592770" w:rsidRDefault="00592770" w:rsidP="00592770">
            <w:pPr>
              <w:spacing w:after="0" w:line="240" w:lineRule="auto"/>
              <w:jc w:val="right"/>
              <w:rPr>
                <w:rFonts w:ascii="Calibri" w:eastAsia="Times New Roman" w:hAnsi="Calibri" w:cs="Times New Roman"/>
                <w:lang w:eastAsia="pl-PL"/>
              </w:rPr>
            </w:pPr>
            <w:r w:rsidRPr="00592770">
              <w:rPr>
                <w:rFonts w:ascii="Calibri" w:eastAsia="Times New Roman" w:hAnsi="Calibri" w:cs="Times New Roman"/>
                <w:lang w:eastAsia="pl-PL"/>
              </w:rPr>
              <w:t>23,2</w:t>
            </w:r>
          </w:p>
        </w:tc>
        <w:tc>
          <w:tcPr>
            <w:tcW w:w="11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BCBD35" w14:textId="77777777" w:rsidR="00592770" w:rsidRPr="00592770" w:rsidRDefault="00592770" w:rsidP="00592770">
            <w:pPr>
              <w:spacing w:after="0" w:line="240" w:lineRule="auto"/>
              <w:jc w:val="right"/>
              <w:rPr>
                <w:rFonts w:ascii="Calibri" w:eastAsia="Times New Roman" w:hAnsi="Calibri" w:cs="Times New Roman"/>
                <w:lang w:eastAsia="pl-PL"/>
              </w:rPr>
            </w:pPr>
            <w:r w:rsidRPr="00592770">
              <w:rPr>
                <w:rFonts w:ascii="Calibri" w:eastAsia="Times New Roman" w:hAnsi="Calibri" w:cs="Times New Roman"/>
                <w:lang w:eastAsia="pl-PL"/>
              </w:rPr>
              <w:t>28,3</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B3731F" w14:textId="77777777" w:rsidR="00592770" w:rsidRPr="00592770" w:rsidRDefault="00592770" w:rsidP="00592770">
            <w:pPr>
              <w:spacing w:after="0" w:line="240" w:lineRule="auto"/>
              <w:jc w:val="right"/>
              <w:rPr>
                <w:rFonts w:ascii="Calibri" w:eastAsia="Times New Roman" w:hAnsi="Calibri" w:cs="Times New Roman"/>
                <w:lang w:eastAsia="pl-PL"/>
              </w:rPr>
            </w:pPr>
            <w:r w:rsidRPr="00592770">
              <w:rPr>
                <w:rFonts w:ascii="Calibri" w:eastAsia="Times New Roman" w:hAnsi="Calibri" w:cs="Times New Roman"/>
                <w:lang w:eastAsia="pl-PL"/>
              </w:rPr>
              <w:t>42,8</w:t>
            </w:r>
          </w:p>
        </w:tc>
      </w:tr>
      <w:tr w:rsidR="00592770" w:rsidRPr="00592770" w14:paraId="14171CA9" w14:textId="77777777" w:rsidTr="0071774D">
        <w:trPr>
          <w:trHeight w:val="300"/>
          <w:jc w:val="center"/>
        </w:trPr>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C50B24" w14:textId="77777777" w:rsidR="00592770" w:rsidRPr="00592770" w:rsidRDefault="00592770" w:rsidP="00592770">
            <w:pPr>
              <w:spacing w:after="0" w:line="240" w:lineRule="auto"/>
              <w:rPr>
                <w:rFonts w:ascii="Calibri" w:eastAsia="Times New Roman" w:hAnsi="Calibri" w:cs="Times New Roman"/>
                <w:lang w:eastAsia="pl-PL"/>
              </w:rPr>
            </w:pPr>
            <w:r w:rsidRPr="00592770">
              <w:rPr>
                <w:rFonts w:ascii="Calibri" w:eastAsia="Times New Roman" w:hAnsi="Calibri" w:cs="Times New Roman"/>
                <w:lang w:eastAsia="pl-PL"/>
              </w:rPr>
              <w:t>Białystok</w:t>
            </w:r>
          </w:p>
        </w:tc>
        <w:tc>
          <w:tcPr>
            <w:tcW w:w="11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492D6F" w14:textId="77777777" w:rsidR="00592770" w:rsidRPr="00592770" w:rsidRDefault="00592770" w:rsidP="00592770">
            <w:pPr>
              <w:spacing w:after="0" w:line="240" w:lineRule="auto"/>
              <w:jc w:val="right"/>
              <w:rPr>
                <w:rFonts w:ascii="Calibri" w:eastAsia="Times New Roman" w:hAnsi="Calibri" w:cs="Times New Roman"/>
                <w:lang w:eastAsia="pl-PL"/>
              </w:rPr>
            </w:pPr>
            <w:r w:rsidRPr="00592770">
              <w:rPr>
                <w:rFonts w:ascii="Calibri" w:eastAsia="Times New Roman" w:hAnsi="Calibri" w:cs="Times New Roman"/>
                <w:lang w:eastAsia="pl-PL"/>
              </w:rPr>
              <w:t>31,1</w:t>
            </w:r>
          </w:p>
        </w:tc>
        <w:tc>
          <w:tcPr>
            <w:tcW w:w="11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60CE7E" w14:textId="77777777" w:rsidR="00592770" w:rsidRPr="00592770" w:rsidRDefault="00592770" w:rsidP="00592770">
            <w:pPr>
              <w:spacing w:after="0" w:line="240" w:lineRule="auto"/>
              <w:jc w:val="right"/>
              <w:rPr>
                <w:rFonts w:ascii="Calibri" w:eastAsia="Times New Roman" w:hAnsi="Calibri" w:cs="Times New Roman"/>
                <w:lang w:eastAsia="pl-PL"/>
              </w:rPr>
            </w:pPr>
            <w:r w:rsidRPr="00592770">
              <w:rPr>
                <w:rFonts w:ascii="Calibri" w:eastAsia="Times New Roman" w:hAnsi="Calibri" w:cs="Times New Roman"/>
                <w:lang w:eastAsia="pl-PL"/>
              </w:rPr>
              <w:t>34,2</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DEA970" w14:textId="77777777" w:rsidR="00592770" w:rsidRPr="00592770" w:rsidRDefault="00592770" w:rsidP="00592770">
            <w:pPr>
              <w:spacing w:after="0" w:line="240" w:lineRule="auto"/>
              <w:jc w:val="right"/>
              <w:rPr>
                <w:rFonts w:ascii="Calibri" w:eastAsia="Times New Roman" w:hAnsi="Calibri" w:cs="Times New Roman"/>
                <w:lang w:eastAsia="pl-PL"/>
              </w:rPr>
            </w:pPr>
            <w:r w:rsidRPr="00592770">
              <w:rPr>
                <w:rFonts w:ascii="Calibri" w:eastAsia="Times New Roman" w:hAnsi="Calibri" w:cs="Times New Roman"/>
                <w:lang w:eastAsia="pl-PL"/>
              </w:rPr>
              <w:t>40,9</w:t>
            </w:r>
          </w:p>
        </w:tc>
      </w:tr>
      <w:tr w:rsidR="00592770" w:rsidRPr="00592770" w14:paraId="059CC49B" w14:textId="77777777" w:rsidTr="0071774D">
        <w:trPr>
          <w:trHeight w:val="300"/>
          <w:jc w:val="center"/>
        </w:trPr>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B3333E" w14:textId="77777777" w:rsidR="00592770" w:rsidRPr="00592770" w:rsidRDefault="00592770" w:rsidP="00592770">
            <w:pPr>
              <w:spacing w:after="0" w:line="240" w:lineRule="auto"/>
              <w:rPr>
                <w:rFonts w:ascii="Calibri" w:eastAsia="Times New Roman" w:hAnsi="Calibri" w:cs="Times New Roman"/>
                <w:lang w:eastAsia="pl-PL"/>
              </w:rPr>
            </w:pPr>
            <w:r w:rsidRPr="00592770">
              <w:rPr>
                <w:rFonts w:ascii="Calibri" w:eastAsia="Times New Roman" w:hAnsi="Calibri" w:cs="Times New Roman"/>
                <w:lang w:eastAsia="pl-PL"/>
              </w:rPr>
              <w:t>Rzeszów</w:t>
            </w:r>
          </w:p>
        </w:tc>
        <w:tc>
          <w:tcPr>
            <w:tcW w:w="11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C1C609" w14:textId="77777777" w:rsidR="00592770" w:rsidRPr="00592770" w:rsidRDefault="00592770" w:rsidP="00592770">
            <w:pPr>
              <w:spacing w:after="0" w:line="240" w:lineRule="auto"/>
              <w:jc w:val="right"/>
              <w:rPr>
                <w:rFonts w:ascii="Calibri" w:eastAsia="Times New Roman" w:hAnsi="Calibri" w:cs="Times New Roman"/>
                <w:lang w:eastAsia="pl-PL"/>
              </w:rPr>
            </w:pPr>
            <w:r w:rsidRPr="00592770">
              <w:rPr>
                <w:rFonts w:ascii="Calibri" w:eastAsia="Times New Roman" w:hAnsi="Calibri" w:cs="Times New Roman"/>
                <w:lang w:eastAsia="pl-PL"/>
              </w:rPr>
              <w:t>32,3</w:t>
            </w:r>
          </w:p>
        </w:tc>
        <w:tc>
          <w:tcPr>
            <w:tcW w:w="11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7326A" w14:textId="77777777" w:rsidR="00592770" w:rsidRPr="00592770" w:rsidRDefault="00592770" w:rsidP="00592770">
            <w:pPr>
              <w:spacing w:after="0" w:line="240" w:lineRule="auto"/>
              <w:jc w:val="right"/>
              <w:rPr>
                <w:rFonts w:ascii="Calibri" w:eastAsia="Times New Roman" w:hAnsi="Calibri" w:cs="Times New Roman"/>
                <w:lang w:eastAsia="pl-PL"/>
              </w:rPr>
            </w:pPr>
            <w:r w:rsidRPr="00592770">
              <w:rPr>
                <w:rFonts w:ascii="Calibri" w:eastAsia="Times New Roman" w:hAnsi="Calibri" w:cs="Times New Roman"/>
                <w:lang w:eastAsia="pl-PL"/>
              </w:rPr>
              <w:t>39,0</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B602F7" w14:textId="77777777" w:rsidR="00592770" w:rsidRPr="00592770" w:rsidRDefault="00592770" w:rsidP="00592770">
            <w:pPr>
              <w:spacing w:after="0" w:line="240" w:lineRule="auto"/>
              <w:jc w:val="right"/>
              <w:rPr>
                <w:rFonts w:ascii="Calibri" w:eastAsia="Times New Roman" w:hAnsi="Calibri" w:cs="Times New Roman"/>
                <w:lang w:eastAsia="pl-PL"/>
              </w:rPr>
            </w:pPr>
            <w:r w:rsidRPr="00592770">
              <w:rPr>
                <w:rFonts w:ascii="Calibri" w:eastAsia="Times New Roman" w:hAnsi="Calibri" w:cs="Times New Roman"/>
                <w:lang w:eastAsia="pl-PL"/>
              </w:rPr>
              <w:t>53,6</w:t>
            </w:r>
          </w:p>
        </w:tc>
      </w:tr>
      <w:tr w:rsidR="00592770" w:rsidRPr="00592770" w14:paraId="1DF291F1" w14:textId="77777777" w:rsidTr="0071774D">
        <w:trPr>
          <w:trHeight w:val="300"/>
          <w:jc w:val="center"/>
        </w:trPr>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2F1FFC" w14:textId="77777777" w:rsidR="00592770" w:rsidRPr="00592770" w:rsidRDefault="00592770" w:rsidP="00592770">
            <w:pPr>
              <w:spacing w:after="0" w:line="240" w:lineRule="auto"/>
              <w:rPr>
                <w:rFonts w:ascii="Calibri" w:eastAsia="Times New Roman" w:hAnsi="Calibri" w:cs="Times New Roman"/>
                <w:lang w:eastAsia="pl-PL"/>
              </w:rPr>
            </w:pPr>
            <w:r w:rsidRPr="00592770">
              <w:rPr>
                <w:rFonts w:ascii="Calibri" w:eastAsia="Times New Roman" w:hAnsi="Calibri" w:cs="Times New Roman"/>
                <w:lang w:eastAsia="pl-PL"/>
              </w:rPr>
              <w:t>Lublin</w:t>
            </w:r>
          </w:p>
        </w:tc>
        <w:tc>
          <w:tcPr>
            <w:tcW w:w="11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EAF0CC" w14:textId="77777777" w:rsidR="00592770" w:rsidRPr="00592770" w:rsidRDefault="00592770" w:rsidP="00592770">
            <w:pPr>
              <w:spacing w:after="0" w:line="240" w:lineRule="auto"/>
              <w:jc w:val="right"/>
              <w:rPr>
                <w:rFonts w:ascii="Calibri" w:eastAsia="Times New Roman" w:hAnsi="Calibri" w:cs="Times New Roman"/>
                <w:lang w:eastAsia="pl-PL"/>
              </w:rPr>
            </w:pPr>
            <w:r w:rsidRPr="00592770">
              <w:rPr>
                <w:rFonts w:ascii="Calibri" w:eastAsia="Times New Roman" w:hAnsi="Calibri" w:cs="Times New Roman"/>
                <w:lang w:eastAsia="pl-PL"/>
              </w:rPr>
              <w:t>21,1</w:t>
            </w:r>
          </w:p>
        </w:tc>
        <w:tc>
          <w:tcPr>
            <w:tcW w:w="11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248B50" w14:textId="77777777" w:rsidR="00592770" w:rsidRPr="00592770" w:rsidRDefault="00592770" w:rsidP="00592770">
            <w:pPr>
              <w:spacing w:after="0" w:line="240" w:lineRule="auto"/>
              <w:jc w:val="right"/>
              <w:rPr>
                <w:rFonts w:ascii="Calibri" w:eastAsia="Times New Roman" w:hAnsi="Calibri" w:cs="Times New Roman"/>
                <w:lang w:eastAsia="pl-PL"/>
              </w:rPr>
            </w:pPr>
            <w:r w:rsidRPr="00592770">
              <w:rPr>
                <w:rFonts w:ascii="Calibri" w:eastAsia="Times New Roman" w:hAnsi="Calibri" w:cs="Times New Roman"/>
                <w:lang w:eastAsia="pl-PL"/>
              </w:rPr>
              <w:t>21,7</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0167A9" w14:textId="77777777" w:rsidR="00592770" w:rsidRPr="00592770" w:rsidRDefault="00592770" w:rsidP="00592770">
            <w:pPr>
              <w:spacing w:after="0" w:line="240" w:lineRule="auto"/>
              <w:jc w:val="right"/>
              <w:rPr>
                <w:rFonts w:ascii="Calibri" w:eastAsia="Times New Roman" w:hAnsi="Calibri" w:cs="Times New Roman"/>
                <w:lang w:eastAsia="pl-PL"/>
              </w:rPr>
            </w:pPr>
            <w:r w:rsidRPr="00592770">
              <w:rPr>
                <w:rFonts w:ascii="Calibri" w:eastAsia="Times New Roman" w:hAnsi="Calibri" w:cs="Times New Roman"/>
                <w:lang w:eastAsia="pl-PL"/>
              </w:rPr>
              <w:t>25,6</w:t>
            </w:r>
          </w:p>
        </w:tc>
      </w:tr>
    </w:tbl>
    <w:p w14:paraId="5845045B" w14:textId="77777777" w:rsidR="0071774D" w:rsidRDefault="0071774D" w:rsidP="0071774D">
      <w:pPr>
        <w:spacing w:after="0" w:line="240" w:lineRule="auto"/>
        <w:jc w:val="center"/>
        <w:rPr>
          <w:i/>
          <w:sz w:val="20"/>
          <w:szCs w:val="20"/>
        </w:rPr>
      </w:pPr>
      <w:r w:rsidRPr="0091031D">
        <w:rPr>
          <w:i/>
          <w:sz w:val="20"/>
          <w:szCs w:val="20"/>
        </w:rPr>
        <w:t>źródło: opracowanie własne na podstawie danych GUS</w:t>
      </w:r>
      <w:r>
        <w:rPr>
          <w:i/>
          <w:sz w:val="20"/>
          <w:szCs w:val="20"/>
        </w:rPr>
        <w:t xml:space="preserve"> </w:t>
      </w:r>
    </w:p>
    <w:p w14:paraId="68F96480" w14:textId="77777777" w:rsidR="00592770" w:rsidRDefault="00592770" w:rsidP="004F4683">
      <w:pPr>
        <w:autoSpaceDE w:val="0"/>
        <w:autoSpaceDN w:val="0"/>
        <w:adjustRightInd w:val="0"/>
        <w:spacing w:after="120" w:line="240" w:lineRule="auto"/>
        <w:jc w:val="center"/>
        <w:rPr>
          <w:rFonts w:cstheme="minorHAnsi"/>
        </w:rPr>
      </w:pPr>
    </w:p>
    <w:p w14:paraId="37AD9C34" w14:textId="6A2DB7F8" w:rsidR="004F4683" w:rsidRPr="00ED4EDD" w:rsidRDefault="004F4683" w:rsidP="004F4683">
      <w:pPr>
        <w:autoSpaceDE w:val="0"/>
        <w:autoSpaceDN w:val="0"/>
        <w:adjustRightInd w:val="0"/>
        <w:spacing w:after="120" w:line="240" w:lineRule="auto"/>
        <w:jc w:val="both"/>
        <w:rPr>
          <w:rFonts w:cstheme="minorHAnsi"/>
        </w:rPr>
      </w:pPr>
      <w:r w:rsidRPr="00ED4EDD">
        <w:rPr>
          <w:rFonts w:cstheme="minorHAnsi"/>
        </w:rPr>
        <w:t xml:space="preserve">Kalendarz wydarzeń sportowych w </w:t>
      </w:r>
      <w:r w:rsidR="004854D6">
        <w:rPr>
          <w:rFonts w:cstheme="minorHAnsi"/>
        </w:rPr>
        <w:t xml:space="preserve">Olsztynie </w:t>
      </w:r>
      <w:r w:rsidRPr="00ED4EDD">
        <w:rPr>
          <w:rFonts w:cstheme="minorHAnsi"/>
        </w:rPr>
        <w:t>jest dość bogaty – szczególnie w okresie wiosenno-letnim</w:t>
      </w:r>
      <w:r w:rsidR="003A182F">
        <w:rPr>
          <w:rFonts w:cstheme="minorHAnsi"/>
        </w:rPr>
        <w:t xml:space="preserve"> (43 imprez sportowych)</w:t>
      </w:r>
      <w:r w:rsidR="003A182F">
        <w:rPr>
          <w:rStyle w:val="Odwoanieprzypisudolnego"/>
          <w:rFonts w:cstheme="minorHAnsi"/>
        </w:rPr>
        <w:footnoteReference w:id="111"/>
      </w:r>
      <w:r w:rsidRPr="00ED4EDD">
        <w:rPr>
          <w:rFonts w:cstheme="minorHAnsi"/>
        </w:rPr>
        <w:t xml:space="preserve">. Należy jednak zwrócić uwagę, że dominuje lokalny zasięg turniejów </w:t>
      </w:r>
      <w:r w:rsidR="003A182F">
        <w:rPr>
          <w:rFonts w:cstheme="minorHAnsi"/>
        </w:rPr>
        <w:br/>
      </w:r>
      <w:r w:rsidRPr="00ED4EDD">
        <w:rPr>
          <w:rFonts w:cstheme="minorHAnsi"/>
        </w:rPr>
        <w:t>i zawodów, brakuje znaczących imprez międzynarodowych, które rozwijałyby funkcje metropolitalne miasta.</w:t>
      </w:r>
    </w:p>
    <w:p w14:paraId="76A0B852" w14:textId="77777777" w:rsidR="004F4683" w:rsidRDefault="004F4683" w:rsidP="00DC641C">
      <w:pPr>
        <w:autoSpaceDE w:val="0"/>
        <w:autoSpaceDN w:val="0"/>
        <w:adjustRightInd w:val="0"/>
        <w:spacing w:after="120" w:line="240" w:lineRule="auto"/>
        <w:jc w:val="both"/>
        <w:rPr>
          <w:rFonts w:cstheme="minorHAnsi"/>
        </w:rPr>
      </w:pPr>
    </w:p>
    <w:p w14:paraId="41D66573" w14:textId="6DB74935" w:rsidR="00116079" w:rsidRDefault="00116079" w:rsidP="00D66517">
      <w:pPr>
        <w:rPr>
          <w:rFonts w:eastAsiaTheme="majorEastAsia" w:cstheme="majorBidi"/>
          <w:color w:val="2E74B5" w:themeColor="accent1" w:themeShade="BF"/>
          <w:sz w:val="32"/>
          <w:szCs w:val="32"/>
        </w:rPr>
      </w:pPr>
    </w:p>
    <w:p w14:paraId="018507AC" w14:textId="38B6DCC9" w:rsidR="00F25738" w:rsidRDefault="00F25738" w:rsidP="00525C5D">
      <w:pPr>
        <w:pStyle w:val="Nagwek1"/>
        <w:numPr>
          <w:ilvl w:val="0"/>
          <w:numId w:val="31"/>
        </w:numPr>
        <w:ind w:left="426" w:hanging="426"/>
        <w:rPr>
          <w:rFonts w:asciiTheme="minorHAnsi" w:hAnsiTheme="minorHAnsi"/>
        </w:rPr>
      </w:pPr>
      <w:bookmarkStart w:id="292" w:name="_Toc48302931"/>
      <w:bookmarkStart w:id="293" w:name="_Toc54695534"/>
      <w:bookmarkStart w:id="294" w:name="_Toc73534949"/>
      <w:r w:rsidRPr="007C0AE6">
        <w:rPr>
          <w:rFonts w:asciiTheme="minorHAnsi" w:hAnsiTheme="minorHAnsi"/>
        </w:rPr>
        <w:t>Dostępność komunikacyjna</w:t>
      </w:r>
      <w:bookmarkEnd w:id="292"/>
      <w:bookmarkEnd w:id="293"/>
      <w:bookmarkEnd w:id="294"/>
    </w:p>
    <w:p w14:paraId="6784027C" w14:textId="77777777" w:rsidR="00F25738" w:rsidRDefault="00F25738" w:rsidP="00F25738">
      <w:pPr>
        <w:rPr>
          <w:rFonts w:ascii="Arial" w:hAnsi="Arial" w:cs="Arial"/>
        </w:rPr>
      </w:pPr>
    </w:p>
    <w:p w14:paraId="4E60474F" w14:textId="434BC67D" w:rsidR="00F25738" w:rsidRDefault="00F25738" w:rsidP="00F25738">
      <w:pPr>
        <w:jc w:val="both"/>
        <w:rPr>
          <w:rFonts w:cs="Arial"/>
        </w:rPr>
      </w:pPr>
      <w:r w:rsidRPr="00A71AF0">
        <w:rPr>
          <w:rFonts w:cs="Arial"/>
        </w:rPr>
        <w:t xml:space="preserve">Makroregion Polski Wschodniej uznaje się za obszar kraju relatywnie opóźniony pod względem rozbudowy sieci autostrad i dróg ekspresowych. W wyniku przeprowadzonych badań stanu rozwoju transportu pod kątem długości sieci dróg wyższych klas, w roku 2013 pięć województw Polski Wschodniej znalazło się wśród siedmiu najsłabiej wyposażonych, a trzy: świętokrzyskie, lubelskie </w:t>
      </w:r>
      <w:r>
        <w:rPr>
          <w:rFonts w:cs="Arial"/>
        </w:rPr>
        <w:br/>
      </w:r>
      <w:r w:rsidRPr="00A71AF0">
        <w:rPr>
          <w:rFonts w:cs="Arial"/>
        </w:rPr>
        <w:t>i podlaskie zamykają stawkę w tym względzie.</w:t>
      </w:r>
      <w:r w:rsidRPr="00A71AF0">
        <w:rPr>
          <w:rStyle w:val="Odwoanieprzypisudolnego"/>
          <w:rFonts w:cs="Arial"/>
        </w:rPr>
        <w:footnoteReference w:id="112"/>
      </w:r>
      <w:r w:rsidRPr="00A71AF0">
        <w:rPr>
          <w:rFonts w:cs="Arial"/>
        </w:rPr>
        <w:t xml:space="preserve"> </w:t>
      </w:r>
      <w:r>
        <w:rPr>
          <w:rFonts w:cs="Arial"/>
        </w:rPr>
        <w:t>Pr</w:t>
      </w:r>
      <w:r w:rsidRPr="00A71AF0">
        <w:rPr>
          <w:rFonts w:cs="Arial"/>
        </w:rPr>
        <w:t xml:space="preserve">zy czym autorzy </w:t>
      </w:r>
      <w:r>
        <w:rPr>
          <w:rFonts w:cs="Arial"/>
        </w:rPr>
        <w:t xml:space="preserve">diagnozy, przygotowanej na zlecenie Ministerstwa Rozwoju, </w:t>
      </w:r>
      <w:r w:rsidRPr="00A71AF0">
        <w:rPr>
          <w:rFonts w:cs="Arial"/>
        </w:rPr>
        <w:t>zwracają uwagę na fakt, że cała istniejąca obecnie w Polsce Wschodniej sieć autostrad i dróg ekspresowych powstała po roku 2000, w oparciu o środki Unii Europejskiej.</w:t>
      </w:r>
      <w:r w:rsidR="00CD6317">
        <w:rPr>
          <w:rFonts w:cs="Arial"/>
        </w:rPr>
        <w:t xml:space="preserve"> Mniej korzystn</w:t>
      </w:r>
      <w:r w:rsidR="00162434">
        <w:rPr>
          <w:rFonts w:cs="Arial"/>
        </w:rPr>
        <w:t>ą</w:t>
      </w:r>
      <w:r w:rsidR="00CD6317">
        <w:rPr>
          <w:rFonts w:cs="Arial"/>
        </w:rPr>
        <w:t xml:space="preserve"> sytuacj</w:t>
      </w:r>
      <w:r w:rsidR="00162434">
        <w:rPr>
          <w:rFonts w:cs="Arial"/>
        </w:rPr>
        <w:t>ę,</w:t>
      </w:r>
      <w:r w:rsidR="00CD6317">
        <w:rPr>
          <w:rFonts w:cs="Arial"/>
        </w:rPr>
        <w:t xml:space="preserve"> </w:t>
      </w:r>
      <w:r>
        <w:rPr>
          <w:rFonts w:cs="Arial"/>
        </w:rPr>
        <w:t>niż w innych regionach Polski</w:t>
      </w:r>
      <w:r w:rsidR="00162434">
        <w:rPr>
          <w:rFonts w:cs="Arial"/>
        </w:rPr>
        <w:t>,</w:t>
      </w:r>
      <w:r>
        <w:rPr>
          <w:rFonts w:cs="Arial"/>
        </w:rPr>
        <w:t xml:space="preserve"> stanowi także słaba dostępność kolejowa jej wschodnich województw, wyrażona poziomem gęstości oraz elektryfikacji sieci kolejowej. Trwające oraz planowane inwestycje drogowe i kolejowe, realizowane tak na obszarze makroregionu Polski Wschodniej, jak i poza nim, wpłyną na poprawę dostępności transportowej makroregionu.</w:t>
      </w:r>
    </w:p>
    <w:p w14:paraId="3AA18526" w14:textId="77777777" w:rsidR="00C20E21" w:rsidRPr="00C20E21" w:rsidRDefault="00C20E21" w:rsidP="00C20E21">
      <w:pPr>
        <w:jc w:val="both"/>
        <w:rPr>
          <w:rFonts w:cs="Arial"/>
        </w:rPr>
      </w:pPr>
      <w:r w:rsidRPr="00C20E21">
        <w:rPr>
          <w:rFonts w:cs="Arial"/>
        </w:rPr>
        <w:t>Analizy ruchu z 2017 r. (przed otwarciem południowej obwodnicy) przedstawiają najczęściej wykonywane podróże na terenie Olsztyna</w:t>
      </w:r>
      <w:r w:rsidRPr="00C20E21">
        <w:rPr>
          <w:rFonts w:cs="Arial"/>
          <w:vertAlign w:val="superscript"/>
        </w:rPr>
        <w:footnoteReference w:id="113"/>
      </w:r>
      <w:r w:rsidRPr="00C20E21">
        <w:rPr>
          <w:rFonts w:cs="Arial"/>
        </w:rPr>
        <w:t>. Opracowania przedstawiają ilość podróży w podziale na rodzaj i cel przemieszczania się.</w:t>
      </w:r>
    </w:p>
    <w:p w14:paraId="617DC869" w14:textId="77777777" w:rsidR="00C20E21" w:rsidRPr="00C20E21" w:rsidRDefault="00C20E21" w:rsidP="00C20E21">
      <w:pPr>
        <w:jc w:val="both"/>
        <w:rPr>
          <w:rFonts w:cs="Arial"/>
        </w:rPr>
      </w:pPr>
      <w:r w:rsidRPr="00C20E21">
        <w:rPr>
          <w:rFonts w:cs="Arial"/>
        </w:rPr>
        <w:t xml:space="preserve">Najwięcej przepływów w ogólnym ujęciu notuje się w centralnej, południowej i wschodniej części miasta, które cechują się największym potencjałem do stymulowania ruchu (duża gęstość zaludnienia, </w:t>
      </w:r>
      <w:r w:rsidRPr="00C20E21">
        <w:rPr>
          <w:rFonts w:cs="Arial"/>
        </w:rPr>
        <w:lastRenderedPageBreak/>
        <w:t>potencjalne cele podróży). Szczególnie wyróżnia się obszar Kortowa (w tym kampus UWM). Widoczne jest także duże natężenie ruchu zewnętrznego zza wschodniej i północnej granicy Olsztyna. W tym przypadku głównym celem podróży również jest miasteczko uniwersyteckie oraz obiekty przemysłowe we wschodniej części miasta (osiedle Pojezierze i Mazurskie).</w:t>
      </w:r>
    </w:p>
    <w:p w14:paraId="317E5A88" w14:textId="579BD97E" w:rsidR="00C20E21" w:rsidRPr="001A0340" w:rsidRDefault="00BF0B57" w:rsidP="001A0340">
      <w:pPr>
        <w:pStyle w:val="Legenda"/>
        <w:rPr>
          <w:rFonts w:cs="Arial"/>
          <w:sz w:val="22"/>
          <w:szCs w:val="22"/>
        </w:rPr>
      </w:pPr>
      <w:bookmarkStart w:id="295" w:name="_Toc73516187"/>
      <w:r w:rsidRPr="001A0340">
        <w:rPr>
          <w:sz w:val="22"/>
          <w:szCs w:val="22"/>
        </w:rPr>
        <w:t xml:space="preserve">Rysunek </w:t>
      </w:r>
      <w:r w:rsidRPr="001A0340">
        <w:rPr>
          <w:sz w:val="22"/>
          <w:szCs w:val="22"/>
        </w:rPr>
        <w:fldChar w:fldCharType="begin"/>
      </w:r>
      <w:r w:rsidRPr="001A0340">
        <w:rPr>
          <w:sz w:val="22"/>
          <w:szCs w:val="22"/>
        </w:rPr>
        <w:instrText xml:space="preserve"> SEQ Rysunek \* ARABIC </w:instrText>
      </w:r>
      <w:r w:rsidRPr="001A0340">
        <w:rPr>
          <w:sz w:val="22"/>
          <w:szCs w:val="22"/>
        </w:rPr>
        <w:fldChar w:fldCharType="separate"/>
      </w:r>
      <w:r w:rsidR="00AD58C3">
        <w:rPr>
          <w:noProof/>
          <w:sz w:val="22"/>
          <w:szCs w:val="22"/>
        </w:rPr>
        <w:t>22</w:t>
      </w:r>
      <w:r w:rsidRPr="001A0340">
        <w:rPr>
          <w:sz w:val="22"/>
          <w:szCs w:val="22"/>
        </w:rPr>
        <w:fldChar w:fldCharType="end"/>
      </w:r>
      <w:r w:rsidRPr="001A0340">
        <w:rPr>
          <w:sz w:val="22"/>
          <w:szCs w:val="22"/>
        </w:rPr>
        <w:t>. Więźba ruchu wewnętrznego, zewnętrznego i tranzytowego w godzinie szczytu popołudniowego</w:t>
      </w:r>
      <w:bookmarkEnd w:id="295"/>
    </w:p>
    <w:p w14:paraId="504D8243" w14:textId="77777777" w:rsidR="00320C39" w:rsidRDefault="00C20E21" w:rsidP="00320C39">
      <w:pPr>
        <w:keepNext/>
        <w:jc w:val="center"/>
      </w:pPr>
      <w:r w:rsidRPr="00C20E21">
        <w:rPr>
          <w:rFonts w:cs="Arial"/>
          <w:noProof/>
          <w:lang w:eastAsia="pl-PL"/>
        </w:rPr>
        <w:drawing>
          <wp:inline distT="0" distB="0" distL="0" distR="0" wp14:anchorId="474C6289" wp14:editId="586D02CD">
            <wp:extent cx="5760720" cy="4123055"/>
            <wp:effectExtent l="0" t="0" r="0" b="0"/>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60720" cy="4123055"/>
                    </a:xfrm>
                    <a:prstGeom prst="rect">
                      <a:avLst/>
                    </a:prstGeom>
                  </pic:spPr>
                </pic:pic>
              </a:graphicData>
            </a:graphic>
          </wp:inline>
        </w:drawing>
      </w:r>
    </w:p>
    <w:p w14:paraId="5763ECF2" w14:textId="4DF50A14" w:rsidR="00C20E21" w:rsidRPr="00BF0B57" w:rsidRDefault="00BF0B57" w:rsidP="00BF0B57">
      <w:pPr>
        <w:jc w:val="center"/>
        <w:rPr>
          <w:rFonts w:cs="Arial"/>
          <w:i/>
          <w:sz w:val="20"/>
          <w:szCs w:val="20"/>
        </w:rPr>
      </w:pPr>
      <w:r>
        <w:rPr>
          <w:i/>
          <w:sz w:val="20"/>
          <w:szCs w:val="20"/>
        </w:rPr>
        <w:t>ź</w:t>
      </w:r>
      <w:r w:rsidR="00320C39" w:rsidRPr="00BF0B57">
        <w:rPr>
          <w:i/>
          <w:sz w:val="20"/>
          <w:szCs w:val="20"/>
        </w:rPr>
        <w:t>ródło: Studium rozwoju systemów komunikacyjnych Miasta Olsztyna; str. 111</w:t>
      </w:r>
    </w:p>
    <w:p w14:paraId="3D58AEC7" w14:textId="77777777" w:rsidR="00C20E21" w:rsidRPr="00C20E21" w:rsidRDefault="00C20E21" w:rsidP="00C20E21">
      <w:pPr>
        <w:jc w:val="both"/>
        <w:rPr>
          <w:rFonts w:cs="Arial"/>
        </w:rPr>
      </w:pPr>
    </w:p>
    <w:p w14:paraId="0E35D506" w14:textId="57A14A4B" w:rsidR="00C20E21" w:rsidRPr="00C20E21" w:rsidRDefault="00C20E21" w:rsidP="00C20E21">
      <w:pPr>
        <w:jc w:val="both"/>
        <w:rPr>
          <w:rFonts w:cs="Arial"/>
        </w:rPr>
      </w:pPr>
      <w:r w:rsidRPr="00C20E21">
        <w:rPr>
          <w:rFonts w:cs="Arial"/>
        </w:rPr>
        <w:t xml:space="preserve">Natężenie ruchu z uwzględnieniem celu podróży zakłada dwa rodzaje poruszania się: dom – praca oraz dom – szkoła. W pierwszej kategorii najbardziej wyróżniają się relacje między najludniejszymi częściami miasta – osiedle Jaroty, osiedle Generałów, i głównymi skupiskami miejsc pracy – kampus UWM, strefa przemysłowa wschodniej części miasta. W relacji dom – szkoła, która zakłada podróże do szkół ponadpodstawowych (w tym wyższych), szczególnie widoczne są przepływy na krótkich dystansach, wewnątrz osiedli lub do sąsiednich jednostek. Najczęściej uczęszczane szlaki prowadzą </w:t>
      </w:r>
      <w:r w:rsidR="00162434">
        <w:rPr>
          <w:rFonts w:cs="Arial"/>
        </w:rPr>
        <w:br/>
      </w:r>
      <w:r w:rsidRPr="00C20E21">
        <w:rPr>
          <w:rFonts w:cs="Arial"/>
        </w:rPr>
        <w:t>w okolicach osiedli Jaroty, Generałów, Nagórki, Pieczewo i osobno Zatorze.</w:t>
      </w:r>
    </w:p>
    <w:p w14:paraId="4239FAA8" w14:textId="3E3712C1" w:rsidR="00F82CFC" w:rsidRDefault="00F82CFC">
      <w:pPr>
        <w:rPr>
          <w:rFonts w:cs="Arial"/>
        </w:rPr>
      </w:pPr>
      <w:r>
        <w:rPr>
          <w:rFonts w:cs="Arial"/>
        </w:rPr>
        <w:br w:type="page"/>
      </w:r>
    </w:p>
    <w:p w14:paraId="14EA3A78" w14:textId="3BA60C21" w:rsidR="00F82CFC" w:rsidRPr="00F82CFC" w:rsidRDefault="00F82CFC" w:rsidP="00F82CFC">
      <w:pPr>
        <w:pStyle w:val="Legenda"/>
        <w:rPr>
          <w:sz w:val="22"/>
          <w:szCs w:val="22"/>
          <w:lang w:val="pl-PL"/>
        </w:rPr>
      </w:pPr>
      <w:bookmarkStart w:id="296" w:name="_Toc73516188"/>
      <w:r w:rsidRPr="00F82CFC">
        <w:rPr>
          <w:sz w:val="22"/>
          <w:szCs w:val="22"/>
          <w:lang w:val="pl-PL"/>
        </w:rPr>
        <w:lastRenderedPageBreak/>
        <w:t xml:space="preserve">Rysunek </w:t>
      </w:r>
      <w:r w:rsidRPr="00F82CFC">
        <w:rPr>
          <w:sz w:val="22"/>
          <w:szCs w:val="22"/>
        </w:rPr>
        <w:fldChar w:fldCharType="begin"/>
      </w:r>
      <w:r w:rsidRPr="00F82CFC">
        <w:rPr>
          <w:sz w:val="22"/>
          <w:szCs w:val="22"/>
          <w:lang w:val="pl-PL"/>
        </w:rPr>
        <w:instrText xml:space="preserve"> SEQ Rysunek \* ARABIC </w:instrText>
      </w:r>
      <w:r w:rsidRPr="00F82CFC">
        <w:rPr>
          <w:sz w:val="22"/>
          <w:szCs w:val="22"/>
        </w:rPr>
        <w:fldChar w:fldCharType="separate"/>
      </w:r>
      <w:r w:rsidR="00AD58C3">
        <w:rPr>
          <w:noProof/>
          <w:sz w:val="22"/>
          <w:szCs w:val="22"/>
          <w:lang w:val="pl-PL"/>
        </w:rPr>
        <w:t>23</w:t>
      </w:r>
      <w:r w:rsidRPr="00F82CFC">
        <w:rPr>
          <w:sz w:val="22"/>
          <w:szCs w:val="22"/>
        </w:rPr>
        <w:fldChar w:fldCharType="end"/>
      </w:r>
      <w:r w:rsidRPr="00F82CFC">
        <w:rPr>
          <w:sz w:val="22"/>
          <w:szCs w:val="22"/>
          <w:lang w:val="pl-PL"/>
        </w:rPr>
        <w:t>. Więźba ruchu dla motywacji dom – praca</w:t>
      </w:r>
      <w:bookmarkEnd w:id="296"/>
    </w:p>
    <w:p w14:paraId="68BA4A13" w14:textId="77777777" w:rsidR="00320C39" w:rsidRDefault="00C20E21" w:rsidP="00320C39">
      <w:pPr>
        <w:keepNext/>
        <w:jc w:val="center"/>
      </w:pPr>
      <w:r w:rsidRPr="00C20E21">
        <w:rPr>
          <w:rFonts w:cs="Arial"/>
          <w:noProof/>
          <w:lang w:eastAsia="pl-PL"/>
        </w:rPr>
        <w:drawing>
          <wp:inline distT="0" distB="0" distL="0" distR="0" wp14:anchorId="691154ED" wp14:editId="0DF1EA53">
            <wp:extent cx="5324837" cy="3641725"/>
            <wp:effectExtent l="0" t="0" r="9525" b="0"/>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336596" cy="3649767"/>
                    </a:xfrm>
                    <a:prstGeom prst="rect">
                      <a:avLst/>
                    </a:prstGeom>
                  </pic:spPr>
                </pic:pic>
              </a:graphicData>
            </a:graphic>
          </wp:inline>
        </w:drawing>
      </w:r>
    </w:p>
    <w:p w14:paraId="4551D0B4" w14:textId="7B4F9E32" w:rsidR="00C20E21" w:rsidRDefault="00F82CFC" w:rsidP="00F82CFC">
      <w:pPr>
        <w:jc w:val="center"/>
        <w:rPr>
          <w:i/>
          <w:sz w:val="20"/>
          <w:szCs w:val="20"/>
        </w:rPr>
      </w:pPr>
      <w:r w:rsidRPr="00F82CFC">
        <w:rPr>
          <w:i/>
          <w:sz w:val="20"/>
          <w:szCs w:val="20"/>
        </w:rPr>
        <w:t>ź</w:t>
      </w:r>
      <w:r w:rsidR="00320C39" w:rsidRPr="00F82CFC">
        <w:rPr>
          <w:i/>
          <w:sz w:val="20"/>
          <w:szCs w:val="20"/>
        </w:rPr>
        <w:t>ródło: Studium rozwoju systemów komunikacyjnych Miasta Olsztyna; str. 108</w:t>
      </w:r>
    </w:p>
    <w:p w14:paraId="20D96050" w14:textId="77777777" w:rsidR="003B65EA" w:rsidRDefault="003B65EA" w:rsidP="003B65EA">
      <w:pPr>
        <w:pStyle w:val="Legenda"/>
        <w:rPr>
          <w:sz w:val="22"/>
          <w:szCs w:val="22"/>
          <w:lang w:val="pl-PL"/>
        </w:rPr>
      </w:pPr>
    </w:p>
    <w:p w14:paraId="3EBDE121" w14:textId="008D983F" w:rsidR="003B65EA" w:rsidRPr="003B65EA" w:rsidRDefault="003B65EA" w:rsidP="003B65EA">
      <w:pPr>
        <w:pStyle w:val="Legenda"/>
        <w:rPr>
          <w:sz w:val="22"/>
          <w:szCs w:val="22"/>
          <w:lang w:val="pl-PL"/>
        </w:rPr>
      </w:pPr>
      <w:bookmarkStart w:id="297" w:name="_Toc73516189"/>
      <w:r w:rsidRPr="003B65EA">
        <w:rPr>
          <w:sz w:val="22"/>
          <w:szCs w:val="22"/>
          <w:lang w:val="pl-PL"/>
        </w:rPr>
        <w:t xml:space="preserve">Rysunek </w:t>
      </w:r>
      <w:r w:rsidRPr="003B65EA">
        <w:rPr>
          <w:sz w:val="22"/>
          <w:szCs w:val="22"/>
        </w:rPr>
        <w:fldChar w:fldCharType="begin"/>
      </w:r>
      <w:r w:rsidRPr="003B65EA">
        <w:rPr>
          <w:sz w:val="22"/>
          <w:szCs w:val="22"/>
          <w:lang w:val="pl-PL"/>
        </w:rPr>
        <w:instrText xml:space="preserve"> SEQ Rysunek \* ARABIC </w:instrText>
      </w:r>
      <w:r w:rsidRPr="003B65EA">
        <w:rPr>
          <w:sz w:val="22"/>
          <w:szCs w:val="22"/>
        </w:rPr>
        <w:fldChar w:fldCharType="separate"/>
      </w:r>
      <w:r w:rsidR="00AD58C3">
        <w:rPr>
          <w:noProof/>
          <w:sz w:val="22"/>
          <w:szCs w:val="22"/>
          <w:lang w:val="pl-PL"/>
        </w:rPr>
        <w:t>24</w:t>
      </w:r>
      <w:r w:rsidRPr="003B65EA">
        <w:rPr>
          <w:sz w:val="22"/>
          <w:szCs w:val="22"/>
        </w:rPr>
        <w:fldChar w:fldCharType="end"/>
      </w:r>
      <w:r w:rsidRPr="003B65EA">
        <w:rPr>
          <w:sz w:val="22"/>
          <w:szCs w:val="22"/>
          <w:lang w:val="pl-PL"/>
        </w:rPr>
        <w:t>. Więźba ruchu dla motywacji dom – szkoła</w:t>
      </w:r>
      <w:bookmarkEnd w:id="297"/>
    </w:p>
    <w:p w14:paraId="725F66A6" w14:textId="77777777" w:rsidR="00320C39" w:rsidRDefault="00C20E21" w:rsidP="00320C39">
      <w:pPr>
        <w:keepNext/>
        <w:jc w:val="center"/>
      </w:pPr>
      <w:r w:rsidRPr="00C20E21">
        <w:rPr>
          <w:rFonts w:cs="Arial"/>
          <w:noProof/>
          <w:lang w:eastAsia="pl-PL"/>
        </w:rPr>
        <w:drawing>
          <wp:inline distT="0" distB="0" distL="0" distR="0" wp14:anchorId="2312191D" wp14:editId="1FFDD620">
            <wp:extent cx="5329261" cy="3621024"/>
            <wp:effectExtent l="0" t="0" r="5080" b="0"/>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346346" cy="3632633"/>
                    </a:xfrm>
                    <a:prstGeom prst="rect">
                      <a:avLst/>
                    </a:prstGeom>
                  </pic:spPr>
                </pic:pic>
              </a:graphicData>
            </a:graphic>
          </wp:inline>
        </w:drawing>
      </w:r>
    </w:p>
    <w:p w14:paraId="659A60E1" w14:textId="4366BDEA" w:rsidR="00C20E21" w:rsidRPr="003F5DFC" w:rsidRDefault="003B65EA" w:rsidP="00320C39">
      <w:pPr>
        <w:pStyle w:val="Legenda"/>
        <w:jc w:val="center"/>
        <w:rPr>
          <w:rFonts w:cs="Arial"/>
          <w:sz w:val="20"/>
          <w:lang w:val="pl-PL"/>
        </w:rPr>
      </w:pPr>
      <w:r>
        <w:rPr>
          <w:sz w:val="20"/>
          <w:lang w:val="pl-PL"/>
        </w:rPr>
        <w:t>ź</w:t>
      </w:r>
      <w:r w:rsidR="00320C39" w:rsidRPr="003F5DFC">
        <w:rPr>
          <w:sz w:val="20"/>
          <w:lang w:val="pl-PL"/>
        </w:rPr>
        <w:t>ródło: Studium rozwoju systemów komunikacyjnych Miasta Olsztyna; str. 109</w:t>
      </w:r>
    </w:p>
    <w:p w14:paraId="64F0055B" w14:textId="77777777" w:rsidR="00525C5D" w:rsidRPr="009F10E1" w:rsidRDefault="00525C5D" w:rsidP="00F25738">
      <w:pPr>
        <w:jc w:val="both"/>
        <w:rPr>
          <w:rFonts w:cs="Arial"/>
        </w:rPr>
      </w:pPr>
    </w:p>
    <w:p w14:paraId="5E9C7518" w14:textId="217C9B21" w:rsidR="00F25738" w:rsidRPr="00525C5D" w:rsidRDefault="00525C5D" w:rsidP="00525C5D">
      <w:pPr>
        <w:pStyle w:val="Nagwek2"/>
      </w:pPr>
      <w:bookmarkStart w:id="298" w:name="_Toc73534950"/>
      <w:r>
        <w:t xml:space="preserve">5.1 </w:t>
      </w:r>
      <w:r w:rsidR="00F25738" w:rsidRPr="00525C5D">
        <w:t>System drogowy</w:t>
      </w:r>
      <w:bookmarkEnd w:id="298"/>
    </w:p>
    <w:p w14:paraId="7694F6DA" w14:textId="77777777" w:rsidR="00525C5D" w:rsidRDefault="00525C5D" w:rsidP="00F25738">
      <w:pPr>
        <w:autoSpaceDE w:val="0"/>
        <w:autoSpaceDN w:val="0"/>
        <w:adjustRightInd w:val="0"/>
        <w:spacing w:after="120" w:line="240" w:lineRule="auto"/>
        <w:jc w:val="both"/>
        <w:rPr>
          <w:rFonts w:cs="Times New Roman"/>
        </w:rPr>
      </w:pPr>
    </w:p>
    <w:p w14:paraId="3344F9EE" w14:textId="1EDF4634" w:rsidR="00F25738" w:rsidRPr="00632BC1" w:rsidRDefault="00F25738" w:rsidP="00F25738">
      <w:pPr>
        <w:autoSpaceDE w:val="0"/>
        <w:autoSpaceDN w:val="0"/>
        <w:adjustRightInd w:val="0"/>
        <w:spacing w:after="120" w:line="240" w:lineRule="auto"/>
        <w:jc w:val="both"/>
        <w:rPr>
          <w:color w:val="FF0000"/>
        </w:rPr>
      </w:pPr>
      <w:r w:rsidRPr="00632BC1">
        <w:rPr>
          <w:rFonts w:cs="Times New Roman"/>
        </w:rPr>
        <w:t xml:space="preserve">Przez teren Olsztyna przebiegają drogowe korytarze transportowe przechodzące przez teren kraju </w:t>
      </w:r>
      <w:r>
        <w:rPr>
          <w:rFonts w:cs="Times New Roman"/>
        </w:rPr>
        <w:br/>
      </w:r>
      <w:r w:rsidRPr="00632BC1">
        <w:rPr>
          <w:rFonts w:cs="Times New Roman"/>
        </w:rPr>
        <w:t>z powiązaniami między krajami Europy Wschodniej, Obwodem Kaliningradzkim a krajami Unii Europejskiej. Przez miasto przebiegają drogi krajowe nr 16, 51, 53 oraz drogi wojewódzkie nr 527 i 598.</w:t>
      </w:r>
    </w:p>
    <w:p w14:paraId="7834DBA0" w14:textId="77777777" w:rsidR="00F25738" w:rsidRDefault="00F25738" w:rsidP="00F25738">
      <w:pPr>
        <w:spacing w:after="120" w:line="240" w:lineRule="auto"/>
        <w:jc w:val="both"/>
        <w:rPr>
          <w:rFonts w:cs="Arial"/>
        </w:rPr>
      </w:pPr>
      <w:r>
        <w:rPr>
          <w:rFonts w:cstheme="minorHAnsi"/>
        </w:rPr>
        <w:t>Kluczowym elementem układu drogowego jest obwodnica Olsztyna, która od lipca 2019 r. funkcjonuje w swoim południowym przebiegu</w:t>
      </w:r>
      <w:r w:rsidRPr="00D05FAC">
        <w:rPr>
          <w:rFonts w:cstheme="minorHAnsi"/>
        </w:rPr>
        <w:t>.</w:t>
      </w:r>
      <w:r>
        <w:rPr>
          <w:rFonts w:cstheme="minorHAnsi"/>
        </w:rPr>
        <w:t xml:space="preserve"> </w:t>
      </w:r>
      <w:r w:rsidRPr="00765E9B">
        <w:rPr>
          <w:rFonts w:cstheme="minorHAnsi"/>
        </w:rPr>
        <w:t xml:space="preserve">Południowa obwodnica Olsztyna poprawiła warunki mobilności </w:t>
      </w:r>
      <w:r>
        <w:rPr>
          <w:rFonts w:cstheme="minorHAnsi"/>
        </w:rPr>
        <w:br/>
      </w:r>
      <w:r w:rsidRPr="00765E9B">
        <w:rPr>
          <w:rFonts w:cstheme="minorHAnsi"/>
        </w:rPr>
        <w:t>w mieście, a dzięki temu też jakość życia mieszkańców. Wzmocniła również transportowy kręgosłup regionu, jakim jest droga krajowa nr 16, ułatwiając podróże i transport w całym województwie.</w:t>
      </w:r>
      <w:r w:rsidRPr="00632BC1">
        <w:rPr>
          <w:rFonts w:cs="Arial"/>
        </w:rPr>
        <w:t xml:space="preserve"> </w:t>
      </w:r>
    </w:p>
    <w:p w14:paraId="1EDA83DC" w14:textId="4DD509C3" w:rsidR="00F25738" w:rsidRDefault="00F25738" w:rsidP="00F25738">
      <w:pPr>
        <w:tabs>
          <w:tab w:val="left" w:pos="2268"/>
        </w:tabs>
        <w:spacing w:after="120"/>
        <w:jc w:val="both"/>
        <w:rPr>
          <w:rFonts w:cstheme="minorHAnsi"/>
        </w:rPr>
      </w:pPr>
      <w:r w:rsidRPr="00765E9B">
        <w:rPr>
          <w:rFonts w:cstheme="minorHAnsi"/>
        </w:rPr>
        <w:t>Słabą stroną układu drogowego</w:t>
      </w:r>
      <w:r>
        <w:rPr>
          <w:rFonts w:cstheme="minorHAnsi"/>
        </w:rPr>
        <w:t xml:space="preserve"> MOF</w:t>
      </w:r>
      <w:r w:rsidRPr="00765E9B">
        <w:rPr>
          <w:rFonts w:cstheme="minorHAnsi"/>
        </w:rPr>
        <w:t xml:space="preserve"> Olsztyna pozostaje jednak ciągle kierunek północ-południe. Jadąc od strony Warszawy drogą krajową nr 51 łatwo jest </w:t>
      </w:r>
      <w:r>
        <w:rPr>
          <w:rFonts w:cstheme="minorHAnsi"/>
        </w:rPr>
        <w:t>o</w:t>
      </w:r>
      <w:r w:rsidRPr="00765E9B">
        <w:rPr>
          <w:rFonts w:cstheme="minorHAnsi"/>
        </w:rPr>
        <w:t>minąć centrum miasta kierując się na obwodnicę południową, jednak aby ruszyć dalej na północ w kierunku granicy państwa, na węźle Wschód trzeba ponownie wjechać na miejskie ulice</w:t>
      </w:r>
      <w:r>
        <w:rPr>
          <w:rFonts w:cstheme="minorHAnsi"/>
        </w:rPr>
        <w:t xml:space="preserve">, </w:t>
      </w:r>
      <w:r w:rsidRPr="00765E9B">
        <w:rPr>
          <w:rFonts w:cstheme="minorHAnsi"/>
        </w:rPr>
        <w:t>zwiększając i tak już duży ruch oraz hałas i zanieczyszczenie powietrza, obniżając przy tym poziom bezpieczeństwa drogowego.</w:t>
      </w:r>
      <w:r>
        <w:rPr>
          <w:rFonts w:cstheme="minorHAnsi"/>
        </w:rPr>
        <w:t xml:space="preserve"> Rozwiązaniem tych problemów </w:t>
      </w:r>
      <w:r>
        <w:rPr>
          <w:rFonts w:cstheme="minorHAnsi"/>
        </w:rPr>
        <w:br/>
        <w:t>w znacznym zakresie będzie budowa północnego odcinka obwodnicy Olsztyna wraz z Dywitami w ciągu drogi krajowej nr 51. Prace przygotowawcze dla tego przedsięwzięcia rozpoczęły się w 2020 r.</w:t>
      </w:r>
    </w:p>
    <w:p w14:paraId="26DBCD3D" w14:textId="6FBE2557" w:rsidR="00C20E21" w:rsidRPr="00C20E21" w:rsidRDefault="00C20E21" w:rsidP="00C20E21">
      <w:pPr>
        <w:tabs>
          <w:tab w:val="left" w:pos="2268"/>
        </w:tabs>
        <w:spacing w:after="120"/>
        <w:jc w:val="both"/>
        <w:rPr>
          <w:rFonts w:cstheme="minorHAnsi"/>
        </w:rPr>
      </w:pPr>
      <w:r w:rsidRPr="00C20E21">
        <w:rPr>
          <w:rFonts w:cstheme="minorHAnsi"/>
        </w:rPr>
        <w:t>Prognozowan</w:t>
      </w:r>
      <w:r w:rsidR="00162434">
        <w:rPr>
          <w:rFonts w:cstheme="minorHAnsi"/>
        </w:rPr>
        <w:t>e</w:t>
      </w:r>
      <w:r w:rsidRPr="00C20E21">
        <w:rPr>
          <w:rFonts w:cstheme="minorHAnsi"/>
        </w:rPr>
        <w:t xml:space="preserve"> zmiany w natężeniu ruchu drogowego z 2017 r. zakładają 3 wariant</w:t>
      </w:r>
      <w:r w:rsidR="00162434">
        <w:rPr>
          <w:rFonts w:cstheme="minorHAnsi"/>
        </w:rPr>
        <w:t>y</w:t>
      </w:r>
      <w:r w:rsidRPr="00C20E21">
        <w:rPr>
          <w:rFonts w:cstheme="minorHAnsi"/>
        </w:rPr>
        <w:t xml:space="preserve"> rozwoju sieci komunikacyjnej przy jednoczesnych dwóch wariantach zmian zagospodarowania przestrzeni do 2027 i 2035 r</w:t>
      </w:r>
      <w:r w:rsidRPr="00C20E21">
        <w:rPr>
          <w:rFonts w:cstheme="minorHAnsi"/>
          <w:vertAlign w:val="superscript"/>
        </w:rPr>
        <w:footnoteReference w:id="114"/>
      </w:r>
      <w:r w:rsidRPr="00C20E21">
        <w:rPr>
          <w:rFonts w:cstheme="minorHAnsi"/>
        </w:rPr>
        <w:t xml:space="preserve">. Wszystkie warianty wykazują największe natężenie ruchu w osi północ – południe przez centrum miasta oraz duże natężenie od węzła Pieczewo na obwodnicy Olsztyna do centrum. Powielane są także wizje znacznej </w:t>
      </w:r>
      <w:r w:rsidR="00162434">
        <w:rPr>
          <w:rFonts w:cstheme="minorHAnsi"/>
        </w:rPr>
        <w:t>liczby</w:t>
      </w:r>
      <w:r w:rsidRPr="00C20E21">
        <w:rPr>
          <w:rFonts w:cstheme="minorHAnsi"/>
        </w:rPr>
        <w:t xml:space="preserve"> podróży w relacji centrum – obwodnica przez osiedle Kętrzyńskiego (ul. Towarowa) oraz centrum – Dajtki (al. Obrońców Tobruku, DK 51, ul. Sielska).</w:t>
      </w:r>
    </w:p>
    <w:p w14:paraId="00E450A4" w14:textId="595D6E15" w:rsidR="00C20E21" w:rsidRPr="00ED4EDD" w:rsidRDefault="00C20E21" w:rsidP="00C20E21">
      <w:pPr>
        <w:tabs>
          <w:tab w:val="left" w:pos="2268"/>
        </w:tabs>
        <w:spacing w:after="120"/>
        <w:jc w:val="both"/>
        <w:rPr>
          <w:rFonts w:cstheme="minorHAnsi"/>
        </w:rPr>
      </w:pPr>
      <w:r w:rsidRPr="00C20E21">
        <w:rPr>
          <w:rFonts w:cstheme="minorHAnsi"/>
        </w:rPr>
        <w:t>W zależności od wariantu widoczne będą zmiany w trasach wylotowych na północ i północny zachód, gdzie natężenie podróży może znacznie zmniejszyć się przy nacisku na rozwój sieci komunikacyjnej. Różnice będzie także stanowić trasa od węzła Pieczewo do centrum, której funkcje może przejąć ul. Ignacego Krasickiego po wybudowaniu połączenia obwodnicy z osiedlem Pieczewo</w:t>
      </w:r>
    </w:p>
    <w:p w14:paraId="400156C7" w14:textId="77777777" w:rsidR="00F25738" w:rsidRDefault="00F25738" w:rsidP="00F25738">
      <w:pPr>
        <w:autoSpaceDE w:val="0"/>
        <w:autoSpaceDN w:val="0"/>
        <w:adjustRightInd w:val="0"/>
        <w:spacing w:after="120"/>
        <w:jc w:val="both"/>
        <w:rPr>
          <w:rFonts w:cs="Times New Roman"/>
        </w:rPr>
      </w:pPr>
      <w:r>
        <w:rPr>
          <w:rFonts w:cs="Times New Roman"/>
        </w:rPr>
        <w:t xml:space="preserve">Stan infrastruktury drogowej na terenie Olsztyna dzięki prowadzonym inwestycjom poprawia się - wzrasta długość dróg gminnych o nawierzchni twardej oraz nawierzchni twardej ulepszonej (odpowiednio o 4,3% i 4,4%) porównując dane za rok 2019 w stosunku do danych z roku 2013. </w:t>
      </w:r>
      <w:r>
        <w:rPr>
          <w:rFonts w:cs="Times New Roman"/>
        </w:rPr>
        <w:br/>
        <w:t xml:space="preserve">Efektem przedsięwzięć inwestycyjnych realizowanych w latach 2013-2019, mających na celu poprawę dostępności transportowej Olsztyna są m.in. bus-pasy dające priorytet pojazdom transportu zbiorowego. W roku 2019 długość bus-pasów wzrosła o blisko 9 km (6,8 km w 2013 roku i 15,6 km </w:t>
      </w:r>
      <w:r>
        <w:rPr>
          <w:rFonts w:cs="Times New Roman"/>
        </w:rPr>
        <w:br/>
        <w:t>w roku 2019).</w:t>
      </w:r>
    </w:p>
    <w:p w14:paraId="67D1A5AB" w14:textId="77777777" w:rsidR="00C070DB" w:rsidRDefault="00C070DB">
      <w:pPr>
        <w:rPr>
          <w:rFonts w:ascii="Calibri" w:eastAsia="Calibri" w:hAnsi="Calibri" w:cs="Mangal"/>
          <w:i/>
          <w:iCs/>
          <w:color w:val="00000A"/>
          <w:kern w:val="1"/>
          <w:lang w:val="en-GB"/>
        </w:rPr>
      </w:pPr>
      <w:r>
        <w:br w:type="page"/>
      </w:r>
    </w:p>
    <w:p w14:paraId="0E6AF18E" w14:textId="73F11C03" w:rsidR="00F25738" w:rsidRPr="00C070DB" w:rsidRDefault="00C070DB" w:rsidP="00C070DB">
      <w:pPr>
        <w:pStyle w:val="Legenda"/>
        <w:rPr>
          <w:sz w:val="22"/>
          <w:szCs w:val="22"/>
          <w:lang w:val="pl-PL"/>
        </w:rPr>
      </w:pPr>
      <w:bookmarkStart w:id="299" w:name="_Toc73516160"/>
      <w:r w:rsidRPr="00C070DB">
        <w:rPr>
          <w:sz w:val="22"/>
          <w:szCs w:val="22"/>
        </w:rPr>
        <w:lastRenderedPageBreak/>
        <w:t xml:space="preserve">Wykres </w:t>
      </w:r>
      <w:r w:rsidRPr="00C070DB">
        <w:rPr>
          <w:sz w:val="22"/>
          <w:szCs w:val="22"/>
        </w:rPr>
        <w:fldChar w:fldCharType="begin"/>
      </w:r>
      <w:r w:rsidRPr="00C070DB">
        <w:rPr>
          <w:sz w:val="22"/>
          <w:szCs w:val="22"/>
        </w:rPr>
        <w:instrText xml:space="preserve"> SEQ Wykres \* ARABIC </w:instrText>
      </w:r>
      <w:r w:rsidRPr="00C070DB">
        <w:rPr>
          <w:sz w:val="22"/>
          <w:szCs w:val="22"/>
        </w:rPr>
        <w:fldChar w:fldCharType="separate"/>
      </w:r>
      <w:r w:rsidR="00AD58C3">
        <w:rPr>
          <w:noProof/>
          <w:sz w:val="22"/>
          <w:szCs w:val="22"/>
        </w:rPr>
        <w:t>98</w:t>
      </w:r>
      <w:r w:rsidRPr="00C070DB">
        <w:rPr>
          <w:sz w:val="22"/>
          <w:szCs w:val="22"/>
        </w:rPr>
        <w:fldChar w:fldCharType="end"/>
      </w:r>
      <w:r w:rsidRPr="00C070DB">
        <w:rPr>
          <w:sz w:val="22"/>
          <w:szCs w:val="22"/>
        </w:rPr>
        <w:t xml:space="preserve">. </w:t>
      </w:r>
      <w:r w:rsidRPr="00C070DB">
        <w:rPr>
          <w:bCs/>
          <w:sz w:val="22"/>
          <w:szCs w:val="22"/>
          <w:lang w:val="en-US"/>
        </w:rPr>
        <w:t xml:space="preserve">Zmiany </w:t>
      </w:r>
      <w:r w:rsidRPr="00C070DB">
        <w:rPr>
          <w:bCs/>
          <w:sz w:val="22"/>
          <w:szCs w:val="22"/>
          <w:lang w:val="pl-PL"/>
        </w:rPr>
        <w:t>stanu</w:t>
      </w:r>
      <w:r w:rsidRPr="00C070DB">
        <w:rPr>
          <w:bCs/>
          <w:sz w:val="22"/>
          <w:szCs w:val="22"/>
          <w:lang w:val="en-US"/>
        </w:rPr>
        <w:t xml:space="preserve"> dróg </w:t>
      </w:r>
      <w:r w:rsidRPr="00C070DB">
        <w:rPr>
          <w:bCs/>
          <w:sz w:val="22"/>
          <w:szCs w:val="22"/>
          <w:lang w:val="pl-PL"/>
        </w:rPr>
        <w:t xml:space="preserve">gminnych w Olsztynie </w:t>
      </w:r>
      <w:r w:rsidRPr="00C070DB">
        <w:rPr>
          <w:bCs/>
          <w:sz w:val="22"/>
          <w:szCs w:val="22"/>
          <w:lang w:val="en-US"/>
        </w:rPr>
        <w:t>w latach 2013 i 2019</w:t>
      </w:r>
      <w:r w:rsidRPr="00C070DB">
        <w:rPr>
          <w:bCs/>
          <w:sz w:val="22"/>
          <w:szCs w:val="22"/>
          <w:lang w:val="pl-PL"/>
        </w:rPr>
        <w:t xml:space="preserve"> (km)</w:t>
      </w:r>
      <w:bookmarkEnd w:id="299"/>
    </w:p>
    <w:p w14:paraId="37C17F39" w14:textId="77777777" w:rsidR="00F25738" w:rsidRDefault="00F25738" w:rsidP="00F25738">
      <w:pPr>
        <w:autoSpaceDE w:val="0"/>
        <w:autoSpaceDN w:val="0"/>
        <w:adjustRightInd w:val="0"/>
        <w:spacing w:after="0" w:line="240" w:lineRule="auto"/>
        <w:jc w:val="center"/>
        <w:rPr>
          <w:rFonts w:cs="Times New Roman"/>
        </w:rPr>
      </w:pPr>
      <w:r>
        <w:rPr>
          <w:noProof/>
          <w:lang w:eastAsia="pl-PL"/>
        </w:rPr>
        <w:drawing>
          <wp:inline distT="0" distB="0" distL="0" distR="0" wp14:anchorId="4A465F09" wp14:editId="1EC7FF07">
            <wp:extent cx="4308653" cy="2231136"/>
            <wp:effectExtent l="0" t="0" r="15875" b="17145"/>
            <wp:docPr id="185" name="Wykres 1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153A6EBF" w14:textId="77777777" w:rsidR="00F25738" w:rsidRDefault="00F25738" w:rsidP="00F25738">
      <w:pPr>
        <w:autoSpaceDE w:val="0"/>
        <w:autoSpaceDN w:val="0"/>
        <w:adjustRightInd w:val="0"/>
        <w:spacing w:after="0" w:line="240" w:lineRule="auto"/>
        <w:jc w:val="center"/>
        <w:rPr>
          <w:rFonts w:cs="Times New Roman"/>
        </w:rPr>
      </w:pPr>
      <w:r w:rsidRPr="0091031D">
        <w:rPr>
          <w:i/>
          <w:sz w:val="20"/>
          <w:szCs w:val="20"/>
        </w:rPr>
        <w:t>źródło: opracowanie własne na podstawie danych GUS</w:t>
      </w:r>
    </w:p>
    <w:p w14:paraId="7DB76256" w14:textId="77777777" w:rsidR="00F25738" w:rsidRDefault="00F25738" w:rsidP="00F25738">
      <w:pPr>
        <w:autoSpaceDE w:val="0"/>
        <w:autoSpaceDN w:val="0"/>
        <w:adjustRightInd w:val="0"/>
        <w:spacing w:after="120" w:line="240" w:lineRule="auto"/>
        <w:jc w:val="center"/>
        <w:rPr>
          <w:rFonts w:cs="Times New Roman"/>
        </w:rPr>
      </w:pPr>
    </w:p>
    <w:p w14:paraId="563018EC" w14:textId="240B2480" w:rsidR="00C20E21" w:rsidRPr="00C20E21" w:rsidRDefault="00C20E21" w:rsidP="00C20E21">
      <w:pPr>
        <w:autoSpaceDE w:val="0"/>
        <w:autoSpaceDN w:val="0"/>
        <w:adjustRightInd w:val="0"/>
        <w:spacing w:after="120" w:line="240" w:lineRule="auto"/>
        <w:jc w:val="both"/>
        <w:rPr>
          <w:color w:val="000000" w:themeColor="text1"/>
        </w:rPr>
      </w:pPr>
      <w:r w:rsidRPr="00C20E21">
        <w:rPr>
          <w:color w:val="000000" w:themeColor="text1"/>
        </w:rPr>
        <w:t xml:space="preserve">Buspasy i linie tramwajowe w Olsztynie istnieją i planowane są przede wszystkim w najgęściej zaludnionych obszarach, w pasie centrum – południe miasta. Obejmują takie ciągi komunikacyjne jak m.in.: ul. Kościuszki, Obiegowa, Tuwima, Wyszyńskiego, Krasickiego, Wilczyńskiego, Limanowskiego, al. Sikorskiego, Piłsudskiego, Sybiraków, DK 51. Jest to obszar </w:t>
      </w:r>
      <w:r w:rsidR="004C4C03">
        <w:rPr>
          <w:color w:val="000000" w:themeColor="text1"/>
        </w:rPr>
        <w:t>od</w:t>
      </w:r>
      <w:r w:rsidRPr="00C20E21">
        <w:rPr>
          <w:color w:val="000000" w:themeColor="text1"/>
        </w:rPr>
        <w:t xml:space="preserve"> Zatorza na północy do osiedla Jaroty na południu.</w:t>
      </w:r>
    </w:p>
    <w:p w14:paraId="0E38F1AD" w14:textId="0F34C97C" w:rsidR="00C20E21" w:rsidRPr="008D6256" w:rsidRDefault="008D6256" w:rsidP="008D6256">
      <w:pPr>
        <w:pStyle w:val="Legenda"/>
        <w:rPr>
          <w:sz w:val="22"/>
          <w:szCs w:val="22"/>
          <w:lang w:val="pl-PL"/>
        </w:rPr>
      </w:pPr>
      <w:bookmarkStart w:id="300" w:name="_Toc73516190"/>
      <w:r w:rsidRPr="008D6256">
        <w:rPr>
          <w:sz w:val="22"/>
          <w:szCs w:val="22"/>
          <w:lang w:val="pl-PL"/>
        </w:rPr>
        <w:t xml:space="preserve">Rysunek </w:t>
      </w:r>
      <w:r w:rsidRPr="008D6256">
        <w:rPr>
          <w:sz w:val="22"/>
          <w:szCs w:val="22"/>
        </w:rPr>
        <w:fldChar w:fldCharType="begin"/>
      </w:r>
      <w:r w:rsidRPr="008D6256">
        <w:rPr>
          <w:sz w:val="22"/>
          <w:szCs w:val="22"/>
          <w:lang w:val="pl-PL"/>
        </w:rPr>
        <w:instrText xml:space="preserve"> SEQ Rysunek \* ARABIC </w:instrText>
      </w:r>
      <w:r w:rsidRPr="008D6256">
        <w:rPr>
          <w:sz w:val="22"/>
          <w:szCs w:val="22"/>
        </w:rPr>
        <w:fldChar w:fldCharType="separate"/>
      </w:r>
      <w:r w:rsidR="00AD58C3">
        <w:rPr>
          <w:noProof/>
          <w:sz w:val="22"/>
          <w:szCs w:val="22"/>
          <w:lang w:val="pl-PL"/>
        </w:rPr>
        <w:t>25</w:t>
      </w:r>
      <w:r w:rsidRPr="008D6256">
        <w:rPr>
          <w:sz w:val="22"/>
          <w:szCs w:val="22"/>
        </w:rPr>
        <w:fldChar w:fldCharType="end"/>
      </w:r>
      <w:r w:rsidRPr="008D6256">
        <w:rPr>
          <w:sz w:val="22"/>
          <w:szCs w:val="22"/>
          <w:lang w:val="pl-PL"/>
        </w:rPr>
        <w:t>. Istniejące i planowane buspasy i linie tramwajowe w Olsztynie</w:t>
      </w:r>
      <w:bookmarkEnd w:id="300"/>
    </w:p>
    <w:p w14:paraId="467AD017" w14:textId="77777777" w:rsidR="00F17970" w:rsidRDefault="00C20E21" w:rsidP="00F17970">
      <w:pPr>
        <w:keepNext/>
        <w:autoSpaceDE w:val="0"/>
        <w:autoSpaceDN w:val="0"/>
        <w:adjustRightInd w:val="0"/>
        <w:spacing w:after="120" w:line="240" w:lineRule="auto"/>
        <w:jc w:val="center"/>
      </w:pPr>
      <w:r w:rsidRPr="00C20E21">
        <w:rPr>
          <w:noProof/>
          <w:color w:val="000000" w:themeColor="text1"/>
          <w:lang w:eastAsia="pl-PL"/>
        </w:rPr>
        <w:drawing>
          <wp:inline distT="0" distB="0" distL="0" distR="0" wp14:anchorId="4EF68726" wp14:editId="62AB990A">
            <wp:extent cx="5760720" cy="3759835"/>
            <wp:effectExtent l="0" t="0" r="0" b="0"/>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60720" cy="3759835"/>
                    </a:xfrm>
                    <a:prstGeom prst="rect">
                      <a:avLst/>
                    </a:prstGeom>
                  </pic:spPr>
                </pic:pic>
              </a:graphicData>
            </a:graphic>
          </wp:inline>
        </w:drawing>
      </w:r>
    </w:p>
    <w:p w14:paraId="06721924" w14:textId="77777777" w:rsidR="008D6256" w:rsidRDefault="008D6256" w:rsidP="008D6256">
      <w:pPr>
        <w:spacing w:after="0" w:line="240" w:lineRule="auto"/>
        <w:jc w:val="center"/>
        <w:rPr>
          <w:i/>
          <w:sz w:val="20"/>
          <w:szCs w:val="20"/>
        </w:rPr>
      </w:pPr>
      <w:r>
        <w:rPr>
          <w:i/>
          <w:sz w:val="20"/>
          <w:szCs w:val="20"/>
        </w:rPr>
        <w:t>ź</w:t>
      </w:r>
      <w:r w:rsidR="00F17970" w:rsidRPr="008D6256">
        <w:rPr>
          <w:i/>
          <w:sz w:val="20"/>
          <w:szCs w:val="20"/>
        </w:rPr>
        <w:t>ródło: Plan mobilności Miejskiego Obszaru Funkcjonalnego Olsztyna do roku</w:t>
      </w:r>
      <w:r>
        <w:rPr>
          <w:i/>
          <w:sz w:val="20"/>
          <w:szCs w:val="20"/>
        </w:rPr>
        <w:t xml:space="preserve"> </w:t>
      </w:r>
      <w:r w:rsidR="00F17970" w:rsidRPr="008D6256">
        <w:rPr>
          <w:i/>
          <w:sz w:val="20"/>
          <w:szCs w:val="20"/>
        </w:rPr>
        <w:t>2025, stan na kwiecień 20</w:t>
      </w:r>
      <w:r>
        <w:rPr>
          <w:i/>
          <w:sz w:val="20"/>
          <w:szCs w:val="20"/>
        </w:rPr>
        <w:t>2</w:t>
      </w:r>
      <w:r w:rsidR="00F17970" w:rsidRPr="008D6256">
        <w:rPr>
          <w:i/>
          <w:sz w:val="20"/>
          <w:szCs w:val="20"/>
        </w:rPr>
        <w:t xml:space="preserve">1; </w:t>
      </w:r>
    </w:p>
    <w:p w14:paraId="399C2874" w14:textId="2760C1FD" w:rsidR="00C20E21" w:rsidRPr="008D6256" w:rsidRDefault="00F17970" w:rsidP="008D6256">
      <w:pPr>
        <w:spacing w:after="0" w:line="240" w:lineRule="auto"/>
        <w:jc w:val="center"/>
        <w:rPr>
          <w:i/>
          <w:color w:val="000000" w:themeColor="text1"/>
          <w:sz w:val="20"/>
          <w:szCs w:val="20"/>
        </w:rPr>
      </w:pPr>
      <w:r w:rsidRPr="008D6256">
        <w:rPr>
          <w:i/>
          <w:sz w:val="20"/>
          <w:szCs w:val="20"/>
        </w:rPr>
        <w:t>za</w:t>
      </w:r>
      <w:r w:rsidR="008D6256">
        <w:rPr>
          <w:i/>
          <w:sz w:val="20"/>
          <w:szCs w:val="20"/>
        </w:rPr>
        <w:t>:</w:t>
      </w:r>
      <w:r w:rsidRPr="008D6256">
        <w:rPr>
          <w:i/>
          <w:sz w:val="20"/>
          <w:szCs w:val="20"/>
        </w:rPr>
        <w:t xml:space="preserve"> Studium rozwoju systemów komunikacyjnych Miasta Olsztyna 2017</w:t>
      </w:r>
    </w:p>
    <w:p w14:paraId="42EA10C2" w14:textId="77777777" w:rsidR="00F17970" w:rsidRDefault="00F17970" w:rsidP="00F25738">
      <w:pPr>
        <w:tabs>
          <w:tab w:val="left" w:pos="2268"/>
        </w:tabs>
        <w:spacing w:after="120"/>
        <w:jc w:val="both"/>
        <w:rPr>
          <w:color w:val="000000" w:themeColor="text1"/>
        </w:rPr>
      </w:pPr>
    </w:p>
    <w:p w14:paraId="7F446BFC" w14:textId="5C40F454" w:rsidR="00F25738" w:rsidRDefault="00F25738" w:rsidP="00F25738">
      <w:pPr>
        <w:tabs>
          <w:tab w:val="left" w:pos="2268"/>
        </w:tabs>
        <w:spacing w:after="120"/>
        <w:jc w:val="both"/>
        <w:rPr>
          <w:rFonts w:cstheme="minorHAnsi"/>
        </w:rPr>
      </w:pPr>
      <w:r w:rsidRPr="00632BC1">
        <w:rPr>
          <w:color w:val="000000" w:themeColor="text1"/>
        </w:rPr>
        <w:t>Urozmaicona przestrzeń Olsztyna (tereny leśne, rolnicze, wody śródlądowe i ich otoczenie) stanowi barierę ograniczającą rozwój sieci transportowych w dowolnych kierunkach.</w:t>
      </w:r>
      <w:r>
        <w:rPr>
          <w:color w:val="000000" w:themeColor="text1"/>
        </w:rPr>
        <w:t xml:space="preserve"> </w:t>
      </w:r>
      <w:r w:rsidRPr="00ED4EDD">
        <w:rPr>
          <w:rFonts w:cstheme="minorHAnsi"/>
        </w:rPr>
        <w:t xml:space="preserve">Rosnąca liczba </w:t>
      </w:r>
      <w:r w:rsidRPr="00ED4EDD">
        <w:rPr>
          <w:rFonts w:cstheme="minorHAnsi"/>
        </w:rPr>
        <w:lastRenderedPageBreak/>
        <w:t>samochodów w mieście także stanowi znaczny problem. Aby go rozwiązać, miasto rozwija system transportu publicznego ze szczególnym uwzględnieniem sieci tramwajowej wprowadzonej ponownie</w:t>
      </w:r>
      <w:r>
        <w:rPr>
          <w:rFonts w:cstheme="minorHAnsi"/>
        </w:rPr>
        <w:t xml:space="preserve"> w 2015 r.</w:t>
      </w:r>
      <w:r w:rsidRPr="00ED4EDD">
        <w:rPr>
          <w:rFonts w:cstheme="minorHAnsi"/>
        </w:rPr>
        <w:t xml:space="preserve"> po 50 latach przerwy.</w:t>
      </w:r>
      <w:r>
        <w:rPr>
          <w:rFonts w:cstheme="minorHAnsi"/>
        </w:rPr>
        <w:t xml:space="preserve"> Rozbudowywany wciąż system to m.in. bus-pasy (15,6 km w roku 2019), sieć przystanków autobusowych i tramwajowych (426), system inteligentnego zarządzania transportem (ITS), tabor tramwajowy (15 pojazdów).</w:t>
      </w:r>
    </w:p>
    <w:p w14:paraId="7EEF8E5D" w14:textId="77777777" w:rsidR="00F25738" w:rsidRPr="00ED4EDD" w:rsidRDefault="00F25738" w:rsidP="00F25738">
      <w:pPr>
        <w:tabs>
          <w:tab w:val="left" w:pos="2268"/>
        </w:tabs>
        <w:spacing w:after="120"/>
        <w:jc w:val="both"/>
        <w:rPr>
          <w:rFonts w:cstheme="minorHAnsi"/>
        </w:rPr>
      </w:pPr>
      <w:r w:rsidRPr="00ED4EDD">
        <w:rPr>
          <w:rFonts w:cstheme="minorHAnsi"/>
        </w:rPr>
        <w:t xml:space="preserve">Tabor transportu publicznego jest w większości nowy i wygodny. Wszystkie </w:t>
      </w:r>
      <w:r>
        <w:rPr>
          <w:rFonts w:cstheme="minorHAnsi"/>
        </w:rPr>
        <w:t>(</w:t>
      </w:r>
      <w:r w:rsidRPr="00ED4EDD">
        <w:rPr>
          <w:rFonts w:cstheme="minorHAnsi"/>
        </w:rPr>
        <w:t>15</w:t>
      </w:r>
      <w:r>
        <w:rPr>
          <w:rFonts w:cstheme="minorHAnsi"/>
        </w:rPr>
        <w:t xml:space="preserve"> składów)</w:t>
      </w:r>
      <w:r w:rsidRPr="00ED4EDD">
        <w:rPr>
          <w:rFonts w:cstheme="minorHAnsi"/>
        </w:rPr>
        <w:t xml:space="preserve"> z trzyletnich tramwajów są dwukierunkowe, sześciodrzwiowe i w p</w:t>
      </w:r>
      <w:r>
        <w:rPr>
          <w:rFonts w:cstheme="minorHAnsi"/>
        </w:rPr>
        <w:t xml:space="preserve">ełni niskopodłogowe, wyposażone </w:t>
      </w:r>
      <w:r w:rsidRPr="00ED4EDD">
        <w:rPr>
          <w:rFonts w:cstheme="minorHAnsi"/>
        </w:rPr>
        <w:t>w klimatyzację, monitoring, głosową informację pasażerską (m.in. komunikaty przystankowe) i biletomaty.</w:t>
      </w:r>
    </w:p>
    <w:p w14:paraId="473594AC" w14:textId="2934C476" w:rsidR="00F25738" w:rsidRDefault="00F25738" w:rsidP="00F25738">
      <w:pPr>
        <w:tabs>
          <w:tab w:val="left" w:pos="2268"/>
        </w:tabs>
        <w:spacing w:after="120"/>
        <w:jc w:val="both"/>
        <w:rPr>
          <w:rFonts w:cstheme="minorHAnsi"/>
        </w:rPr>
      </w:pPr>
      <w:r w:rsidRPr="00ED4EDD">
        <w:rPr>
          <w:rFonts w:cstheme="minorHAnsi"/>
        </w:rPr>
        <w:t>Autobusy</w:t>
      </w:r>
      <w:r>
        <w:rPr>
          <w:rFonts w:cstheme="minorHAnsi"/>
        </w:rPr>
        <w:t xml:space="preserve"> (206 pojazdów)</w:t>
      </w:r>
      <w:r w:rsidRPr="00ED4EDD">
        <w:rPr>
          <w:rFonts w:cstheme="minorHAnsi"/>
        </w:rPr>
        <w:t xml:space="preserve"> są w większości 3- i 4-drzwiowe (88% wszystkich pojazdów). Wiek taboru przedstawion</w:t>
      </w:r>
      <w:r>
        <w:rPr>
          <w:rFonts w:cstheme="minorHAnsi"/>
        </w:rPr>
        <w:t>o</w:t>
      </w:r>
      <w:r w:rsidR="00EA252C">
        <w:rPr>
          <w:rFonts w:cstheme="minorHAnsi"/>
        </w:rPr>
        <w:t xml:space="preserve"> na wykresie poniżej.</w:t>
      </w:r>
    </w:p>
    <w:p w14:paraId="6861B4D6" w14:textId="702C6922" w:rsidR="00EA252C" w:rsidRPr="00EA252C" w:rsidRDefault="00EA252C" w:rsidP="00EA252C">
      <w:pPr>
        <w:pStyle w:val="Legenda"/>
        <w:rPr>
          <w:rFonts w:cstheme="minorHAnsi"/>
          <w:sz w:val="22"/>
          <w:szCs w:val="22"/>
        </w:rPr>
      </w:pPr>
      <w:bookmarkStart w:id="301" w:name="_Toc73516161"/>
      <w:r w:rsidRPr="00EA252C">
        <w:rPr>
          <w:sz w:val="22"/>
          <w:szCs w:val="22"/>
        </w:rPr>
        <w:t xml:space="preserve">Wykres </w:t>
      </w:r>
      <w:r w:rsidRPr="00EA252C">
        <w:rPr>
          <w:sz w:val="22"/>
          <w:szCs w:val="22"/>
        </w:rPr>
        <w:fldChar w:fldCharType="begin"/>
      </w:r>
      <w:r w:rsidRPr="00EA252C">
        <w:rPr>
          <w:sz w:val="22"/>
          <w:szCs w:val="22"/>
        </w:rPr>
        <w:instrText xml:space="preserve"> SEQ Wykres \* ARABIC </w:instrText>
      </w:r>
      <w:r w:rsidRPr="00EA252C">
        <w:rPr>
          <w:sz w:val="22"/>
          <w:szCs w:val="22"/>
        </w:rPr>
        <w:fldChar w:fldCharType="separate"/>
      </w:r>
      <w:r w:rsidR="00AD58C3">
        <w:rPr>
          <w:noProof/>
          <w:sz w:val="22"/>
          <w:szCs w:val="22"/>
        </w:rPr>
        <w:t>99</w:t>
      </w:r>
      <w:r w:rsidRPr="00EA252C">
        <w:rPr>
          <w:sz w:val="22"/>
          <w:szCs w:val="22"/>
        </w:rPr>
        <w:fldChar w:fldCharType="end"/>
      </w:r>
      <w:r w:rsidRPr="00EA252C">
        <w:rPr>
          <w:sz w:val="22"/>
          <w:szCs w:val="22"/>
        </w:rPr>
        <w:t>. Wiek taboru autobusowego w Olsztynie</w:t>
      </w:r>
      <w:bookmarkEnd w:id="301"/>
    </w:p>
    <w:p w14:paraId="6D95734E" w14:textId="77777777" w:rsidR="00F25738" w:rsidRPr="00ED4EDD" w:rsidRDefault="00F25738" w:rsidP="00F25738">
      <w:pPr>
        <w:tabs>
          <w:tab w:val="left" w:pos="2268"/>
        </w:tabs>
        <w:spacing w:after="0"/>
        <w:jc w:val="center"/>
        <w:rPr>
          <w:rFonts w:cstheme="minorHAnsi"/>
        </w:rPr>
      </w:pPr>
      <w:r w:rsidRPr="00ED4EDD">
        <w:rPr>
          <w:rFonts w:cstheme="minorHAnsi"/>
          <w:noProof/>
          <w:lang w:eastAsia="pl-PL"/>
        </w:rPr>
        <w:drawing>
          <wp:inline distT="0" distB="0" distL="0" distR="0" wp14:anchorId="3129621B" wp14:editId="2A541B4B">
            <wp:extent cx="4864608" cy="2143354"/>
            <wp:effectExtent l="0" t="0" r="12700" b="9525"/>
            <wp:docPr id="174" name="Wykres 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19757BF6" w14:textId="77777777" w:rsidR="00F25738" w:rsidRPr="00912D59" w:rsidRDefault="00F25738" w:rsidP="00F25738">
      <w:pPr>
        <w:tabs>
          <w:tab w:val="left" w:pos="2268"/>
        </w:tabs>
        <w:spacing w:after="0"/>
        <w:jc w:val="center"/>
        <w:rPr>
          <w:rFonts w:cstheme="minorHAnsi"/>
          <w:sz w:val="20"/>
          <w:szCs w:val="20"/>
        </w:rPr>
      </w:pPr>
      <w:r w:rsidRPr="00912D59">
        <w:rPr>
          <w:rFonts w:cstheme="minorHAnsi"/>
          <w:i/>
          <w:sz w:val="20"/>
          <w:szCs w:val="20"/>
        </w:rPr>
        <w:t>źródło: opracowanie własne na podstawie danych Zarządu Dróg, Zieleni i Transportu w Olsztynie</w:t>
      </w:r>
    </w:p>
    <w:p w14:paraId="045F33A3" w14:textId="77777777" w:rsidR="00EA252C" w:rsidRDefault="00EA252C" w:rsidP="00EA252C">
      <w:pPr>
        <w:tabs>
          <w:tab w:val="left" w:pos="2268"/>
        </w:tabs>
        <w:jc w:val="both"/>
        <w:rPr>
          <w:rFonts w:cstheme="minorHAnsi"/>
        </w:rPr>
      </w:pPr>
    </w:p>
    <w:p w14:paraId="58867184" w14:textId="1CF1D403" w:rsidR="00F25738" w:rsidRDefault="00F25738" w:rsidP="00F25738">
      <w:pPr>
        <w:tabs>
          <w:tab w:val="left" w:pos="2268"/>
        </w:tabs>
        <w:spacing w:after="360"/>
        <w:jc w:val="both"/>
        <w:rPr>
          <w:rFonts w:cstheme="minorHAnsi"/>
        </w:rPr>
      </w:pPr>
      <w:r w:rsidRPr="00ED4EDD">
        <w:rPr>
          <w:rFonts w:cstheme="minorHAnsi"/>
        </w:rPr>
        <w:t>Więcej</w:t>
      </w:r>
      <w:r w:rsidR="00EA252C">
        <w:rPr>
          <w:rFonts w:cstheme="minorHAnsi"/>
        </w:rPr>
        <w:t xml:space="preserve"> informacji</w:t>
      </w:r>
      <w:r w:rsidRPr="00ED4EDD">
        <w:rPr>
          <w:rFonts w:cstheme="minorHAnsi"/>
        </w:rPr>
        <w:t xml:space="preserve"> na temat </w:t>
      </w:r>
      <w:r>
        <w:rPr>
          <w:rFonts w:cstheme="minorHAnsi"/>
        </w:rPr>
        <w:t xml:space="preserve">stanu taboru </w:t>
      </w:r>
      <w:r w:rsidRPr="00ED4EDD">
        <w:rPr>
          <w:rFonts w:cstheme="minorHAnsi"/>
        </w:rPr>
        <w:t>autobus</w:t>
      </w:r>
      <w:r>
        <w:rPr>
          <w:rFonts w:cstheme="minorHAnsi"/>
        </w:rPr>
        <w:t xml:space="preserve">owego przedstawiono </w:t>
      </w:r>
      <w:r w:rsidR="00EA252C">
        <w:rPr>
          <w:rFonts w:cstheme="minorHAnsi"/>
        </w:rPr>
        <w:t>w tabeli poniżej.</w:t>
      </w:r>
    </w:p>
    <w:p w14:paraId="7AE357CD" w14:textId="01FF5AA3" w:rsidR="00EA252C" w:rsidRPr="00EA252C" w:rsidRDefault="00EA252C" w:rsidP="00EA252C">
      <w:pPr>
        <w:pStyle w:val="Legenda"/>
        <w:rPr>
          <w:rFonts w:cstheme="minorHAnsi"/>
          <w:sz w:val="22"/>
          <w:szCs w:val="22"/>
        </w:rPr>
      </w:pPr>
      <w:bookmarkStart w:id="302" w:name="_Toc73534998"/>
      <w:r w:rsidRPr="00EA252C">
        <w:rPr>
          <w:sz w:val="22"/>
          <w:szCs w:val="22"/>
        </w:rPr>
        <w:t xml:space="preserve">Tabela </w:t>
      </w:r>
      <w:r w:rsidRPr="00EA252C">
        <w:rPr>
          <w:sz w:val="22"/>
          <w:szCs w:val="22"/>
        </w:rPr>
        <w:fldChar w:fldCharType="begin"/>
      </w:r>
      <w:r w:rsidRPr="00EA252C">
        <w:rPr>
          <w:sz w:val="22"/>
          <w:szCs w:val="22"/>
        </w:rPr>
        <w:instrText xml:space="preserve"> SEQ Tabela \* ARABIC </w:instrText>
      </w:r>
      <w:r w:rsidRPr="00EA252C">
        <w:rPr>
          <w:sz w:val="22"/>
          <w:szCs w:val="22"/>
        </w:rPr>
        <w:fldChar w:fldCharType="separate"/>
      </w:r>
      <w:r w:rsidR="00AD58C3">
        <w:rPr>
          <w:noProof/>
          <w:sz w:val="22"/>
          <w:szCs w:val="22"/>
        </w:rPr>
        <w:t>35</w:t>
      </w:r>
      <w:r w:rsidRPr="00EA252C">
        <w:rPr>
          <w:sz w:val="22"/>
          <w:szCs w:val="22"/>
        </w:rPr>
        <w:fldChar w:fldCharType="end"/>
      </w:r>
      <w:r w:rsidRPr="00EA252C">
        <w:rPr>
          <w:sz w:val="22"/>
          <w:szCs w:val="22"/>
        </w:rPr>
        <w:t>. Stan taboru autobusowego w Olsztynie</w:t>
      </w:r>
      <w:bookmarkEnd w:id="302"/>
    </w:p>
    <w:tbl>
      <w:tblPr>
        <w:tblStyle w:val="Tabelasiatki5ciemnaakcent6"/>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6"/>
        <w:gridCol w:w="2867"/>
      </w:tblGrid>
      <w:tr w:rsidR="00F25738" w:rsidRPr="00ED4EDD" w14:paraId="398411FB" w14:textId="77777777" w:rsidTr="00EA252C">
        <w:trPr>
          <w:cnfStyle w:val="100000000000" w:firstRow="1" w:lastRow="0" w:firstColumn="0" w:lastColumn="0" w:oddVBand="0" w:evenVBand="0" w:oddHBand="0" w:evenHBand="0" w:firstRowFirstColumn="0" w:firstRowLastColumn="0" w:lastRowFirstColumn="0" w:lastRowLastColumn="0"/>
          <w:trHeight w:val="599"/>
          <w:jc w:val="center"/>
        </w:trPr>
        <w:tc>
          <w:tcPr>
            <w:cnfStyle w:val="001000000000" w:firstRow="0" w:lastRow="0" w:firstColumn="1" w:lastColumn="0" w:oddVBand="0" w:evenVBand="0" w:oddHBand="0" w:evenHBand="0" w:firstRowFirstColumn="0" w:firstRowLastColumn="0" w:lastRowFirstColumn="0" w:lastRowLastColumn="0"/>
            <w:tcW w:w="2866" w:type="dxa"/>
            <w:tcBorders>
              <w:right w:val="single" w:sz="4" w:space="0" w:color="auto"/>
            </w:tcBorders>
            <w:vAlign w:val="center"/>
          </w:tcPr>
          <w:p w14:paraId="38BDB10A" w14:textId="77777777" w:rsidR="00F25738" w:rsidRPr="007B63B3" w:rsidRDefault="00F25738" w:rsidP="006A5232">
            <w:pPr>
              <w:tabs>
                <w:tab w:val="left" w:pos="2268"/>
              </w:tabs>
              <w:spacing w:before="120" w:after="120"/>
              <w:jc w:val="center"/>
              <w:rPr>
                <w:rFonts w:cstheme="minorHAnsi"/>
                <w:color w:val="000000" w:themeColor="text1"/>
              </w:rPr>
            </w:pPr>
            <w:r w:rsidRPr="007B63B3">
              <w:rPr>
                <w:rFonts w:cstheme="minorHAnsi"/>
                <w:color w:val="000000" w:themeColor="text1"/>
              </w:rPr>
              <w:t>Udogodnienia dla pasażerów</w:t>
            </w:r>
          </w:p>
        </w:tc>
        <w:tc>
          <w:tcPr>
            <w:tcW w:w="2867" w:type="dxa"/>
            <w:tcBorders>
              <w:left w:val="single" w:sz="4" w:space="0" w:color="auto"/>
              <w:bottom w:val="single" w:sz="4" w:space="0" w:color="auto"/>
            </w:tcBorders>
            <w:vAlign w:val="center"/>
          </w:tcPr>
          <w:p w14:paraId="603DAF89" w14:textId="77777777" w:rsidR="00F25738" w:rsidRPr="008331EA" w:rsidRDefault="00F25738" w:rsidP="006A5232">
            <w:pPr>
              <w:tabs>
                <w:tab w:val="left" w:pos="2268"/>
              </w:tabs>
              <w:spacing w:before="120" w:after="12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000000" w:themeColor="text1"/>
                <w:lang w:val="pl-PL"/>
              </w:rPr>
            </w:pPr>
            <w:r w:rsidRPr="008331EA">
              <w:rPr>
                <w:rFonts w:cstheme="minorHAnsi"/>
                <w:color w:val="000000" w:themeColor="text1"/>
                <w:lang w:val="pl-PL"/>
              </w:rPr>
              <w:t>% pojazdów wyposażonych w dane udogodnienie</w:t>
            </w:r>
          </w:p>
        </w:tc>
      </w:tr>
      <w:tr w:rsidR="00F25738" w:rsidRPr="00ED4EDD" w14:paraId="0649B223" w14:textId="77777777" w:rsidTr="00EA252C">
        <w:trPr>
          <w:cnfStyle w:val="000000100000" w:firstRow="0" w:lastRow="0" w:firstColumn="0" w:lastColumn="0" w:oddVBand="0" w:evenVBand="0" w:oddHBand="1" w:evenHBand="0" w:firstRowFirstColumn="0" w:firstRowLastColumn="0" w:lastRowFirstColumn="0" w:lastRowLastColumn="0"/>
          <w:trHeight w:val="374"/>
          <w:jc w:val="center"/>
        </w:trPr>
        <w:tc>
          <w:tcPr>
            <w:cnfStyle w:val="001000000000" w:firstRow="0" w:lastRow="0" w:firstColumn="1" w:lastColumn="0" w:oddVBand="0" w:evenVBand="0" w:oddHBand="0" w:evenHBand="0" w:firstRowFirstColumn="0" w:firstRowLastColumn="0" w:lastRowFirstColumn="0" w:lastRowLastColumn="0"/>
            <w:tcW w:w="2866" w:type="dxa"/>
            <w:shd w:val="clear" w:color="auto" w:fill="A8D08D" w:themeFill="accent6" w:themeFillTint="99"/>
            <w:vAlign w:val="center"/>
          </w:tcPr>
          <w:p w14:paraId="1AB2A3A7" w14:textId="77777777" w:rsidR="00F25738" w:rsidRPr="007B63B3" w:rsidRDefault="00F25738" w:rsidP="006A5232">
            <w:pPr>
              <w:tabs>
                <w:tab w:val="left" w:pos="2268"/>
              </w:tabs>
              <w:spacing w:before="120" w:after="120"/>
              <w:jc w:val="both"/>
              <w:rPr>
                <w:rFonts w:cstheme="minorHAnsi"/>
                <w:color w:val="000000" w:themeColor="text1"/>
              </w:rPr>
            </w:pPr>
            <w:r>
              <w:rPr>
                <w:rFonts w:cstheme="minorHAnsi"/>
                <w:color w:val="000000" w:themeColor="text1"/>
              </w:rPr>
              <w:t>n</w:t>
            </w:r>
            <w:r w:rsidRPr="007B63B3">
              <w:rPr>
                <w:rFonts w:cstheme="minorHAnsi"/>
                <w:color w:val="000000" w:themeColor="text1"/>
              </w:rPr>
              <w:t>iskopodłogowy</w:t>
            </w:r>
          </w:p>
        </w:tc>
        <w:tc>
          <w:tcPr>
            <w:tcW w:w="2867" w:type="dxa"/>
            <w:tcBorders>
              <w:bottom w:val="single" w:sz="4" w:space="0" w:color="auto"/>
              <w:right w:val="nil"/>
            </w:tcBorders>
            <w:shd w:val="clear" w:color="auto" w:fill="A8D08D" w:themeFill="accent6" w:themeFillTint="99"/>
            <w:vAlign w:val="center"/>
          </w:tcPr>
          <w:p w14:paraId="523CEC7F" w14:textId="77777777" w:rsidR="00F25738" w:rsidRPr="00ED4EDD" w:rsidRDefault="00F25738" w:rsidP="006A5232">
            <w:pPr>
              <w:tabs>
                <w:tab w:val="left" w:pos="2268"/>
              </w:tabs>
              <w:spacing w:before="120" w:after="120"/>
              <w:jc w:val="center"/>
              <w:cnfStyle w:val="000000100000" w:firstRow="0" w:lastRow="0" w:firstColumn="0" w:lastColumn="0" w:oddVBand="0" w:evenVBand="0" w:oddHBand="1" w:evenHBand="0" w:firstRowFirstColumn="0" w:firstRowLastColumn="0" w:lastRowFirstColumn="0" w:lastRowLastColumn="0"/>
              <w:rPr>
                <w:rFonts w:cstheme="minorHAnsi"/>
              </w:rPr>
            </w:pPr>
            <w:r w:rsidRPr="00ED4EDD">
              <w:rPr>
                <w:rFonts w:cstheme="minorHAnsi"/>
              </w:rPr>
              <w:t>99,5%</w:t>
            </w:r>
          </w:p>
        </w:tc>
      </w:tr>
      <w:tr w:rsidR="00F25738" w:rsidRPr="00ED4EDD" w14:paraId="5D46E807" w14:textId="77777777" w:rsidTr="00EA252C">
        <w:trPr>
          <w:trHeight w:val="346"/>
          <w:jc w:val="center"/>
        </w:trPr>
        <w:tc>
          <w:tcPr>
            <w:cnfStyle w:val="001000000000" w:firstRow="0" w:lastRow="0" w:firstColumn="1" w:lastColumn="0" w:oddVBand="0" w:evenVBand="0" w:oddHBand="0" w:evenHBand="0" w:firstRowFirstColumn="0" w:firstRowLastColumn="0" w:lastRowFirstColumn="0" w:lastRowLastColumn="0"/>
            <w:tcW w:w="2866" w:type="dxa"/>
            <w:vAlign w:val="center"/>
          </w:tcPr>
          <w:p w14:paraId="54438EB4" w14:textId="77777777" w:rsidR="00F25738" w:rsidRPr="007B63B3" w:rsidRDefault="00F25738" w:rsidP="006A5232">
            <w:pPr>
              <w:tabs>
                <w:tab w:val="left" w:pos="2268"/>
              </w:tabs>
              <w:spacing w:before="120" w:after="120"/>
              <w:jc w:val="both"/>
              <w:rPr>
                <w:rFonts w:cstheme="minorHAnsi"/>
                <w:color w:val="000000" w:themeColor="text1"/>
              </w:rPr>
            </w:pPr>
            <w:r>
              <w:rPr>
                <w:rFonts w:cstheme="minorHAnsi"/>
                <w:color w:val="000000" w:themeColor="text1"/>
              </w:rPr>
              <w:t>p</w:t>
            </w:r>
            <w:r w:rsidRPr="007B63B3">
              <w:rPr>
                <w:rFonts w:cstheme="minorHAnsi"/>
                <w:color w:val="000000" w:themeColor="text1"/>
              </w:rPr>
              <w:t>rzyklęk</w:t>
            </w:r>
          </w:p>
        </w:tc>
        <w:tc>
          <w:tcPr>
            <w:tcW w:w="2867" w:type="dxa"/>
            <w:tcBorders>
              <w:bottom w:val="single" w:sz="4" w:space="0" w:color="auto"/>
              <w:right w:val="nil"/>
            </w:tcBorders>
            <w:vAlign w:val="center"/>
          </w:tcPr>
          <w:p w14:paraId="3EC66CC0" w14:textId="77777777" w:rsidR="00F25738" w:rsidRPr="00ED4EDD" w:rsidRDefault="00F25738" w:rsidP="006A5232">
            <w:pPr>
              <w:tabs>
                <w:tab w:val="left" w:pos="2268"/>
              </w:tabs>
              <w:spacing w:before="120"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D4EDD">
              <w:rPr>
                <w:rFonts w:cstheme="minorHAnsi"/>
              </w:rPr>
              <w:t>97,8%</w:t>
            </w:r>
          </w:p>
        </w:tc>
      </w:tr>
      <w:tr w:rsidR="00F25738" w:rsidRPr="00ED4EDD" w14:paraId="390E7F36" w14:textId="77777777" w:rsidTr="00EA25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66" w:type="dxa"/>
            <w:shd w:val="clear" w:color="auto" w:fill="A8D08D" w:themeFill="accent6" w:themeFillTint="99"/>
            <w:vAlign w:val="center"/>
          </w:tcPr>
          <w:p w14:paraId="04402C10" w14:textId="77777777" w:rsidR="00F25738" w:rsidRPr="007B63B3" w:rsidRDefault="00F25738" w:rsidP="006A5232">
            <w:pPr>
              <w:tabs>
                <w:tab w:val="left" w:pos="2268"/>
              </w:tabs>
              <w:spacing w:before="120" w:after="120"/>
              <w:jc w:val="both"/>
              <w:rPr>
                <w:rFonts w:cstheme="minorHAnsi"/>
                <w:color w:val="000000" w:themeColor="text1"/>
              </w:rPr>
            </w:pPr>
            <w:r>
              <w:rPr>
                <w:rFonts w:cstheme="minorHAnsi"/>
                <w:color w:val="000000" w:themeColor="text1"/>
              </w:rPr>
              <w:t>k</w:t>
            </w:r>
            <w:r w:rsidRPr="007B63B3">
              <w:rPr>
                <w:rFonts w:cstheme="minorHAnsi"/>
                <w:color w:val="000000" w:themeColor="text1"/>
              </w:rPr>
              <w:t>limatyzacja</w:t>
            </w:r>
          </w:p>
        </w:tc>
        <w:tc>
          <w:tcPr>
            <w:tcW w:w="2867" w:type="dxa"/>
            <w:tcBorders>
              <w:bottom w:val="single" w:sz="4" w:space="0" w:color="auto"/>
              <w:right w:val="nil"/>
            </w:tcBorders>
            <w:shd w:val="clear" w:color="auto" w:fill="A8D08D" w:themeFill="accent6" w:themeFillTint="99"/>
            <w:vAlign w:val="center"/>
          </w:tcPr>
          <w:p w14:paraId="2CE71B49" w14:textId="77777777" w:rsidR="00F25738" w:rsidRPr="00ED4EDD" w:rsidRDefault="00F25738" w:rsidP="006A5232">
            <w:pPr>
              <w:tabs>
                <w:tab w:val="left" w:pos="2268"/>
              </w:tabs>
              <w:spacing w:before="120" w:after="120"/>
              <w:jc w:val="center"/>
              <w:cnfStyle w:val="000000100000" w:firstRow="0" w:lastRow="0" w:firstColumn="0" w:lastColumn="0" w:oddVBand="0" w:evenVBand="0" w:oddHBand="1" w:evenHBand="0" w:firstRowFirstColumn="0" w:firstRowLastColumn="0" w:lastRowFirstColumn="0" w:lastRowLastColumn="0"/>
              <w:rPr>
                <w:rFonts w:cstheme="minorHAnsi"/>
              </w:rPr>
            </w:pPr>
            <w:r w:rsidRPr="00ED4EDD">
              <w:rPr>
                <w:rFonts w:cstheme="minorHAnsi"/>
              </w:rPr>
              <w:t>65,6%</w:t>
            </w:r>
          </w:p>
        </w:tc>
      </w:tr>
      <w:tr w:rsidR="00F25738" w:rsidRPr="00ED4EDD" w14:paraId="1310C3A2" w14:textId="77777777" w:rsidTr="00EA252C">
        <w:trPr>
          <w:jc w:val="center"/>
        </w:trPr>
        <w:tc>
          <w:tcPr>
            <w:cnfStyle w:val="001000000000" w:firstRow="0" w:lastRow="0" w:firstColumn="1" w:lastColumn="0" w:oddVBand="0" w:evenVBand="0" w:oddHBand="0" w:evenHBand="0" w:firstRowFirstColumn="0" w:firstRowLastColumn="0" w:lastRowFirstColumn="0" w:lastRowLastColumn="0"/>
            <w:tcW w:w="2866" w:type="dxa"/>
            <w:vAlign w:val="center"/>
          </w:tcPr>
          <w:p w14:paraId="7C32FD3A" w14:textId="77777777" w:rsidR="00F25738" w:rsidRPr="007B63B3" w:rsidRDefault="00F25738" w:rsidP="006A5232">
            <w:pPr>
              <w:tabs>
                <w:tab w:val="left" w:pos="2268"/>
              </w:tabs>
              <w:spacing w:before="120" w:after="120"/>
              <w:jc w:val="both"/>
              <w:rPr>
                <w:rFonts w:cstheme="minorHAnsi"/>
                <w:color w:val="000000" w:themeColor="text1"/>
              </w:rPr>
            </w:pPr>
            <w:r>
              <w:rPr>
                <w:rFonts w:cstheme="minorHAnsi"/>
                <w:color w:val="000000" w:themeColor="text1"/>
              </w:rPr>
              <w:t>m</w:t>
            </w:r>
            <w:r w:rsidRPr="007B63B3">
              <w:rPr>
                <w:rFonts w:cstheme="minorHAnsi"/>
                <w:color w:val="000000" w:themeColor="text1"/>
              </w:rPr>
              <w:t>onitoring</w:t>
            </w:r>
          </w:p>
        </w:tc>
        <w:tc>
          <w:tcPr>
            <w:tcW w:w="2867" w:type="dxa"/>
            <w:tcBorders>
              <w:bottom w:val="single" w:sz="4" w:space="0" w:color="auto"/>
              <w:right w:val="nil"/>
            </w:tcBorders>
            <w:vAlign w:val="center"/>
          </w:tcPr>
          <w:p w14:paraId="4B298644" w14:textId="77777777" w:rsidR="00F25738" w:rsidRPr="00ED4EDD" w:rsidRDefault="00F25738" w:rsidP="006A5232">
            <w:pPr>
              <w:tabs>
                <w:tab w:val="left" w:pos="2268"/>
              </w:tabs>
              <w:spacing w:before="120"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D4EDD">
              <w:rPr>
                <w:rFonts w:cstheme="minorHAnsi"/>
              </w:rPr>
              <w:t>96,7%</w:t>
            </w:r>
          </w:p>
        </w:tc>
      </w:tr>
      <w:tr w:rsidR="00F25738" w:rsidRPr="00ED4EDD" w14:paraId="4C5CCC53" w14:textId="77777777" w:rsidTr="00EA25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66" w:type="dxa"/>
            <w:tcBorders>
              <w:bottom w:val="single" w:sz="4" w:space="0" w:color="auto"/>
            </w:tcBorders>
            <w:shd w:val="clear" w:color="auto" w:fill="A8D08D" w:themeFill="accent6" w:themeFillTint="99"/>
            <w:vAlign w:val="center"/>
          </w:tcPr>
          <w:p w14:paraId="052DEB08" w14:textId="77777777" w:rsidR="00F25738" w:rsidRPr="007B63B3" w:rsidRDefault="00F25738" w:rsidP="006A5232">
            <w:pPr>
              <w:tabs>
                <w:tab w:val="left" w:pos="2268"/>
              </w:tabs>
              <w:spacing w:before="120" w:after="120"/>
              <w:jc w:val="both"/>
              <w:rPr>
                <w:rFonts w:cstheme="minorHAnsi"/>
                <w:color w:val="000000" w:themeColor="text1"/>
              </w:rPr>
            </w:pPr>
            <w:r>
              <w:rPr>
                <w:rFonts w:cstheme="minorHAnsi"/>
                <w:color w:val="000000" w:themeColor="text1"/>
              </w:rPr>
              <w:t>z</w:t>
            </w:r>
            <w:r w:rsidRPr="007B63B3">
              <w:rPr>
                <w:rFonts w:cstheme="minorHAnsi"/>
                <w:color w:val="000000" w:themeColor="text1"/>
              </w:rPr>
              <w:t>apowiedzi przystankowe</w:t>
            </w:r>
          </w:p>
        </w:tc>
        <w:tc>
          <w:tcPr>
            <w:tcW w:w="2867" w:type="dxa"/>
            <w:tcBorders>
              <w:bottom w:val="single" w:sz="4" w:space="0" w:color="auto"/>
              <w:right w:val="nil"/>
            </w:tcBorders>
            <w:shd w:val="clear" w:color="auto" w:fill="A8D08D" w:themeFill="accent6" w:themeFillTint="99"/>
            <w:vAlign w:val="center"/>
          </w:tcPr>
          <w:p w14:paraId="4D9E48D4" w14:textId="77777777" w:rsidR="00F25738" w:rsidRPr="00ED4EDD" w:rsidRDefault="00F25738" w:rsidP="006A5232">
            <w:pPr>
              <w:tabs>
                <w:tab w:val="left" w:pos="2268"/>
              </w:tabs>
              <w:spacing w:before="120" w:after="120"/>
              <w:jc w:val="center"/>
              <w:cnfStyle w:val="000000100000" w:firstRow="0" w:lastRow="0" w:firstColumn="0" w:lastColumn="0" w:oddVBand="0" w:evenVBand="0" w:oddHBand="1" w:evenHBand="0" w:firstRowFirstColumn="0" w:firstRowLastColumn="0" w:lastRowFirstColumn="0" w:lastRowLastColumn="0"/>
              <w:rPr>
                <w:rFonts w:cstheme="minorHAnsi"/>
              </w:rPr>
            </w:pPr>
            <w:r w:rsidRPr="00ED4EDD">
              <w:rPr>
                <w:rFonts w:cstheme="minorHAnsi"/>
              </w:rPr>
              <w:t>96,7%</w:t>
            </w:r>
          </w:p>
        </w:tc>
      </w:tr>
      <w:tr w:rsidR="00F25738" w:rsidRPr="00ED4EDD" w14:paraId="6A9C14AD" w14:textId="77777777" w:rsidTr="00EA252C">
        <w:trPr>
          <w:jc w:val="center"/>
        </w:trPr>
        <w:tc>
          <w:tcPr>
            <w:cnfStyle w:val="001000000000" w:firstRow="0" w:lastRow="0" w:firstColumn="1" w:lastColumn="0" w:oddVBand="0" w:evenVBand="0" w:oddHBand="0" w:evenHBand="0" w:firstRowFirstColumn="0" w:firstRowLastColumn="0" w:lastRowFirstColumn="0" w:lastRowLastColumn="0"/>
            <w:tcW w:w="2866" w:type="dxa"/>
            <w:tcBorders>
              <w:bottom w:val="single" w:sz="4" w:space="0" w:color="auto"/>
            </w:tcBorders>
            <w:vAlign w:val="center"/>
          </w:tcPr>
          <w:p w14:paraId="1F1767CB" w14:textId="77777777" w:rsidR="00F25738" w:rsidRPr="007B63B3" w:rsidRDefault="00F25738" w:rsidP="006A5232">
            <w:pPr>
              <w:tabs>
                <w:tab w:val="left" w:pos="2268"/>
              </w:tabs>
              <w:spacing w:before="120" w:after="120"/>
              <w:jc w:val="both"/>
              <w:rPr>
                <w:rFonts w:cstheme="minorHAnsi"/>
                <w:color w:val="000000" w:themeColor="text1"/>
              </w:rPr>
            </w:pPr>
            <w:r>
              <w:rPr>
                <w:rFonts w:cstheme="minorHAnsi"/>
                <w:color w:val="000000" w:themeColor="text1"/>
              </w:rPr>
              <w:t>b</w:t>
            </w:r>
            <w:r w:rsidRPr="007B63B3">
              <w:rPr>
                <w:rFonts w:cstheme="minorHAnsi"/>
                <w:color w:val="000000" w:themeColor="text1"/>
              </w:rPr>
              <w:t>iletomat</w:t>
            </w:r>
          </w:p>
        </w:tc>
        <w:tc>
          <w:tcPr>
            <w:tcW w:w="2867" w:type="dxa"/>
            <w:tcBorders>
              <w:right w:val="nil"/>
            </w:tcBorders>
            <w:vAlign w:val="center"/>
          </w:tcPr>
          <w:p w14:paraId="5FF58FD7" w14:textId="77777777" w:rsidR="00F25738" w:rsidRPr="00ED4EDD" w:rsidRDefault="00F25738" w:rsidP="006A5232">
            <w:pPr>
              <w:tabs>
                <w:tab w:val="left" w:pos="2268"/>
              </w:tabs>
              <w:spacing w:before="120" w:after="120"/>
              <w:jc w:val="center"/>
              <w:cnfStyle w:val="000000000000" w:firstRow="0" w:lastRow="0" w:firstColumn="0" w:lastColumn="0" w:oddVBand="0" w:evenVBand="0" w:oddHBand="0" w:evenHBand="0" w:firstRowFirstColumn="0" w:firstRowLastColumn="0" w:lastRowFirstColumn="0" w:lastRowLastColumn="0"/>
              <w:rPr>
                <w:rFonts w:cstheme="minorHAnsi"/>
              </w:rPr>
            </w:pPr>
            <w:r w:rsidRPr="00ED4EDD">
              <w:rPr>
                <w:rFonts w:cstheme="minorHAnsi"/>
              </w:rPr>
              <w:t>83,6%</w:t>
            </w:r>
          </w:p>
        </w:tc>
      </w:tr>
    </w:tbl>
    <w:p w14:paraId="00D22E6F" w14:textId="77777777" w:rsidR="00F25738" w:rsidRPr="00912D59" w:rsidRDefault="00F25738" w:rsidP="00F25738">
      <w:pPr>
        <w:tabs>
          <w:tab w:val="left" w:pos="2268"/>
        </w:tabs>
        <w:spacing w:after="0"/>
        <w:jc w:val="center"/>
        <w:rPr>
          <w:rFonts w:cstheme="minorHAnsi"/>
          <w:sz w:val="20"/>
          <w:szCs w:val="20"/>
        </w:rPr>
      </w:pPr>
      <w:r w:rsidRPr="00912D59">
        <w:rPr>
          <w:rFonts w:cstheme="minorHAnsi"/>
          <w:i/>
          <w:sz w:val="20"/>
          <w:szCs w:val="20"/>
        </w:rPr>
        <w:t>źródło: opracowanie własne na podstawie danych Zarządu Dróg, Zieleni i Transportu w Olsztynie</w:t>
      </w:r>
    </w:p>
    <w:p w14:paraId="1A4BF5EC" w14:textId="77777777" w:rsidR="00F25738" w:rsidRDefault="00F25738" w:rsidP="00F25738">
      <w:pPr>
        <w:spacing w:after="120" w:line="240" w:lineRule="auto"/>
        <w:jc w:val="both"/>
        <w:rPr>
          <w:rFonts w:cs="Arial"/>
        </w:rPr>
      </w:pPr>
    </w:p>
    <w:p w14:paraId="2728D7A1" w14:textId="0EA0EE75" w:rsidR="00E32A3D" w:rsidRPr="00E32A3D" w:rsidRDefault="00E32A3D" w:rsidP="00E32A3D">
      <w:pPr>
        <w:spacing w:after="120" w:line="240" w:lineRule="auto"/>
        <w:jc w:val="both"/>
        <w:rPr>
          <w:rFonts w:cstheme="minorHAnsi"/>
        </w:rPr>
      </w:pPr>
      <w:r w:rsidRPr="00E32A3D">
        <w:rPr>
          <w:rFonts w:cstheme="minorHAnsi"/>
        </w:rPr>
        <w:lastRenderedPageBreak/>
        <w:t>Komunikacja miejska obsługuje praktycznie wszystkie części miasta i sięga poza jego granice. Najgęstsza sieć połączeń funkcjonuje w centralno</w:t>
      </w:r>
      <w:r w:rsidR="00AA01F4">
        <w:rPr>
          <w:rFonts w:cstheme="minorHAnsi"/>
        </w:rPr>
        <w:t>-</w:t>
      </w:r>
      <w:r w:rsidRPr="00E32A3D">
        <w:rPr>
          <w:rFonts w:cstheme="minorHAnsi"/>
        </w:rPr>
        <w:t xml:space="preserve">południowej części miasta, łącząc kampus UWM, osiedla mieszkalne i centrum miasta wraz z Dworcem Głównym. W tym obszarze działają trasy autobusowe i tramwajowe. </w:t>
      </w:r>
    </w:p>
    <w:p w14:paraId="64E510C1" w14:textId="02562FE0" w:rsidR="00E32A3D" w:rsidRPr="00E32A3D" w:rsidRDefault="00E32A3D" w:rsidP="00E32A3D">
      <w:pPr>
        <w:spacing w:after="120" w:line="240" w:lineRule="auto"/>
        <w:jc w:val="both"/>
        <w:rPr>
          <w:rFonts w:cstheme="minorHAnsi"/>
        </w:rPr>
      </w:pPr>
      <w:r w:rsidRPr="00E32A3D">
        <w:rPr>
          <w:rFonts w:cstheme="minorHAnsi"/>
        </w:rPr>
        <w:t xml:space="preserve">Tramwaje poruszają się od Dworca Głównego i starego miasta do Uniwersytetu (Kortowo) i osiedla Jaroty. Obecnie funkcjonują 3 linie tramwajowe, a w planie jest rozbudowa infrastruktury i ustalenie </w:t>
      </w:r>
      <w:r w:rsidR="00D17BFE">
        <w:rPr>
          <w:rFonts w:cstheme="minorHAnsi"/>
        </w:rPr>
        <w:br/>
      </w:r>
      <w:r w:rsidRPr="00E32A3D">
        <w:rPr>
          <w:rFonts w:cstheme="minorHAnsi"/>
        </w:rPr>
        <w:t>5 połączeń. Nowe linie mają się poruszać z centrum do osiedla Pieczewo, trasą równoległą do istniejącej.</w:t>
      </w:r>
    </w:p>
    <w:p w14:paraId="431F2F44" w14:textId="0602D97E" w:rsidR="00C404EB" w:rsidRPr="00C404EB" w:rsidRDefault="00C404EB" w:rsidP="00C404EB">
      <w:pPr>
        <w:pStyle w:val="Legenda"/>
        <w:rPr>
          <w:sz w:val="22"/>
          <w:szCs w:val="22"/>
          <w:lang w:val="pl-PL"/>
        </w:rPr>
      </w:pPr>
      <w:bookmarkStart w:id="303" w:name="_Toc73516191"/>
      <w:r w:rsidRPr="00C404EB">
        <w:rPr>
          <w:sz w:val="22"/>
          <w:szCs w:val="22"/>
          <w:lang w:val="pl-PL"/>
        </w:rPr>
        <w:t xml:space="preserve">Rysunek </w:t>
      </w:r>
      <w:r w:rsidRPr="00C404EB">
        <w:rPr>
          <w:sz w:val="22"/>
          <w:szCs w:val="22"/>
        </w:rPr>
        <w:fldChar w:fldCharType="begin"/>
      </w:r>
      <w:r w:rsidRPr="00C404EB">
        <w:rPr>
          <w:sz w:val="22"/>
          <w:szCs w:val="22"/>
          <w:lang w:val="pl-PL"/>
        </w:rPr>
        <w:instrText xml:space="preserve"> SEQ Rysunek \* ARABIC </w:instrText>
      </w:r>
      <w:r w:rsidRPr="00C404EB">
        <w:rPr>
          <w:sz w:val="22"/>
          <w:szCs w:val="22"/>
        </w:rPr>
        <w:fldChar w:fldCharType="separate"/>
      </w:r>
      <w:r w:rsidR="00AD58C3">
        <w:rPr>
          <w:noProof/>
          <w:sz w:val="22"/>
          <w:szCs w:val="22"/>
          <w:lang w:val="pl-PL"/>
        </w:rPr>
        <w:t>26</w:t>
      </w:r>
      <w:r w:rsidRPr="00C404EB">
        <w:rPr>
          <w:sz w:val="22"/>
          <w:szCs w:val="22"/>
        </w:rPr>
        <w:fldChar w:fldCharType="end"/>
      </w:r>
      <w:r w:rsidRPr="00C404EB">
        <w:rPr>
          <w:sz w:val="22"/>
          <w:szCs w:val="22"/>
          <w:lang w:val="pl-PL"/>
        </w:rPr>
        <w:t>. Trasy komunikacji miejskiej w Olsztynie</w:t>
      </w:r>
      <w:bookmarkEnd w:id="303"/>
      <w:r w:rsidRPr="00C404EB">
        <w:rPr>
          <w:sz w:val="22"/>
          <w:szCs w:val="22"/>
          <w:lang w:val="pl-PL"/>
        </w:rPr>
        <w:t xml:space="preserve"> </w:t>
      </w:r>
    </w:p>
    <w:p w14:paraId="0E42A59E" w14:textId="77777777" w:rsidR="00F17970" w:rsidRDefault="00E32A3D" w:rsidP="00F17970">
      <w:pPr>
        <w:keepNext/>
        <w:spacing w:after="120" w:line="240" w:lineRule="auto"/>
        <w:jc w:val="center"/>
      </w:pPr>
      <w:r w:rsidRPr="00E32A3D">
        <w:rPr>
          <w:rFonts w:cstheme="minorHAnsi"/>
          <w:noProof/>
          <w:lang w:eastAsia="pl-PL"/>
        </w:rPr>
        <w:drawing>
          <wp:inline distT="0" distB="0" distL="0" distR="0" wp14:anchorId="4B1C32D7" wp14:editId="13D7525A">
            <wp:extent cx="5760720" cy="3886200"/>
            <wp:effectExtent l="0" t="0" r="0" b="0"/>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60720" cy="3886200"/>
                    </a:xfrm>
                    <a:prstGeom prst="rect">
                      <a:avLst/>
                    </a:prstGeom>
                  </pic:spPr>
                </pic:pic>
              </a:graphicData>
            </a:graphic>
          </wp:inline>
        </w:drawing>
      </w:r>
    </w:p>
    <w:p w14:paraId="7556147E" w14:textId="7D07A581" w:rsidR="00E32A3D" w:rsidRPr="00F17970" w:rsidRDefault="00F17970" w:rsidP="00F17970">
      <w:pPr>
        <w:pStyle w:val="Legenda"/>
        <w:jc w:val="center"/>
        <w:rPr>
          <w:rFonts w:cstheme="minorHAnsi"/>
          <w:sz w:val="20"/>
          <w:lang w:val="pl-PL"/>
        </w:rPr>
      </w:pPr>
      <w:r w:rsidRPr="00F17970">
        <w:rPr>
          <w:sz w:val="20"/>
          <w:lang w:val="pl-PL"/>
        </w:rPr>
        <w:t>Źródło: www.zdzit.olsztyn.eu/pl/ i tramwaje.olsztyn.eu/nowa-siec-tramwajowa-przebieg-linii/</w:t>
      </w:r>
    </w:p>
    <w:p w14:paraId="46035FB7" w14:textId="77777777" w:rsidR="00E32A3D" w:rsidRDefault="00E32A3D" w:rsidP="00F25738">
      <w:pPr>
        <w:tabs>
          <w:tab w:val="left" w:pos="2268"/>
        </w:tabs>
        <w:spacing w:after="120"/>
        <w:jc w:val="both"/>
        <w:rPr>
          <w:rFonts w:cstheme="minorHAnsi"/>
        </w:rPr>
      </w:pPr>
    </w:p>
    <w:p w14:paraId="6F262EE8" w14:textId="47A0CCA5" w:rsidR="00F25738" w:rsidRDefault="00F25738" w:rsidP="00F25738">
      <w:pPr>
        <w:tabs>
          <w:tab w:val="left" w:pos="2268"/>
        </w:tabs>
        <w:spacing w:after="120"/>
        <w:jc w:val="both"/>
        <w:rPr>
          <w:rFonts w:cstheme="minorHAnsi"/>
        </w:rPr>
      </w:pPr>
      <w:r w:rsidRPr="00ED4EDD">
        <w:rPr>
          <w:rFonts w:cstheme="minorHAnsi"/>
        </w:rPr>
        <w:t>System</w:t>
      </w:r>
      <w:r>
        <w:rPr>
          <w:rFonts w:cstheme="minorHAnsi"/>
        </w:rPr>
        <w:t xml:space="preserve"> </w:t>
      </w:r>
      <w:r w:rsidRPr="00ED4EDD">
        <w:rPr>
          <w:rFonts w:cstheme="minorHAnsi"/>
        </w:rPr>
        <w:t xml:space="preserve">biletów </w:t>
      </w:r>
      <w:r>
        <w:rPr>
          <w:rFonts w:cstheme="minorHAnsi"/>
        </w:rPr>
        <w:t>komunikacji miejskiej Olsztyna</w:t>
      </w:r>
      <w:r w:rsidRPr="00ED4EDD">
        <w:rPr>
          <w:rFonts w:cstheme="minorHAnsi"/>
        </w:rPr>
        <w:t xml:space="preserve"> został uproszczony w 2016 r. i obecnie istnieje tylko jedna strefa taryfowa dla całego Miejskiego </w:t>
      </w:r>
      <w:r>
        <w:rPr>
          <w:rFonts w:cstheme="minorHAnsi"/>
        </w:rPr>
        <w:t xml:space="preserve">Obszaru Funkcjonalnego Olsztyna. Trzy gminy </w:t>
      </w:r>
      <w:r w:rsidRPr="00ED4EDD">
        <w:rPr>
          <w:rFonts w:cstheme="minorHAnsi"/>
        </w:rPr>
        <w:t xml:space="preserve">MOF </w:t>
      </w:r>
      <w:r>
        <w:rPr>
          <w:rFonts w:cstheme="minorHAnsi"/>
        </w:rPr>
        <w:t xml:space="preserve">(Dywity, Jonkowo, Stawiguda) uruchomiły </w:t>
      </w:r>
      <w:r w:rsidRPr="00ED4EDD">
        <w:rPr>
          <w:rFonts w:cstheme="minorHAnsi"/>
        </w:rPr>
        <w:t>swoją własną</w:t>
      </w:r>
      <w:r w:rsidR="00D17BFE">
        <w:rPr>
          <w:rFonts w:cstheme="minorHAnsi"/>
        </w:rPr>
        <w:t xml:space="preserve"> komunikację gminną</w:t>
      </w:r>
      <w:r>
        <w:rPr>
          <w:rFonts w:cstheme="minorHAnsi"/>
        </w:rPr>
        <w:t>. Działają w nich odrębne dla każdej z gmin taryfy biletowe. Ponadto d</w:t>
      </w:r>
      <w:r w:rsidRPr="00ED4EDD">
        <w:rPr>
          <w:rFonts w:cstheme="minorHAnsi"/>
        </w:rPr>
        <w:t>o gmin Dywity, Stawiguda, Barczewo i Purda docierają też linie olsztyńskiej komunikacji miejskiej współfinansowane przez władze lokalne</w:t>
      </w:r>
      <w:r>
        <w:rPr>
          <w:rFonts w:cstheme="minorHAnsi"/>
        </w:rPr>
        <w:t xml:space="preserve"> tych gmin</w:t>
      </w:r>
      <w:r w:rsidRPr="00ED4EDD">
        <w:rPr>
          <w:rFonts w:cstheme="minorHAnsi"/>
        </w:rPr>
        <w:t>.</w:t>
      </w:r>
      <w:r w:rsidRPr="00793BE3">
        <w:rPr>
          <w:rFonts w:cstheme="minorHAnsi"/>
        </w:rPr>
        <w:t xml:space="preserve"> </w:t>
      </w:r>
      <w:r>
        <w:rPr>
          <w:rFonts w:cstheme="minorHAnsi"/>
        </w:rPr>
        <w:t>Zasięg linii transportu publicznego organizowanego przez gminy Olsztyn, Dywity, Jonkowo i Stawigudę obejmuje już znaczącą część MOF Olsztyna, w dwóch przypadkach wykraczając nawet poza ten obszar (linia 129 komunikacji miejskiej Olsztyna dociera do gminy Olsztynek, a linia D3 komunikacji gminnej Dywit do gminy Dobre Miasto)</w:t>
      </w:r>
      <w:r>
        <w:rPr>
          <w:rStyle w:val="Odwoanieprzypisudolnego"/>
          <w:rFonts w:cstheme="minorHAnsi"/>
        </w:rPr>
        <w:footnoteReference w:id="115"/>
      </w:r>
      <w:r>
        <w:rPr>
          <w:rFonts w:cstheme="minorHAnsi"/>
        </w:rPr>
        <w:t>.</w:t>
      </w:r>
    </w:p>
    <w:p w14:paraId="26E26D43" w14:textId="4D195B54" w:rsidR="00F25738" w:rsidRPr="002F73AF" w:rsidRDefault="00F25738" w:rsidP="00F25738">
      <w:pPr>
        <w:spacing w:after="120"/>
        <w:jc w:val="both"/>
        <w:rPr>
          <w:rFonts w:ascii="Calibri" w:hAnsi="Calibri"/>
        </w:rPr>
      </w:pPr>
      <w:r w:rsidRPr="002F73AF">
        <w:rPr>
          <w:rFonts w:ascii="Calibri" w:hAnsi="Calibri"/>
        </w:rPr>
        <w:lastRenderedPageBreak/>
        <w:t xml:space="preserve">Tramwaje w 2019 r. obsługiwały 3 linie zwykłe. Autobusy kursowały na 25 liniach zwykłych, w tym 7 na liniach współfinansowanych przez gminy ościenne, 5 liniach dowozowych, 6 okresowych oraz </w:t>
      </w:r>
      <w:r w:rsidR="00AB3D05">
        <w:rPr>
          <w:rFonts w:ascii="Calibri" w:hAnsi="Calibri"/>
        </w:rPr>
        <w:br/>
      </w:r>
      <w:r w:rsidRPr="002F73AF">
        <w:rPr>
          <w:rFonts w:ascii="Calibri" w:hAnsi="Calibri"/>
        </w:rPr>
        <w:t xml:space="preserve">2 nocnych. </w:t>
      </w:r>
    </w:p>
    <w:p w14:paraId="57865FA8" w14:textId="77777777" w:rsidR="00F25738" w:rsidRDefault="00F25738" w:rsidP="00F25738">
      <w:pPr>
        <w:tabs>
          <w:tab w:val="left" w:pos="2268"/>
        </w:tabs>
        <w:spacing w:after="120"/>
        <w:jc w:val="both"/>
        <w:rPr>
          <w:rFonts w:cstheme="minorHAnsi"/>
        </w:rPr>
      </w:pPr>
      <w:r w:rsidRPr="00ED4EDD">
        <w:rPr>
          <w:rFonts w:cstheme="minorHAnsi"/>
        </w:rPr>
        <w:t>Wprowadzenie tramwajów i pozostałe zmiany w transporcie publicznym Olsztyna i jego obszaru funkcjonalnego zaowocowały wyraźnym wzrostem liczby pasażerów</w:t>
      </w:r>
      <w:r>
        <w:rPr>
          <w:rFonts w:cstheme="minorHAnsi"/>
        </w:rPr>
        <w:t xml:space="preserve"> komunikacji miejskiej Olsztyna w </w:t>
      </w:r>
      <w:r w:rsidRPr="00ED4EDD">
        <w:rPr>
          <w:rFonts w:cstheme="minorHAnsi"/>
        </w:rPr>
        <w:t>ostatnich latach.</w:t>
      </w:r>
    </w:p>
    <w:p w14:paraId="59109256" w14:textId="1C1262B3" w:rsidR="00F25738" w:rsidRPr="00AB3D05" w:rsidRDefault="00AB3D05" w:rsidP="00AB3D05">
      <w:pPr>
        <w:pStyle w:val="Legenda"/>
        <w:rPr>
          <w:sz w:val="22"/>
          <w:szCs w:val="22"/>
          <w:lang w:val="pl-PL"/>
        </w:rPr>
      </w:pPr>
      <w:bookmarkStart w:id="304" w:name="_Toc73516162"/>
      <w:r w:rsidRPr="00AB3D05">
        <w:rPr>
          <w:sz w:val="22"/>
          <w:szCs w:val="22"/>
        </w:rPr>
        <w:t xml:space="preserve">Wykres </w:t>
      </w:r>
      <w:r w:rsidRPr="00AB3D05">
        <w:rPr>
          <w:sz w:val="22"/>
          <w:szCs w:val="22"/>
        </w:rPr>
        <w:fldChar w:fldCharType="begin"/>
      </w:r>
      <w:r w:rsidRPr="00AB3D05">
        <w:rPr>
          <w:sz w:val="22"/>
          <w:szCs w:val="22"/>
        </w:rPr>
        <w:instrText xml:space="preserve"> SEQ Wykres \* ARABIC </w:instrText>
      </w:r>
      <w:r w:rsidRPr="00AB3D05">
        <w:rPr>
          <w:sz w:val="22"/>
          <w:szCs w:val="22"/>
        </w:rPr>
        <w:fldChar w:fldCharType="separate"/>
      </w:r>
      <w:r w:rsidR="00AD58C3">
        <w:rPr>
          <w:noProof/>
          <w:sz w:val="22"/>
          <w:szCs w:val="22"/>
        </w:rPr>
        <w:t>100</w:t>
      </w:r>
      <w:r w:rsidRPr="00AB3D05">
        <w:rPr>
          <w:sz w:val="22"/>
          <w:szCs w:val="22"/>
        </w:rPr>
        <w:fldChar w:fldCharType="end"/>
      </w:r>
      <w:r w:rsidRPr="00AB3D05">
        <w:rPr>
          <w:sz w:val="22"/>
          <w:szCs w:val="22"/>
        </w:rPr>
        <w:t xml:space="preserve">. </w:t>
      </w:r>
      <w:r w:rsidRPr="00AB3D05">
        <w:rPr>
          <w:bCs/>
          <w:sz w:val="22"/>
          <w:szCs w:val="22"/>
          <w:lang w:val="pl-PL"/>
        </w:rPr>
        <w:t>Dynamika liczby podróży w komunikacji miejskiej Olsztyna w latach 2014-2018</w:t>
      </w:r>
      <w:bookmarkEnd w:id="304"/>
    </w:p>
    <w:p w14:paraId="6BCAD311" w14:textId="77777777" w:rsidR="00F25738" w:rsidRPr="00ED4EDD" w:rsidRDefault="00F25738" w:rsidP="00F25738">
      <w:pPr>
        <w:keepNext/>
        <w:tabs>
          <w:tab w:val="left" w:pos="2268"/>
        </w:tabs>
        <w:spacing w:after="0"/>
        <w:jc w:val="center"/>
      </w:pPr>
      <w:r w:rsidRPr="00ED4EDD">
        <w:rPr>
          <w:noProof/>
          <w:lang w:eastAsia="pl-PL"/>
        </w:rPr>
        <w:drawing>
          <wp:inline distT="0" distB="0" distL="0" distR="0" wp14:anchorId="328A09BE" wp14:editId="3F746C30">
            <wp:extent cx="4835348" cy="2435962"/>
            <wp:effectExtent l="0" t="0" r="3810" b="2540"/>
            <wp:docPr id="175" name="Wykres 1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5F102D9B" w14:textId="77777777" w:rsidR="00F25738" w:rsidRPr="00AB3D05" w:rsidRDefault="00F25738" w:rsidP="00F25738">
      <w:pPr>
        <w:pStyle w:val="Legenda"/>
        <w:spacing w:before="0"/>
        <w:jc w:val="center"/>
        <w:rPr>
          <w:rFonts w:cstheme="minorHAnsi"/>
          <w:sz w:val="20"/>
          <w:szCs w:val="20"/>
          <w:lang w:val="pl-PL"/>
        </w:rPr>
      </w:pPr>
      <w:r w:rsidRPr="00AB3D05">
        <w:rPr>
          <w:sz w:val="20"/>
          <w:szCs w:val="20"/>
          <w:lang w:val="pl-PL"/>
        </w:rPr>
        <w:t>źródło: o</w:t>
      </w:r>
      <w:r w:rsidRPr="00AB3D05">
        <w:rPr>
          <w:rFonts w:cstheme="minorHAnsi"/>
          <w:sz w:val="20"/>
          <w:szCs w:val="20"/>
          <w:lang w:val="pl-PL"/>
        </w:rPr>
        <w:t>pracowanie własne na podstawie danych Zarządu Dróg, Zieleni i Transportu w Olsztynie</w:t>
      </w:r>
    </w:p>
    <w:p w14:paraId="0AB28C06" w14:textId="77777777" w:rsidR="00F25738" w:rsidRDefault="00F25738" w:rsidP="00F25738">
      <w:pPr>
        <w:spacing w:before="120" w:after="120" w:line="360" w:lineRule="auto"/>
        <w:jc w:val="both"/>
        <w:rPr>
          <w:rFonts w:ascii="Calibri Light" w:hAnsi="Calibri Light"/>
        </w:rPr>
      </w:pPr>
    </w:p>
    <w:p w14:paraId="7EB26731" w14:textId="77777777" w:rsidR="00F25738" w:rsidRDefault="00F25738" w:rsidP="00F25738">
      <w:pPr>
        <w:tabs>
          <w:tab w:val="left" w:pos="2268"/>
        </w:tabs>
        <w:spacing w:after="360"/>
        <w:jc w:val="both"/>
        <w:rPr>
          <w:rFonts w:cs="Times New Roman"/>
        </w:rPr>
      </w:pPr>
      <w:r>
        <w:rPr>
          <w:rFonts w:cs="Times New Roman"/>
        </w:rPr>
        <w:t>W Olsztynie zarejestrowanych jest blisko 124 tys. pojazdów (2019), w powiecie olsztyńskim zaś ponad 98 tys. pojazdów. W porównaniu z rokiem 2013 nastąpił blisko 25% wzrost liczby pojazdów poruszających się po drogach Olsztyna (więcej o 24 608 pojazdów w 2019 roku niż w 2013), w powiecie olsztyńskim – więcej o ponad 27%.</w:t>
      </w:r>
      <w:r>
        <w:rPr>
          <w:rStyle w:val="Odwoanieprzypisudolnego"/>
          <w:rFonts w:cs="Times New Roman"/>
        </w:rPr>
        <w:footnoteReference w:id="116"/>
      </w:r>
      <w:r>
        <w:rPr>
          <w:rFonts w:cs="Times New Roman"/>
        </w:rPr>
        <w:t xml:space="preserve"> To duże obciążenie tak dla infrastruktury drogowej, stanu środowiska, jak i bezpieczeństwa ruchu drogowego. Aby rozwiązać ten problem, miasto rozwija system transportu publicznego ze szczególnym uwzględnieniem sieci tramwajowej. </w:t>
      </w:r>
    </w:p>
    <w:p w14:paraId="1D2DB8AA" w14:textId="56236AFB" w:rsidR="00F25738" w:rsidRDefault="00F25738" w:rsidP="00F25738">
      <w:pPr>
        <w:tabs>
          <w:tab w:val="left" w:pos="2268"/>
        </w:tabs>
        <w:spacing w:after="360"/>
        <w:jc w:val="both"/>
        <w:rPr>
          <w:rFonts w:cs="Times New Roman"/>
        </w:rPr>
      </w:pPr>
      <w:r>
        <w:rPr>
          <w:rFonts w:cs="Times New Roman"/>
        </w:rPr>
        <w:t xml:space="preserve">Dane GUS za lata 2013-2019 dostępne w odniesieniu do wskaźnika motoryzacji, wyrażonego jako liczba pojazdów samochodowych w przeliczeniu na 1000 ludności, dla wszystkich badanych miast Polski Wschodniej, wskazują na wyraźny stały trend wzrostowy. Porównując dane za rok 2013 i 2019, </w:t>
      </w:r>
      <w:r>
        <w:rPr>
          <w:rFonts w:cs="Times New Roman"/>
        </w:rPr>
        <w:br/>
        <w:t xml:space="preserve">w analizowanych ośrodkach wojewódzkich nastąpił wzrost na zbliżonym poziomie (pojazdów więcej </w:t>
      </w:r>
      <w:r>
        <w:rPr>
          <w:rFonts w:cs="Times New Roman"/>
        </w:rPr>
        <w:br/>
        <w:t xml:space="preserve">o 30% - w Kielcach, o 29% - w Białymstoku, o 28% - w Rzeszowie i o 27% - w Olsztynie i Lublinie). Na wykresie poniżej przedstawiono zmiany w omawianym obszarze. </w:t>
      </w:r>
    </w:p>
    <w:p w14:paraId="27CBFAAC" w14:textId="15E35626" w:rsidR="00AB3D05" w:rsidRDefault="00AB3D05">
      <w:pPr>
        <w:rPr>
          <w:rFonts w:cs="Times New Roman"/>
        </w:rPr>
      </w:pPr>
      <w:r>
        <w:rPr>
          <w:rFonts w:cs="Times New Roman"/>
        </w:rPr>
        <w:br w:type="page"/>
      </w:r>
    </w:p>
    <w:p w14:paraId="6BCA1355" w14:textId="7A512C58" w:rsidR="00AB3D05" w:rsidRPr="00AB3D05" w:rsidRDefault="00AB3D05" w:rsidP="00AB3D05">
      <w:pPr>
        <w:pStyle w:val="Legenda"/>
        <w:rPr>
          <w:sz w:val="22"/>
          <w:szCs w:val="22"/>
          <w:lang w:val="pl-PL"/>
        </w:rPr>
      </w:pPr>
      <w:bookmarkStart w:id="305" w:name="_Toc73516163"/>
      <w:r w:rsidRPr="00AB3D05">
        <w:rPr>
          <w:sz w:val="22"/>
          <w:szCs w:val="22"/>
        </w:rPr>
        <w:lastRenderedPageBreak/>
        <w:t xml:space="preserve">Wykres </w:t>
      </w:r>
      <w:r w:rsidRPr="00AB3D05">
        <w:rPr>
          <w:sz w:val="22"/>
          <w:szCs w:val="22"/>
        </w:rPr>
        <w:fldChar w:fldCharType="begin"/>
      </w:r>
      <w:r w:rsidRPr="00AB3D05">
        <w:rPr>
          <w:sz w:val="22"/>
          <w:szCs w:val="22"/>
        </w:rPr>
        <w:instrText xml:space="preserve"> SEQ Wykres \* ARABIC </w:instrText>
      </w:r>
      <w:r w:rsidRPr="00AB3D05">
        <w:rPr>
          <w:sz w:val="22"/>
          <w:szCs w:val="22"/>
        </w:rPr>
        <w:fldChar w:fldCharType="separate"/>
      </w:r>
      <w:r w:rsidR="00AD58C3">
        <w:rPr>
          <w:noProof/>
          <w:sz w:val="22"/>
          <w:szCs w:val="22"/>
        </w:rPr>
        <w:t>101</w:t>
      </w:r>
      <w:r w:rsidRPr="00AB3D05">
        <w:rPr>
          <w:sz w:val="22"/>
          <w:szCs w:val="22"/>
        </w:rPr>
        <w:fldChar w:fldCharType="end"/>
      </w:r>
      <w:r w:rsidRPr="00AB3D05">
        <w:rPr>
          <w:sz w:val="22"/>
          <w:szCs w:val="22"/>
        </w:rPr>
        <w:t xml:space="preserve">. </w:t>
      </w:r>
      <w:r w:rsidRPr="00AB3D05">
        <w:rPr>
          <w:bCs/>
          <w:sz w:val="22"/>
          <w:szCs w:val="22"/>
          <w:lang w:val="en-US"/>
        </w:rPr>
        <w:t>Pojazdy samochodowe i ciągniki na 1000 ludności w latach 2013 i 2019</w:t>
      </w:r>
      <w:bookmarkEnd w:id="305"/>
    </w:p>
    <w:p w14:paraId="7E1220F4" w14:textId="77777777" w:rsidR="00F25738" w:rsidRDefault="00F25738" w:rsidP="00F25738">
      <w:pPr>
        <w:tabs>
          <w:tab w:val="left" w:pos="2268"/>
        </w:tabs>
        <w:spacing w:after="0" w:line="240" w:lineRule="auto"/>
        <w:jc w:val="center"/>
        <w:rPr>
          <w:rFonts w:cs="Times New Roman"/>
        </w:rPr>
      </w:pPr>
      <w:r>
        <w:rPr>
          <w:noProof/>
          <w:lang w:eastAsia="pl-PL"/>
        </w:rPr>
        <w:drawing>
          <wp:inline distT="0" distB="0" distL="0" distR="0" wp14:anchorId="6854971D" wp14:editId="01CA5AF3">
            <wp:extent cx="3650285" cy="1982419"/>
            <wp:effectExtent l="0" t="0" r="7620" b="18415"/>
            <wp:docPr id="177" name="Wykres 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1887309F" w14:textId="77777777" w:rsidR="00F25738" w:rsidRDefault="00F25738" w:rsidP="00F25738">
      <w:pPr>
        <w:tabs>
          <w:tab w:val="left" w:pos="2268"/>
        </w:tabs>
        <w:spacing w:after="0" w:line="240" w:lineRule="auto"/>
        <w:jc w:val="center"/>
        <w:rPr>
          <w:i/>
          <w:sz w:val="20"/>
          <w:szCs w:val="20"/>
        </w:rPr>
      </w:pPr>
      <w:r w:rsidRPr="0091031D">
        <w:rPr>
          <w:i/>
          <w:sz w:val="20"/>
          <w:szCs w:val="20"/>
        </w:rPr>
        <w:t>źródło: opracowanie własne na podstawie danych GUS</w:t>
      </w:r>
    </w:p>
    <w:p w14:paraId="15610088" w14:textId="77777777" w:rsidR="00F25738" w:rsidRDefault="00F25738" w:rsidP="00F25738">
      <w:pPr>
        <w:tabs>
          <w:tab w:val="left" w:pos="2268"/>
        </w:tabs>
        <w:spacing w:after="360"/>
        <w:jc w:val="both"/>
        <w:rPr>
          <w:rFonts w:cs="Times New Roman"/>
        </w:rPr>
      </w:pPr>
    </w:p>
    <w:p w14:paraId="455E20CC" w14:textId="4A368C71" w:rsidR="00F25738" w:rsidRDefault="00F25738" w:rsidP="00F25738">
      <w:pPr>
        <w:tabs>
          <w:tab w:val="left" w:pos="2268"/>
        </w:tabs>
        <w:spacing w:after="360"/>
        <w:jc w:val="both"/>
        <w:rPr>
          <w:rFonts w:cs="Times New Roman"/>
        </w:rPr>
      </w:pPr>
      <w:r>
        <w:rPr>
          <w:rFonts w:cs="Times New Roman"/>
        </w:rPr>
        <w:t>W roku 2019 w przeliczeniu na 1000 olsztynian odnotowano 720 pojazdów samochodowych ogółem, w tym 555 samochodów osobowych - więcej o 152 pojazdy samochodowe/1000 mieszkańców i więcej o 117 samochodów osobowych/1000 mieszkańców, w porównaniu z danymi za rok 2013.</w:t>
      </w:r>
    </w:p>
    <w:p w14:paraId="754F5FDF" w14:textId="4698CCF7" w:rsidR="00AB3D05" w:rsidRDefault="00AB3D05" w:rsidP="00AB3D05">
      <w:pPr>
        <w:pStyle w:val="Legenda"/>
        <w:spacing w:before="0" w:after="0"/>
        <w:rPr>
          <w:bCs/>
          <w:sz w:val="22"/>
          <w:szCs w:val="22"/>
          <w:lang w:val="pl-PL"/>
        </w:rPr>
      </w:pPr>
      <w:bookmarkStart w:id="306" w:name="_Toc73516164"/>
      <w:r w:rsidRPr="00AB3D05">
        <w:rPr>
          <w:sz w:val="22"/>
          <w:szCs w:val="22"/>
        </w:rPr>
        <w:t xml:space="preserve">Wykres </w:t>
      </w:r>
      <w:r w:rsidRPr="00AB3D05">
        <w:rPr>
          <w:sz w:val="22"/>
          <w:szCs w:val="22"/>
        </w:rPr>
        <w:fldChar w:fldCharType="begin"/>
      </w:r>
      <w:r w:rsidRPr="00AB3D05">
        <w:rPr>
          <w:sz w:val="22"/>
          <w:szCs w:val="22"/>
        </w:rPr>
        <w:instrText xml:space="preserve"> SEQ Wykres \* ARABIC </w:instrText>
      </w:r>
      <w:r w:rsidRPr="00AB3D05">
        <w:rPr>
          <w:sz w:val="22"/>
          <w:szCs w:val="22"/>
        </w:rPr>
        <w:fldChar w:fldCharType="separate"/>
      </w:r>
      <w:r w:rsidR="00AD58C3">
        <w:rPr>
          <w:noProof/>
          <w:sz w:val="22"/>
          <w:szCs w:val="22"/>
        </w:rPr>
        <w:t>102</w:t>
      </w:r>
      <w:r w:rsidRPr="00AB3D05">
        <w:rPr>
          <w:sz w:val="22"/>
          <w:szCs w:val="22"/>
        </w:rPr>
        <w:fldChar w:fldCharType="end"/>
      </w:r>
      <w:r w:rsidRPr="00AB3D05">
        <w:rPr>
          <w:sz w:val="22"/>
          <w:szCs w:val="22"/>
        </w:rPr>
        <w:t xml:space="preserve">. </w:t>
      </w:r>
      <w:r w:rsidRPr="00AB3D05">
        <w:rPr>
          <w:bCs/>
          <w:sz w:val="22"/>
          <w:szCs w:val="22"/>
          <w:lang w:val="pl-PL"/>
        </w:rPr>
        <w:t>Pojazdy samochodowe w przeliczeniu na 1000 mieszkańców w Olsztynie</w:t>
      </w:r>
      <w:bookmarkEnd w:id="306"/>
      <w:r w:rsidRPr="00AB3D05">
        <w:rPr>
          <w:bCs/>
          <w:sz w:val="22"/>
          <w:szCs w:val="22"/>
          <w:lang w:val="pl-PL"/>
        </w:rPr>
        <w:t xml:space="preserve"> </w:t>
      </w:r>
    </w:p>
    <w:p w14:paraId="2F1D5D22" w14:textId="698D85B5" w:rsidR="00AB3D05" w:rsidRPr="00AB3D05" w:rsidRDefault="00AB3D05" w:rsidP="00AB3D05">
      <w:pPr>
        <w:pStyle w:val="Legenda"/>
        <w:spacing w:before="0" w:after="0"/>
        <w:rPr>
          <w:sz w:val="22"/>
          <w:szCs w:val="22"/>
          <w:lang w:val="pl-PL"/>
        </w:rPr>
      </w:pPr>
      <w:r w:rsidRPr="00AB3D05">
        <w:rPr>
          <w:bCs/>
          <w:sz w:val="22"/>
          <w:szCs w:val="22"/>
          <w:lang w:val="pl-PL"/>
        </w:rPr>
        <w:t>w latach 2013-2019</w:t>
      </w:r>
    </w:p>
    <w:p w14:paraId="471CFF36" w14:textId="77777777" w:rsidR="00F25738" w:rsidRDefault="00F25738" w:rsidP="00F25738">
      <w:pPr>
        <w:tabs>
          <w:tab w:val="left" w:pos="2268"/>
        </w:tabs>
        <w:spacing w:after="0" w:line="240" w:lineRule="auto"/>
        <w:jc w:val="center"/>
        <w:rPr>
          <w:rFonts w:cstheme="minorHAnsi"/>
        </w:rPr>
      </w:pPr>
      <w:r>
        <w:rPr>
          <w:noProof/>
          <w:lang w:eastAsia="pl-PL"/>
        </w:rPr>
        <w:drawing>
          <wp:inline distT="0" distB="0" distL="0" distR="0" wp14:anchorId="052A67DC" wp14:editId="51A39FD1">
            <wp:extent cx="5356860" cy="2173605"/>
            <wp:effectExtent l="0" t="0" r="15240" b="17145"/>
            <wp:docPr id="172" name="Wykres 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3E7790EF" w14:textId="77777777" w:rsidR="00F25738" w:rsidRDefault="00F25738" w:rsidP="00F25738">
      <w:pPr>
        <w:tabs>
          <w:tab w:val="left" w:pos="2268"/>
        </w:tabs>
        <w:spacing w:after="0" w:line="240" w:lineRule="auto"/>
        <w:jc w:val="center"/>
        <w:rPr>
          <w:i/>
          <w:sz w:val="20"/>
          <w:szCs w:val="20"/>
        </w:rPr>
      </w:pPr>
      <w:r w:rsidRPr="0091031D">
        <w:rPr>
          <w:i/>
          <w:sz w:val="20"/>
          <w:szCs w:val="20"/>
        </w:rPr>
        <w:t>źródło: opracowanie własne na podstawie danych GUS</w:t>
      </w:r>
    </w:p>
    <w:p w14:paraId="0C000442" w14:textId="77777777" w:rsidR="00F25738" w:rsidRDefault="00F25738" w:rsidP="00F25738">
      <w:pPr>
        <w:tabs>
          <w:tab w:val="left" w:pos="2268"/>
        </w:tabs>
        <w:spacing w:after="0" w:line="240" w:lineRule="auto"/>
        <w:jc w:val="center"/>
        <w:rPr>
          <w:rFonts w:cstheme="minorHAnsi"/>
        </w:rPr>
      </w:pPr>
    </w:p>
    <w:p w14:paraId="77B00CDF" w14:textId="3C0CE896" w:rsidR="00F25738" w:rsidRDefault="00F25738" w:rsidP="00F25738">
      <w:pPr>
        <w:tabs>
          <w:tab w:val="left" w:pos="2268"/>
        </w:tabs>
        <w:spacing w:after="360"/>
        <w:jc w:val="both"/>
        <w:rPr>
          <w:rFonts w:cstheme="minorHAnsi"/>
        </w:rPr>
      </w:pPr>
      <w:r>
        <w:rPr>
          <w:rFonts w:cstheme="minorHAnsi"/>
        </w:rPr>
        <w:t xml:space="preserve">Dodatkowym, potencjalnym źródłem generującym ruch komunikacyjny w mieście są pojazdy samochodowe zarejestrowane w powiecie olsztyńskim, których w roku 2019 odnotowano 777 </w:t>
      </w:r>
      <w:r>
        <w:rPr>
          <w:rFonts w:cstheme="minorHAnsi"/>
        </w:rPr>
        <w:br/>
        <w:t>w przeliczeniu na 1000 mieszkańców, z tego 591 samochodów osobowych na 1000 ludności.</w:t>
      </w:r>
    </w:p>
    <w:p w14:paraId="5643A2ED" w14:textId="7DEE2B8B" w:rsidR="00AB3D05" w:rsidRDefault="00AB3D05">
      <w:pPr>
        <w:rPr>
          <w:rFonts w:cstheme="minorHAnsi"/>
        </w:rPr>
      </w:pPr>
      <w:r>
        <w:rPr>
          <w:rFonts w:cstheme="minorHAnsi"/>
        </w:rPr>
        <w:br w:type="page"/>
      </w:r>
    </w:p>
    <w:p w14:paraId="3E4DE842" w14:textId="424C49F7" w:rsidR="00610865" w:rsidRDefault="00610865" w:rsidP="00610865">
      <w:pPr>
        <w:pStyle w:val="Legenda"/>
        <w:spacing w:before="0" w:after="0"/>
        <w:rPr>
          <w:bCs/>
          <w:sz w:val="22"/>
          <w:szCs w:val="22"/>
          <w:lang w:val="en-US"/>
        </w:rPr>
      </w:pPr>
      <w:bookmarkStart w:id="307" w:name="_Toc73516165"/>
      <w:r w:rsidRPr="00610865">
        <w:rPr>
          <w:sz w:val="22"/>
          <w:szCs w:val="22"/>
        </w:rPr>
        <w:lastRenderedPageBreak/>
        <w:t xml:space="preserve">Wykres </w:t>
      </w:r>
      <w:r w:rsidRPr="00610865">
        <w:rPr>
          <w:sz w:val="22"/>
          <w:szCs w:val="22"/>
        </w:rPr>
        <w:fldChar w:fldCharType="begin"/>
      </w:r>
      <w:r w:rsidRPr="00610865">
        <w:rPr>
          <w:sz w:val="22"/>
          <w:szCs w:val="22"/>
        </w:rPr>
        <w:instrText xml:space="preserve"> SEQ Wykres \* ARABIC </w:instrText>
      </w:r>
      <w:r w:rsidRPr="00610865">
        <w:rPr>
          <w:sz w:val="22"/>
          <w:szCs w:val="22"/>
        </w:rPr>
        <w:fldChar w:fldCharType="separate"/>
      </w:r>
      <w:r w:rsidR="00AD58C3">
        <w:rPr>
          <w:noProof/>
          <w:sz w:val="22"/>
          <w:szCs w:val="22"/>
        </w:rPr>
        <w:t>103</w:t>
      </w:r>
      <w:r w:rsidRPr="00610865">
        <w:rPr>
          <w:sz w:val="22"/>
          <w:szCs w:val="22"/>
        </w:rPr>
        <w:fldChar w:fldCharType="end"/>
      </w:r>
      <w:r w:rsidRPr="00610865">
        <w:rPr>
          <w:sz w:val="22"/>
          <w:szCs w:val="22"/>
        </w:rPr>
        <w:t xml:space="preserve">. </w:t>
      </w:r>
      <w:r w:rsidRPr="00610865">
        <w:rPr>
          <w:bCs/>
          <w:sz w:val="22"/>
          <w:szCs w:val="22"/>
          <w:lang w:val="en-US"/>
        </w:rPr>
        <w:t>Pojazdy samochodowe w przeliczeniu na 1000 mieszkańców w powiecie olsztyńskim</w:t>
      </w:r>
      <w:bookmarkEnd w:id="307"/>
      <w:r w:rsidRPr="00610865">
        <w:rPr>
          <w:bCs/>
          <w:sz w:val="22"/>
          <w:szCs w:val="22"/>
          <w:lang w:val="en-US"/>
        </w:rPr>
        <w:t xml:space="preserve"> </w:t>
      </w:r>
    </w:p>
    <w:p w14:paraId="185C8183" w14:textId="21C283FB" w:rsidR="00610865" w:rsidRPr="00610865" w:rsidRDefault="00610865" w:rsidP="00610865">
      <w:pPr>
        <w:pStyle w:val="Legenda"/>
        <w:spacing w:before="0" w:after="0"/>
        <w:rPr>
          <w:sz w:val="22"/>
          <w:szCs w:val="22"/>
          <w:lang w:val="pl-PL"/>
        </w:rPr>
      </w:pPr>
      <w:r w:rsidRPr="00610865">
        <w:rPr>
          <w:bCs/>
          <w:sz w:val="22"/>
          <w:szCs w:val="22"/>
          <w:lang w:val="en-US"/>
        </w:rPr>
        <w:t>w latach 2013-2019</w:t>
      </w:r>
    </w:p>
    <w:p w14:paraId="37EAD05B" w14:textId="77777777" w:rsidR="00F25738" w:rsidRDefault="00F25738" w:rsidP="00F25738">
      <w:pPr>
        <w:tabs>
          <w:tab w:val="left" w:pos="2268"/>
        </w:tabs>
        <w:spacing w:after="0" w:line="240" w:lineRule="auto"/>
        <w:jc w:val="center"/>
        <w:rPr>
          <w:rFonts w:cstheme="minorHAnsi"/>
        </w:rPr>
      </w:pPr>
      <w:r>
        <w:rPr>
          <w:noProof/>
          <w:lang w:eastAsia="pl-PL"/>
        </w:rPr>
        <w:drawing>
          <wp:inline distT="0" distB="0" distL="0" distR="0" wp14:anchorId="78EC4765" wp14:editId="4811B459">
            <wp:extent cx="5288280" cy="2259330"/>
            <wp:effectExtent l="0" t="0" r="7620" b="7620"/>
            <wp:docPr id="173" name="Wykres 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46480AF3" w14:textId="77777777" w:rsidR="00F25738" w:rsidRPr="00ED4EDD" w:rsidRDefault="00F25738" w:rsidP="00F25738">
      <w:pPr>
        <w:tabs>
          <w:tab w:val="left" w:pos="2268"/>
        </w:tabs>
        <w:spacing w:after="0" w:line="240" w:lineRule="auto"/>
        <w:jc w:val="center"/>
        <w:rPr>
          <w:rFonts w:cstheme="minorHAnsi"/>
        </w:rPr>
      </w:pPr>
      <w:r w:rsidRPr="0091031D">
        <w:rPr>
          <w:i/>
          <w:sz w:val="20"/>
          <w:szCs w:val="20"/>
        </w:rPr>
        <w:t>źródło: opracowanie własne na podstawie danych GUS</w:t>
      </w:r>
    </w:p>
    <w:p w14:paraId="54D8E897" w14:textId="77777777" w:rsidR="00F25738" w:rsidRDefault="00F25738" w:rsidP="00F25738">
      <w:pPr>
        <w:autoSpaceDE w:val="0"/>
        <w:autoSpaceDN w:val="0"/>
        <w:adjustRightInd w:val="0"/>
        <w:spacing w:after="120" w:line="240" w:lineRule="auto"/>
        <w:jc w:val="both"/>
        <w:rPr>
          <w:rFonts w:cs="Times New Roman"/>
        </w:rPr>
      </w:pPr>
    </w:p>
    <w:p w14:paraId="137B06D3" w14:textId="77777777" w:rsidR="00F25738" w:rsidRPr="00ED4EDD" w:rsidRDefault="00F25738" w:rsidP="00F25738">
      <w:pPr>
        <w:tabs>
          <w:tab w:val="left" w:pos="2268"/>
        </w:tabs>
        <w:spacing w:after="120"/>
        <w:jc w:val="both"/>
        <w:rPr>
          <w:rFonts w:cstheme="minorHAnsi"/>
        </w:rPr>
      </w:pPr>
      <w:r>
        <w:t>Wyniki badań ankietowych podróży i zachowań komunikacyjnych mieszkańców MOF Olsztyn wykonanych przez PBS Sopot na zlecenie Gminy Olsztyn w październiku i listopadzie 2018 r. w ramach projektu SUMBA, Interreg Region Morza Bałtyckiego</w:t>
      </w:r>
      <w:r w:rsidRPr="00ED4EDD">
        <w:rPr>
          <w:rStyle w:val="Odwoanieprzypisudolnego"/>
          <w:rFonts w:cstheme="minorHAnsi"/>
        </w:rPr>
        <w:footnoteReference w:id="117"/>
      </w:r>
      <w:r>
        <w:t xml:space="preserve"> wskazują, że w 42,2% podróży mieszkańców MOF Olsztyna jest wykonywane indywidualnie samochodem osobowym. </w:t>
      </w:r>
      <w:r w:rsidRPr="00ED4EDD">
        <w:rPr>
          <w:rFonts w:cstheme="minorHAnsi"/>
        </w:rPr>
        <w:t xml:space="preserve">Co czwarta podróż wykonywana jest pieszo, a w co piątej podróży wykorzystany jest autobus miejski. </w:t>
      </w:r>
    </w:p>
    <w:p w14:paraId="71C180E0" w14:textId="428721C2" w:rsidR="00F25738" w:rsidRPr="00074290" w:rsidRDefault="00F25738" w:rsidP="00F25738">
      <w:pPr>
        <w:jc w:val="both"/>
        <w:rPr>
          <w:rFonts w:cstheme="minorHAnsi"/>
          <w:b/>
        </w:rPr>
      </w:pPr>
      <w:bookmarkStart w:id="308" w:name="_Toc525025509"/>
      <w:r>
        <w:rPr>
          <w:rFonts w:cstheme="minorHAnsi"/>
        </w:rPr>
        <w:t>Na g</w:t>
      </w:r>
      <w:r w:rsidRPr="00ED4EDD">
        <w:rPr>
          <w:rFonts w:cstheme="minorHAnsi"/>
        </w:rPr>
        <w:t>rafi</w:t>
      </w:r>
      <w:r>
        <w:rPr>
          <w:rFonts w:cstheme="minorHAnsi"/>
        </w:rPr>
        <w:t>ce</w:t>
      </w:r>
      <w:r w:rsidRPr="00ED4EDD">
        <w:rPr>
          <w:rFonts w:cstheme="minorHAnsi"/>
        </w:rPr>
        <w:t xml:space="preserve"> poniżej p</w:t>
      </w:r>
      <w:r>
        <w:rPr>
          <w:rFonts w:cstheme="minorHAnsi"/>
        </w:rPr>
        <w:t xml:space="preserve">rzedstawiono rozkład </w:t>
      </w:r>
      <w:r w:rsidRPr="00ED4EDD">
        <w:rPr>
          <w:rFonts w:cstheme="minorHAnsi"/>
        </w:rPr>
        <w:t>procent</w:t>
      </w:r>
      <w:r>
        <w:rPr>
          <w:rFonts w:cstheme="minorHAnsi"/>
        </w:rPr>
        <w:t>owy</w:t>
      </w:r>
      <w:r w:rsidRPr="00ED4EDD">
        <w:rPr>
          <w:rFonts w:cstheme="minorHAnsi"/>
        </w:rPr>
        <w:t xml:space="preserve"> wszystkich podróży </w:t>
      </w:r>
      <w:r>
        <w:rPr>
          <w:rFonts w:cstheme="minorHAnsi"/>
        </w:rPr>
        <w:t xml:space="preserve">w podziale na </w:t>
      </w:r>
      <w:r w:rsidRPr="00ED4EDD">
        <w:rPr>
          <w:rFonts w:cstheme="minorHAnsi"/>
        </w:rPr>
        <w:t>dni</w:t>
      </w:r>
      <w:r>
        <w:rPr>
          <w:rFonts w:cstheme="minorHAnsi"/>
        </w:rPr>
        <w:t xml:space="preserve"> </w:t>
      </w:r>
      <w:r w:rsidRPr="00ED4EDD">
        <w:rPr>
          <w:rFonts w:cstheme="minorHAnsi"/>
        </w:rPr>
        <w:t>(</w:t>
      </w:r>
      <w:r w:rsidRPr="00ED4EDD">
        <w:rPr>
          <w:rFonts w:cstheme="minorHAnsi"/>
          <w:b/>
          <w:color w:val="FFD966" w:themeColor="accent4" w:themeTint="99"/>
        </w:rPr>
        <w:t>dzień powszedni</w:t>
      </w:r>
      <w:r w:rsidRPr="00ED4EDD">
        <w:rPr>
          <w:rFonts w:cstheme="minorHAnsi"/>
        </w:rPr>
        <w:t xml:space="preserve">, </w:t>
      </w:r>
      <w:r w:rsidRPr="00ED4EDD">
        <w:rPr>
          <w:rFonts w:cstheme="minorHAnsi"/>
          <w:b/>
          <w:color w:val="767171" w:themeColor="background2" w:themeShade="80"/>
        </w:rPr>
        <w:t>sobota</w:t>
      </w:r>
      <w:r w:rsidRPr="00ED4EDD">
        <w:rPr>
          <w:rFonts w:cstheme="minorHAnsi"/>
        </w:rPr>
        <w:t xml:space="preserve">, </w:t>
      </w:r>
      <w:r w:rsidRPr="00ED4EDD">
        <w:rPr>
          <w:rFonts w:cstheme="minorHAnsi"/>
          <w:b/>
          <w:color w:val="ED7D31" w:themeColor="accent2"/>
        </w:rPr>
        <w:t>niedziela</w:t>
      </w:r>
      <w:r w:rsidRPr="00ED4EDD">
        <w:rPr>
          <w:rFonts w:cstheme="minorHAnsi"/>
        </w:rPr>
        <w:t xml:space="preserve">) </w:t>
      </w:r>
      <w:r>
        <w:rPr>
          <w:rFonts w:cstheme="minorHAnsi"/>
        </w:rPr>
        <w:t>i rodzaje</w:t>
      </w:r>
      <w:r w:rsidRPr="00ED4EDD">
        <w:rPr>
          <w:rFonts w:cstheme="minorHAnsi"/>
        </w:rPr>
        <w:t xml:space="preserve"> </w:t>
      </w:r>
      <w:r>
        <w:rPr>
          <w:rFonts w:cstheme="minorHAnsi"/>
        </w:rPr>
        <w:t xml:space="preserve">wykorzystywanych </w:t>
      </w:r>
      <w:r w:rsidRPr="00ED4EDD">
        <w:rPr>
          <w:rFonts w:cstheme="minorHAnsi"/>
        </w:rPr>
        <w:t>środk</w:t>
      </w:r>
      <w:r>
        <w:rPr>
          <w:rFonts w:cstheme="minorHAnsi"/>
        </w:rPr>
        <w:t>ów</w:t>
      </w:r>
      <w:r w:rsidRPr="00ED4EDD">
        <w:rPr>
          <w:rFonts w:cstheme="minorHAnsi"/>
        </w:rPr>
        <w:t xml:space="preserve"> transportu:</w:t>
      </w:r>
    </w:p>
    <w:p w14:paraId="277A025E" w14:textId="43209FAF" w:rsidR="00F25738" w:rsidRPr="00E4405D" w:rsidRDefault="00E4405D" w:rsidP="00E4405D">
      <w:pPr>
        <w:pStyle w:val="Legenda"/>
        <w:rPr>
          <w:rFonts w:cstheme="minorHAnsi"/>
          <w:sz w:val="22"/>
          <w:szCs w:val="22"/>
        </w:rPr>
      </w:pPr>
      <w:bookmarkStart w:id="309" w:name="_Toc73516192"/>
      <w:r w:rsidRPr="00E4405D">
        <w:rPr>
          <w:sz w:val="22"/>
          <w:szCs w:val="22"/>
        </w:rPr>
        <w:t xml:space="preserve">Rysunek </w:t>
      </w:r>
      <w:r w:rsidRPr="00E4405D">
        <w:rPr>
          <w:sz w:val="22"/>
          <w:szCs w:val="22"/>
        </w:rPr>
        <w:fldChar w:fldCharType="begin"/>
      </w:r>
      <w:r w:rsidRPr="00E4405D">
        <w:rPr>
          <w:sz w:val="22"/>
          <w:szCs w:val="22"/>
        </w:rPr>
        <w:instrText xml:space="preserve"> SEQ Rysunek \* ARABIC </w:instrText>
      </w:r>
      <w:r w:rsidRPr="00E4405D">
        <w:rPr>
          <w:sz w:val="22"/>
          <w:szCs w:val="22"/>
        </w:rPr>
        <w:fldChar w:fldCharType="separate"/>
      </w:r>
      <w:r w:rsidR="00AD58C3">
        <w:rPr>
          <w:noProof/>
          <w:sz w:val="22"/>
          <w:szCs w:val="22"/>
        </w:rPr>
        <w:t>27</w:t>
      </w:r>
      <w:r w:rsidRPr="00E4405D">
        <w:rPr>
          <w:sz w:val="22"/>
          <w:szCs w:val="22"/>
        </w:rPr>
        <w:fldChar w:fldCharType="end"/>
      </w:r>
      <w:r w:rsidR="00F25738" w:rsidRPr="00E4405D">
        <w:rPr>
          <w:rFonts w:cstheme="minorHAnsi"/>
          <w:noProof/>
          <w:sz w:val="22"/>
          <w:szCs w:val="22"/>
          <w:lang w:val="pl-PL" w:eastAsia="pl-PL"/>
        </w:rPr>
        <mc:AlternateContent>
          <mc:Choice Requires="wpg">
            <w:drawing>
              <wp:anchor distT="0" distB="0" distL="114300" distR="114300" simplePos="0" relativeHeight="251658242" behindDoc="0" locked="0" layoutInCell="1" allowOverlap="1" wp14:anchorId="7A0C56D6" wp14:editId="466C3D4A">
                <wp:simplePos x="0" y="0"/>
                <wp:positionH relativeFrom="column">
                  <wp:posOffset>-176530</wp:posOffset>
                </wp:positionH>
                <wp:positionV relativeFrom="paragraph">
                  <wp:posOffset>207010</wp:posOffset>
                </wp:positionV>
                <wp:extent cx="6051550" cy="2327910"/>
                <wp:effectExtent l="0" t="0" r="0" b="0"/>
                <wp:wrapSquare wrapText="bothSides"/>
                <wp:docPr id="95" name="Grupa 95"/>
                <wp:cNvGraphicFramePr/>
                <a:graphic xmlns:a="http://schemas.openxmlformats.org/drawingml/2006/main">
                  <a:graphicData uri="http://schemas.microsoft.com/office/word/2010/wordprocessingGroup">
                    <wpg:wgp>
                      <wpg:cNvGrpSpPr/>
                      <wpg:grpSpPr>
                        <a:xfrm>
                          <a:off x="0" y="0"/>
                          <a:ext cx="6051550" cy="2327910"/>
                          <a:chOff x="0" y="0"/>
                          <a:chExt cx="6363409" cy="2961474"/>
                        </a:xfrm>
                      </wpg:grpSpPr>
                      <wpg:grpSp>
                        <wpg:cNvPr id="130" name="Grupa 130"/>
                        <wpg:cNvGrpSpPr/>
                        <wpg:grpSpPr>
                          <a:xfrm>
                            <a:off x="1504950" y="361950"/>
                            <a:ext cx="1402645" cy="2562745"/>
                            <a:chOff x="0" y="0"/>
                            <a:chExt cx="1402645" cy="2562745"/>
                          </a:xfrm>
                        </wpg:grpSpPr>
                        <wpg:grpSp>
                          <wpg:cNvPr id="131" name="Grupa 131">
                            <a:extLst>
                              <a:ext uri="{FF2B5EF4-FFF2-40B4-BE49-F238E27FC236}">
                                <a16:creationId xmlns:a16="http://schemas.microsoft.com/office/drawing/2014/main" id="{E0060A1F-522D-4103-912A-0BB20DC6C134}"/>
                              </a:ext>
                            </a:extLst>
                          </wpg:cNvPr>
                          <wpg:cNvGrpSpPr>
                            <a:grpSpLocks noChangeAspect="1"/>
                          </wpg:cNvGrpSpPr>
                          <wpg:grpSpPr bwMode="auto">
                            <a:xfrm>
                              <a:off x="400050" y="1838325"/>
                              <a:ext cx="612468" cy="724420"/>
                              <a:chOff x="2491761" y="2553954"/>
                              <a:chExt cx="585788" cy="687388"/>
                            </a:xfrm>
                          </wpg:grpSpPr>
                          <wps:wsp>
                            <wps:cNvPr id="132" name="Freeform 42">
                              <a:extLst>
                                <a:ext uri="{FF2B5EF4-FFF2-40B4-BE49-F238E27FC236}">
                                  <a16:creationId xmlns:a16="http://schemas.microsoft.com/office/drawing/2014/main" id="{623CD93E-20C9-434D-8637-9E8E786A33AB}"/>
                                </a:ext>
                              </a:extLst>
                            </wps:cNvPr>
                            <wps:cNvSpPr>
                              <a:spLocks noChangeAspect="1" noEditPoints="1"/>
                            </wps:cNvSpPr>
                            <wps:spPr bwMode="auto">
                              <a:xfrm>
                                <a:off x="2491761" y="2553954"/>
                                <a:ext cx="585788" cy="585788"/>
                              </a:xfrm>
                              <a:custGeom>
                                <a:avLst/>
                                <a:gdLst>
                                  <a:gd name="T0" fmla="*/ 6937869 w 2584"/>
                                  <a:gd name="T1" fmla="*/ 0 h 2577"/>
                                  <a:gd name="T2" fmla="*/ 4059937 w 2584"/>
                                  <a:gd name="T3" fmla="*/ 930168 h 2577"/>
                                  <a:gd name="T4" fmla="*/ 1747389 w 2584"/>
                                  <a:gd name="T5" fmla="*/ 2790278 h 2577"/>
                                  <a:gd name="T6" fmla="*/ 359770 w 2584"/>
                                  <a:gd name="T7" fmla="*/ 5425529 h 2577"/>
                                  <a:gd name="T8" fmla="*/ 0 w 2584"/>
                                  <a:gd name="T9" fmla="*/ 133157779 h 2577"/>
                                  <a:gd name="T10" fmla="*/ 132797058 w 2584"/>
                                  <a:gd name="T11" fmla="*/ 6923981 h 2577"/>
                                  <a:gd name="T12" fmla="*/ 131871903 w 2584"/>
                                  <a:gd name="T13" fmla="*/ 4030276 h 2577"/>
                                  <a:gd name="T14" fmla="*/ 130021820 w 2584"/>
                                  <a:gd name="T15" fmla="*/ 1756909 h 2577"/>
                                  <a:gd name="T16" fmla="*/ 127400964 w 2584"/>
                                  <a:gd name="T17" fmla="*/ 310056 h 2577"/>
                                  <a:gd name="T18" fmla="*/ 125139651 w 2584"/>
                                  <a:gd name="T19" fmla="*/ 0 h 2577"/>
                                  <a:gd name="T20" fmla="*/ 24976465 w 2584"/>
                                  <a:gd name="T21" fmla="*/ 116261058 h 2577"/>
                                  <a:gd name="T22" fmla="*/ 22766613 w 2584"/>
                                  <a:gd name="T23" fmla="*/ 115331117 h 2577"/>
                                  <a:gd name="T24" fmla="*/ 21122145 w 2584"/>
                                  <a:gd name="T25" fmla="*/ 113625809 h 2577"/>
                                  <a:gd name="T26" fmla="*/ 20196990 w 2584"/>
                                  <a:gd name="T27" fmla="*/ 111404043 h 2577"/>
                                  <a:gd name="T28" fmla="*/ 20094296 w 2584"/>
                                  <a:gd name="T29" fmla="*/ 109543934 h 2577"/>
                                  <a:gd name="T30" fmla="*/ 20813836 w 2584"/>
                                  <a:gd name="T31" fmla="*/ 107166913 h 2577"/>
                                  <a:gd name="T32" fmla="*/ 22304149 w 2584"/>
                                  <a:gd name="T33" fmla="*/ 105306804 h 2577"/>
                                  <a:gd name="T34" fmla="*/ 24411307 w 2584"/>
                                  <a:gd name="T35" fmla="*/ 104170007 h 2577"/>
                                  <a:gd name="T36" fmla="*/ 26261390 w 2584"/>
                                  <a:gd name="T37" fmla="*/ 103911552 h 2577"/>
                                  <a:gd name="T38" fmla="*/ 28676858 w 2584"/>
                                  <a:gd name="T39" fmla="*/ 104376636 h 2577"/>
                                  <a:gd name="T40" fmla="*/ 30629642 w 2584"/>
                                  <a:gd name="T41" fmla="*/ 105771888 h 2577"/>
                                  <a:gd name="T42" fmla="*/ 31965800 w 2584"/>
                                  <a:gd name="T43" fmla="*/ 107735425 h 2577"/>
                                  <a:gd name="T44" fmla="*/ 32428491 w 2584"/>
                                  <a:gd name="T45" fmla="*/ 110163819 h 2577"/>
                                  <a:gd name="T46" fmla="*/ 32171415 w 2584"/>
                                  <a:gd name="T47" fmla="*/ 112024155 h 2577"/>
                                  <a:gd name="T48" fmla="*/ 31040872 w 2584"/>
                                  <a:gd name="T49" fmla="*/ 114142720 h 2577"/>
                                  <a:gd name="T50" fmla="*/ 29190782 w 2584"/>
                                  <a:gd name="T51" fmla="*/ 115589346 h 2577"/>
                                  <a:gd name="T52" fmla="*/ 26878009 w 2584"/>
                                  <a:gd name="T53" fmla="*/ 116364486 h 2577"/>
                                  <a:gd name="T54" fmla="*/ 106587107 w 2584"/>
                                  <a:gd name="T55" fmla="*/ 116364486 h 2577"/>
                                  <a:gd name="T56" fmla="*/ 104120179 w 2584"/>
                                  <a:gd name="T57" fmla="*/ 115899402 h 2577"/>
                                  <a:gd name="T58" fmla="*/ 102167402 w 2584"/>
                                  <a:gd name="T59" fmla="*/ 114555977 h 2577"/>
                                  <a:gd name="T60" fmla="*/ 100882477 w 2584"/>
                                  <a:gd name="T61" fmla="*/ 112592440 h 2577"/>
                                  <a:gd name="T62" fmla="*/ 100368553 w 2584"/>
                                  <a:gd name="T63" fmla="*/ 110163819 h 2577"/>
                                  <a:gd name="T64" fmla="*/ 100625628 w 2584"/>
                                  <a:gd name="T65" fmla="*/ 108303710 h 2577"/>
                                  <a:gd name="T66" fmla="*/ 101807632 w 2584"/>
                                  <a:gd name="T67" fmla="*/ 106185145 h 2577"/>
                                  <a:gd name="T68" fmla="*/ 103657715 w 2584"/>
                                  <a:gd name="T69" fmla="*/ 104686692 h 2577"/>
                                  <a:gd name="T70" fmla="*/ 105919028 w 2584"/>
                                  <a:gd name="T71" fmla="*/ 103963379 h 2577"/>
                                  <a:gd name="T72" fmla="*/ 107820571 w 2584"/>
                                  <a:gd name="T73" fmla="*/ 104066580 h 2577"/>
                                  <a:gd name="T74" fmla="*/ 110081658 w 2584"/>
                                  <a:gd name="T75" fmla="*/ 104996748 h 2577"/>
                                  <a:gd name="T76" fmla="*/ 111674892 w 2584"/>
                                  <a:gd name="T77" fmla="*/ 106701829 h 2577"/>
                                  <a:gd name="T78" fmla="*/ 112651280 w 2584"/>
                                  <a:gd name="T79" fmla="*/ 108871994 h 2577"/>
                                  <a:gd name="T80" fmla="*/ 112702741 w 2584"/>
                                  <a:gd name="T81" fmla="*/ 110783931 h 2577"/>
                                  <a:gd name="T82" fmla="*/ 112034661 w 2584"/>
                                  <a:gd name="T83" fmla="*/ 113160952 h 2577"/>
                                  <a:gd name="T84" fmla="*/ 110492888 w 2584"/>
                                  <a:gd name="T85" fmla="*/ 114969461 h 2577"/>
                                  <a:gd name="T86" fmla="*/ 108437190 w 2584"/>
                                  <a:gd name="T87" fmla="*/ 116106030 h 2577"/>
                                  <a:gd name="T88" fmla="*/ 106587107 w 2584"/>
                                  <a:gd name="T89" fmla="*/ 116364486 h 2577"/>
                                  <a:gd name="T90" fmla="*/ 123443723 w 2584"/>
                                  <a:gd name="T91" fmla="*/ 78024142 h 2577"/>
                                  <a:gd name="T92" fmla="*/ 122518568 w 2584"/>
                                  <a:gd name="T93" fmla="*/ 80246135 h 2577"/>
                                  <a:gd name="T94" fmla="*/ 120874100 w 2584"/>
                                  <a:gd name="T95" fmla="*/ 81951216 h 2577"/>
                                  <a:gd name="T96" fmla="*/ 118664219 w 2584"/>
                                  <a:gd name="T97" fmla="*/ 82881384 h 2577"/>
                                  <a:gd name="T98" fmla="*/ 15417515 w 2584"/>
                                  <a:gd name="T99" fmla="*/ 82984584 h 2577"/>
                                  <a:gd name="T100" fmla="*/ 13002271 w 2584"/>
                                  <a:gd name="T101" fmla="*/ 82467900 h 2577"/>
                                  <a:gd name="T102" fmla="*/ 11049267 w 2584"/>
                                  <a:gd name="T103" fmla="*/ 81176076 h 2577"/>
                                  <a:gd name="T104" fmla="*/ 9713108 w 2584"/>
                                  <a:gd name="T105" fmla="*/ 79212539 h 2577"/>
                                  <a:gd name="T106" fmla="*/ 9199184 w 2584"/>
                                  <a:gd name="T107" fmla="*/ 76783917 h 2577"/>
                                  <a:gd name="T108" fmla="*/ 9353339 w 2584"/>
                                  <a:gd name="T109" fmla="*/ 14209619 h 2577"/>
                                  <a:gd name="T110" fmla="*/ 10278493 w 2584"/>
                                  <a:gd name="T111" fmla="*/ 11987854 h 2577"/>
                                  <a:gd name="T112" fmla="*/ 11922961 w 2584"/>
                                  <a:gd name="T113" fmla="*/ 10334373 h 2577"/>
                                  <a:gd name="T114" fmla="*/ 14184274 w 2584"/>
                                  <a:gd name="T115" fmla="*/ 9404205 h 2577"/>
                                  <a:gd name="T116" fmla="*/ 117482216 w 2584"/>
                                  <a:gd name="T117" fmla="*/ 9249177 h 2577"/>
                                  <a:gd name="T118" fmla="*/ 119794791 w 2584"/>
                                  <a:gd name="T119" fmla="*/ 9714261 h 2577"/>
                                  <a:gd name="T120" fmla="*/ 121747795 w 2584"/>
                                  <a:gd name="T121" fmla="*/ 11109286 h 2577"/>
                                  <a:gd name="T122" fmla="*/ 123135413 w 2584"/>
                                  <a:gd name="T123" fmla="*/ 13072823 h 2577"/>
                                  <a:gd name="T124" fmla="*/ 123597877 w 2584"/>
                                  <a:gd name="T125" fmla="*/ 15501447 h 2577"/>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 name="T189" fmla="*/ 0 w 2584"/>
                                  <a:gd name="T190" fmla="*/ 0 h 2577"/>
                                  <a:gd name="T191" fmla="*/ 2584 w 2584"/>
                                  <a:gd name="T192" fmla="*/ 2577 h 2577"/>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T189" t="T190" r="T191" b="T192"/>
                                <a:pathLst>
                                  <a:path w="2584" h="2577">
                                    <a:moveTo>
                                      <a:pt x="2435" y="0"/>
                                    </a:moveTo>
                                    <a:lnTo>
                                      <a:pt x="150" y="0"/>
                                    </a:lnTo>
                                    <a:lnTo>
                                      <a:pt x="135" y="0"/>
                                    </a:lnTo>
                                    <a:lnTo>
                                      <a:pt x="120" y="3"/>
                                    </a:lnTo>
                                    <a:lnTo>
                                      <a:pt x="105" y="6"/>
                                    </a:lnTo>
                                    <a:lnTo>
                                      <a:pt x="91" y="12"/>
                                    </a:lnTo>
                                    <a:lnTo>
                                      <a:pt x="79" y="18"/>
                                    </a:lnTo>
                                    <a:lnTo>
                                      <a:pt x="66" y="25"/>
                                    </a:lnTo>
                                    <a:lnTo>
                                      <a:pt x="54" y="34"/>
                                    </a:lnTo>
                                    <a:lnTo>
                                      <a:pt x="44" y="43"/>
                                    </a:lnTo>
                                    <a:lnTo>
                                      <a:pt x="34" y="54"/>
                                    </a:lnTo>
                                    <a:lnTo>
                                      <a:pt x="26" y="66"/>
                                    </a:lnTo>
                                    <a:lnTo>
                                      <a:pt x="18" y="78"/>
                                    </a:lnTo>
                                    <a:lnTo>
                                      <a:pt x="12" y="91"/>
                                    </a:lnTo>
                                    <a:lnTo>
                                      <a:pt x="7" y="105"/>
                                    </a:lnTo>
                                    <a:lnTo>
                                      <a:pt x="4" y="120"/>
                                    </a:lnTo>
                                    <a:lnTo>
                                      <a:pt x="0" y="134"/>
                                    </a:lnTo>
                                    <a:lnTo>
                                      <a:pt x="0" y="149"/>
                                    </a:lnTo>
                                    <a:lnTo>
                                      <a:pt x="0" y="2577"/>
                                    </a:lnTo>
                                    <a:lnTo>
                                      <a:pt x="2584" y="2577"/>
                                    </a:lnTo>
                                    <a:lnTo>
                                      <a:pt x="2584" y="149"/>
                                    </a:lnTo>
                                    <a:lnTo>
                                      <a:pt x="2584" y="134"/>
                                    </a:lnTo>
                                    <a:lnTo>
                                      <a:pt x="2581" y="120"/>
                                    </a:lnTo>
                                    <a:lnTo>
                                      <a:pt x="2578" y="105"/>
                                    </a:lnTo>
                                    <a:lnTo>
                                      <a:pt x="2572" y="91"/>
                                    </a:lnTo>
                                    <a:lnTo>
                                      <a:pt x="2566" y="78"/>
                                    </a:lnTo>
                                    <a:lnTo>
                                      <a:pt x="2559" y="66"/>
                                    </a:lnTo>
                                    <a:lnTo>
                                      <a:pt x="2550" y="54"/>
                                    </a:lnTo>
                                    <a:lnTo>
                                      <a:pt x="2541" y="43"/>
                                    </a:lnTo>
                                    <a:lnTo>
                                      <a:pt x="2530" y="34"/>
                                    </a:lnTo>
                                    <a:lnTo>
                                      <a:pt x="2518" y="25"/>
                                    </a:lnTo>
                                    <a:lnTo>
                                      <a:pt x="2506" y="18"/>
                                    </a:lnTo>
                                    <a:lnTo>
                                      <a:pt x="2493" y="12"/>
                                    </a:lnTo>
                                    <a:lnTo>
                                      <a:pt x="2479" y="6"/>
                                    </a:lnTo>
                                    <a:lnTo>
                                      <a:pt x="2464" y="3"/>
                                    </a:lnTo>
                                    <a:lnTo>
                                      <a:pt x="2450" y="0"/>
                                    </a:lnTo>
                                    <a:lnTo>
                                      <a:pt x="2435" y="0"/>
                                    </a:lnTo>
                                    <a:close/>
                                    <a:moveTo>
                                      <a:pt x="511" y="2252"/>
                                    </a:moveTo>
                                    <a:lnTo>
                                      <a:pt x="511" y="2252"/>
                                    </a:lnTo>
                                    <a:lnTo>
                                      <a:pt x="499" y="2252"/>
                                    </a:lnTo>
                                    <a:lnTo>
                                      <a:pt x="486" y="2250"/>
                                    </a:lnTo>
                                    <a:lnTo>
                                      <a:pt x="475" y="2247"/>
                                    </a:lnTo>
                                    <a:lnTo>
                                      <a:pt x="464" y="2243"/>
                                    </a:lnTo>
                                    <a:lnTo>
                                      <a:pt x="453" y="2237"/>
                                    </a:lnTo>
                                    <a:lnTo>
                                      <a:pt x="443" y="2232"/>
                                    </a:lnTo>
                                    <a:lnTo>
                                      <a:pt x="434" y="2225"/>
                                    </a:lnTo>
                                    <a:lnTo>
                                      <a:pt x="426" y="2217"/>
                                    </a:lnTo>
                                    <a:lnTo>
                                      <a:pt x="417" y="2209"/>
                                    </a:lnTo>
                                    <a:lnTo>
                                      <a:pt x="411" y="2199"/>
                                    </a:lnTo>
                                    <a:lnTo>
                                      <a:pt x="405" y="2190"/>
                                    </a:lnTo>
                                    <a:lnTo>
                                      <a:pt x="399" y="2179"/>
                                    </a:lnTo>
                                    <a:lnTo>
                                      <a:pt x="395" y="2168"/>
                                    </a:lnTo>
                                    <a:lnTo>
                                      <a:pt x="393" y="2156"/>
                                    </a:lnTo>
                                    <a:lnTo>
                                      <a:pt x="391" y="2144"/>
                                    </a:lnTo>
                                    <a:lnTo>
                                      <a:pt x="390" y="2132"/>
                                    </a:lnTo>
                                    <a:lnTo>
                                      <a:pt x="391" y="2120"/>
                                    </a:lnTo>
                                    <a:lnTo>
                                      <a:pt x="393" y="2107"/>
                                    </a:lnTo>
                                    <a:lnTo>
                                      <a:pt x="395" y="2096"/>
                                    </a:lnTo>
                                    <a:lnTo>
                                      <a:pt x="399" y="2085"/>
                                    </a:lnTo>
                                    <a:lnTo>
                                      <a:pt x="405" y="2074"/>
                                    </a:lnTo>
                                    <a:lnTo>
                                      <a:pt x="411" y="2065"/>
                                    </a:lnTo>
                                    <a:lnTo>
                                      <a:pt x="417" y="2055"/>
                                    </a:lnTo>
                                    <a:lnTo>
                                      <a:pt x="426" y="2047"/>
                                    </a:lnTo>
                                    <a:lnTo>
                                      <a:pt x="434" y="2038"/>
                                    </a:lnTo>
                                    <a:lnTo>
                                      <a:pt x="443" y="2032"/>
                                    </a:lnTo>
                                    <a:lnTo>
                                      <a:pt x="453" y="2026"/>
                                    </a:lnTo>
                                    <a:lnTo>
                                      <a:pt x="464" y="2020"/>
                                    </a:lnTo>
                                    <a:lnTo>
                                      <a:pt x="475" y="2016"/>
                                    </a:lnTo>
                                    <a:lnTo>
                                      <a:pt x="486" y="2014"/>
                                    </a:lnTo>
                                    <a:lnTo>
                                      <a:pt x="499" y="2012"/>
                                    </a:lnTo>
                                    <a:lnTo>
                                      <a:pt x="511" y="2011"/>
                                    </a:lnTo>
                                    <a:lnTo>
                                      <a:pt x="523" y="2012"/>
                                    </a:lnTo>
                                    <a:lnTo>
                                      <a:pt x="535" y="2014"/>
                                    </a:lnTo>
                                    <a:lnTo>
                                      <a:pt x="547" y="2016"/>
                                    </a:lnTo>
                                    <a:lnTo>
                                      <a:pt x="558" y="2020"/>
                                    </a:lnTo>
                                    <a:lnTo>
                                      <a:pt x="568" y="2026"/>
                                    </a:lnTo>
                                    <a:lnTo>
                                      <a:pt x="578" y="2032"/>
                                    </a:lnTo>
                                    <a:lnTo>
                                      <a:pt x="588" y="2038"/>
                                    </a:lnTo>
                                    <a:lnTo>
                                      <a:pt x="596" y="2047"/>
                                    </a:lnTo>
                                    <a:lnTo>
                                      <a:pt x="604" y="2055"/>
                                    </a:lnTo>
                                    <a:lnTo>
                                      <a:pt x="611" y="2065"/>
                                    </a:lnTo>
                                    <a:lnTo>
                                      <a:pt x="616" y="2074"/>
                                    </a:lnTo>
                                    <a:lnTo>
                                      <a:pt x="622" y="2085"/>
                                    </a:lnTo>
                                    <a:lnTo>
                                      <a:pt x="626" y="2096"/>
                                    </a:lnTo>
                                    <a:lnTo>
                                      <a:pt x="629" y="2107"/>
                                    </a:lnTo>
                                    <a:lnTo>
                                      <a:pt x="631" y="2120"/>
                                    </a:lnTo>
                                    <a:lnTo>
                                      <a:pt x="631" y="2132"/>
                                    </a:lnTo>
                                    <a:lnTo>
                                      <a:pt x="631" y="2144"/>
                                    </a:lnTo>
                                    <a:lnTo>
                                      <a:pt x="629" y="2156"/>
                                    </a:lnTo>
                                    <a:lnTo>
                                      <a:pt x="626" y="2168"/>
                                    </a:lnTo>
                                    <a:lnTo>
                                      <a:pt x="622" y="2179"/>
                                    </a:lnTo>
                                    <a:lnTo>
                                      <a:pt x="616" y="2190"/>
                                    </a:lnTo>
                                    <a:lnTo>
                                      <a:pt x="611" y="2199"/>
                                    </a:lnTo>
                                    <a:lnTo>
                                      <a:pt x="604" y="2209"/>
                                    </a:lnTo>
                                    <a:lnTo>
                                      <a:pt x="596" y="2217"/>
                                    </a:lnTo>
                                    <a:lnTo>
                                      <a:pt x="588" y="2225"/>
                                    </a:lnTo>
                                    <a:lnTo>
                                      <a:pt x="578" y="2232"/>
                                    </a:lnTo>
                                    <a:lnTo>
                                      <a:pt x="568" y="2237"/>
                                    </a:lnTo>
                                    <a:lnTo>
                                      <a:pt x="558" y="2243"/>
                                    </a:lnTo>
                                    <a:lnTo>
                                      <a:pt x="547" y="2247"/>
                                    </a:lnTo>
                                    <a:lnTo>
                                      <a:pt x="535" y="2250"/>
                                    </a:lnTo>
                                    <a:lnTo>
                                      <a:pt x="523" y="2252"/>
                                    </a:lnTo>
                                    <a:lnTo>
                                      <a:pt x="511" y="2252"/>
                                    </a:lnTo>
                                    <a:close/>
                                    <a:moveTo>
                                      <a:pt x="2074" y="2252"/>
                                    </a:moveTo>
                                    <a:lnTo>
                                      <a:pt x="2074" y="2252"/>
                                    </a:lnTo>
                                    <a:lnTo>
                                      <a:pt x="2061" y="2252"/>
                                    </a:lnTo>
                                    <a:lnTo>
                                      <a:pt x="2049" y="2250"/>
                                    </a:lnTo>
                                    <a:lnTo>
                                      <a:pt x="2038" y="2247"/>
                                    </a:lnTo>
                                    <a:lnTo>
                                      <a:pt x="2026" y="2243"/>
                                    </a:lnTo>
                                    <a:lnTo>
                                      <a:pt x="2017" y="2237"/>
                                    </a:lnTo>
                                    <a:lnTo>
                                      <a:pt x="2006" y="2232"/>
                                    </a:lnTo>
                                    <a:lnTo>
                                      <a:pt x="1997" y="2225"/>
                                    </a:lnTo>
                                    <a:lnTo>
                                      <a:pt x="1988" y="2217"/>
                                    </a:lnTo>
                                    <a:lnTo>
                                      <a:pt x="1981" y="2209"/>
                                    </a:lnTo>
                                    <a:lnTo>
                                      <a:pt x="1973" y="2199"/>
                                    </a:lnTo>
                                    <a:lnTo>
                                      <a:pt x="1968" y="2190"/>
                                    </a:lnTo>
                                    <a:lnTo>
                                      <a:pt x="1963" y="2179"/>
                                    </a:lnTo>
                                    <a:lnTo>
                                      <a:pt x="1958" y="2168"/>
                                    </a:lnTo>
                                    <a:lnTo>
                                      <a:pt x="1955" y="2156"/>
                                    </a:lnTo>
                                    <a:lnTo>
                                      <a:pt x="1954" y="2144"/>
                                    </a:lnTo>
                                    <a:lnTo>
                                      <a:pt x="1953" y="2132"/>
                                    </a:lnTo>
                                    <a:lnTo>
                                      <a:pt x="1954" y="2120"/>
                                    </a:lnTo>
                                    <a:lnTo>
                                      <a:pt x="1955" y="2107"/>
                                    </a:lnTo>
                                    <a:lnTo>
                                      <a:pt x="1958" y="2096"/>
                                    </a:lnTo>
                                    <a:lnTo>
                                      <a:pt x="1963" y="2085"/>
                                    </a:lnTo>
                                    <a:lnTo>
                                      <a:pt x="1968" y="2074"/>
                                    </a:lnTo>
                                    <a:lnTo>
                                      <a:pt x="1973" y="2065"/>
                                    </a:lnTo>
                                    <a:lnTo>
                                      <a:pt x="1981" y="2055"/>
                                    </a:lnTo>
                                    <a:lnTo>
                                      <a:pt x="1988" y="2047"/>
                                    </a:lnTo>
                                    <a:lnTo>
                                      <a:pt x="1997" y="2038"/>
                                    </a:lnTo>
                                    <a:lnTo>
                                      <a:pt x="2006" y="2032"/>
                                    </a:lnTo>
                                    <a:lnTo>
                                      <a:pt x="2017" y="2026"/>
                                    </a:lnTo>
                                    <a:lnTo>
                                      <a:pt x="2026" y="2020"/>
                                    </a:lnTo>
                                    <a:lnTo>
                                      <a:pt x="2038" y="2016"/>
                                    </a:lnTo>
                                    <a:lnTo>
                                      <a:pt x="2049" y="2014"/>
                                    </a:lnTo>
                                    <a:lnTo>
                                      <a:pt x="2061" y="2012"/>
                                    </a:lnTo>
                                    <a:lnTo>
                                      <a:pt x="2074" y="2011"/>
                                    </a:lnTo>
                                    <a:lnTo>
                                      <a:pt x="2087" y="2012"/>
                                    </a:lnTo>
                                    <a:lnTo>
                                      <a:pt x="2098" y="2014"/>
                                    </a:lnTo>
                                    <a:lnTo>
                                      <a:pt x="2110" y="2016"/>
                                    </a:lnTo>
                                    <a:lnTo>
                                      <a:pt x="2120" y="2020"/>
                                    </a:lnTo>
                                    <a:lnTo>
                                      <a:pt x="2131" y="2026"/>
                                    </a:lnTo>
                                    <a:lnTo>
                                      <a:pt x="2142" y="2032"/>
                                    </a:lnTo>
                                    <a:lnTo>
                                      <a:pt x="2150" y="2038"/>
                                    </a:lnTo>
                                    <a:lnTo>
                                      <a:pt x="2159" y="2047"/>
                                    </a:lnTo>
                                    <a:lnTo>
                                      <a:pt x="2167" y="2055"/>
                                    </a:lnTo>
                                    <a:lnTo>
                                      <a:pt x="2173" y="2065"/>
                                    </a:lnTo>
                                    <a:lnTo>
                                      <a:pt x="2180" y="2074"/>
                                    </a:lnTo>
                                    <a:lnTo>
                                      <a:pt x="2185" y="2085"/>
                                    </a:lnTo>
                                    <a:lnTo>
                                      <a:pt x="2189" y="2096"/>
                                    </a:lnTo>
                                    <a:lnTo>
                                      <a:pt x="2192" y="2107"/>
                                    </a:lnTo>
                                    <a:lnTo>
                                      <a:pt x="2193" y="2120"/>
                                    </a:lnTo>
                                    <a:lnTo>
                                      <a:pt x="2195" y="2132"/>
                                    </a:lnTo>
                                    <a:lnTo>
                                      <a:pt x="2193" y="2144"/>
                                    </a:lnTo>
                                    <a:lnTo>
                                      <a:pt x="2192" y="2156"/>
                                    </a:lnTo>
                                    <a:lnTo>
                                      <a:pt x="2189" y="2168"/>
                                    </a:lnTo>
                                    <a:lnTo>
                                      <a:pt x="2185" y="2179"/>
                                    </a:lnTo>
                                    <a:lnTo>
                                      <a:pt x="2180" y="2190"/>
                                    </a:lnTo>
                                    <a:lnTo>
                                      <a:pt x="2173" y="2199"/>
                                    </a:lnTo>
                                    <a:lnTo>
                                      <a:pt x="2167" y="2209"/>
                                    </a:lnTo>
                                    <a:lnTo>
                                      <a:pt x="2159" y="2217"/>
                                    </a:lnTo>
                                    <a:lnTo>
                                      <a:pt x="2150" y="2225"/>
                                    </a:lnTo>
                                    <a:lnTo>
                                      <a:pt x="2142" y="2232"/>
                                    </a:lnTo>
                                    <a:lnTo>
                                      <a:pt x="2131" y="2237"/>
                                    </a:lnTo>
                                    <a:lnTo>
                                      <a:pt x="2120" y="2243"/>
                                    </a:lnTo>
                                    <a:lnTo>
                                      <a:pt x="2110" y="2247"/>
                                    </a:lnTo>
                                    <a:lnTo>
                                      <a:pt x="2098" y="2250"/>
                                    </a:lnTo>
                                    <a:lnTo>
                                      <a:pt x="2087" y="2252"/>
                                    </a:lnTo>
                                    <a:lnTo>
                                      <a:pt x="2074" y="2252"/>
                                    </a:lnTo>
                                    <a:close/>
                                    <a:moveTo>
                                      <a:pt x="2405" y="1486"/>
                                    </a:moveTo>
                                    <a:lnTo>
                                      <a:pt x="2405" y="1486"/>
                                    </a:lnTo>
                                    <a:lnTo>
                                      <a:pt x="2404" y="1499"/>
                                    </a:lnTo>
                                    <a:lnTo>
                                      <a:pt x="2402" y="1510"/>
                                    </a:lnTo>
                                    <a:lnTo>
                                      <a:pt x="2400" y="1522"/>
                                    </a:lnTo>
                                    <a:lnTo>
                                      <a:pt x="2396" y="1533"/>
                                    </a:lnTo>
                                    <a:lnTo>
                                      <a:pt x="2390" y="1543"/>
                                    </a:lnTo>
                                    <a:lnTo>
                                      <a:pt x="2384" y="1553"/>
                                    </a:lnTo>
                                    <a:lnTo>
                                      <a:pt x="2378" y="1562"/>
                                    </a:lnTo>
                                    <a:lnTo>
                                      <a:pt x="2369" y="1571"/>
                                    </a:lnTo>
                                    <a:lnTo>
                                      <a:pt x="2361" y="1578"/>
                                    </a:lnTo>
                                    <a:lnTo>
                                      <a:pt x="2352" y="1586"/>
                                    </a:lnTo>
                                    <a:lnTo>
                                      <a:pt x="2342" y="1592"/>
                                    </a:lnTo>
                                    <a:lnTo>
                                      <a:pt x="2331" y="1596"/>
                                    </a:lnTo>
                                    <a:lnTo>
                                      <a:pt x="2320" y="1600"/>
                                    </a:lnTo>
                                    <a:lnTo>
                                      <a:pt x="2309" y="1604"/>
                                    </a:lnTo>
                                    <a:lnTo>
                                      <a:pt x="2297" y="1606"/>
                                    </a:lnTo>
                                    <a:lnTo>
                                      <a:pt x="2286" y="1606"/>
                                    </a:lnTo>
                                    <a:lnTo>
                                      <a:pt x="300" y="1606"/>
                                    </a:lnTo>
                                    <a:lnTo>
                                      <a:pt x="287" y="1606"/>
                                    </a:lnTo>
                                    <a:lnTo>
                                      <a:pt x="276" y="1604"/>
                                    </a:lnTo>
                                    <a:lnTo>
                                      <a:pt x="264" y="1600"/>
                                    </a:lnTo>
                                    <a:lnTo>
                                      <a:pt x="253" y="1596"/>
                                    </a:lnTo>
                                    <a:lnTo>
                                      <a:pt x="243" y="1592"/>
                                    </a:lnTo>
                                    <a:lnTo>
                                      <a:pt x="232" y="1586"/>
                                    </a:lnTo>
                                    <a:lnTo>
                                      <a:pt x="224" y="1578"/>
                                    </a:lnTo>
                                    <a:lnTo>
                                      <a:pt x="215" y="1571"/>
                                    </a:lnTo>
                                    <a:lnTo>
                                      <a:pt x="207" y="1562"/>
                                    </a:lnTo>
                                    <a:lnTo>
                                      <a:pt x="200" y="1553"/>
                                    </a:lnTo>
                                    <a:lnTo>
                                      <a:pt x="194" y="1543"/>
                                    </a:lnTo>
                                    <a:lnTo>
                                      <a:pt x="189" y="1533"/>
                                    </a:lnTo>
                                    <a:lnTo>
                                      <a:pt x="186" y="1522"/>
                                    </a:lnTo>
                                    <a:lnTo>
                                      <a:pt x="182" y="1510"/>
                                    </a:lnTo>
                                    <a:lnTo>
                                      <a:pt x="180" y="1499"/>
                                    </a:lnTo>
                                    <a:lnTo>
                                      <a:pt x="179" y="1486"/>
                                    </a:lnTo>
                                    <a:lnTo>
                                      <a:pt x="179" y="300"/>
                                    </a:lnTo>
                                    <a:lnTo>
                                      <a:pt x="180" y="287"/>
                                    </a:lnTo>
                                    <a:lnTo>
                                      <a:pt x="182" y="275"/>
                                    </a:lnTo>
                                    <a:lnTo>
                                      <a:pt x="186" y="264"/>
                                    </a:lnTo>
                                    <a:lnTo>
                                      <a:pt x="189" y="253"/>
                                    </a:lnTo>
                                    <a:lnTo>
                                      <a:pt x="194" y="242"/>
                                    </a:lnTo>
                                    <a:lnTo>
                                      <a:pt x="200" y="232"/>
                                    </a:lnTo>
                                    <a:lnTo>
                                      <a:pt x="207" y="223"/>
                                    </a:lnTo>
                                    <a:lnTo>
                                      <a:pt x="215" y="215"/>
                                    </a:lnTo>
                                    <a:lnTo>
                                      <a:pt x="224" y="206"/>
                                    </a:lnTo>
                                    <a:lnTo>
                                      <a:pt x="232" y="200"/>
                                    </a:lnTo>
                                    <a:lnTo>
                                      <a:pt x="243" y="194"/>
                                    </a:lnTo>
                                    <a:lnTo>
                                      <a:pt x="253" y="188"/>
                                    </a:lnTo>
                                    <a:lnTo>
                                      <a:pt x="264" y="184"/>
                                    </a:lnTo>
                                    <a:lnTo>
                                      <a:pt x="276" y="182"/>
                                    </a:lnTo>
                                    <a:lnTo>
                                      <a:pt x="287" y="180"/>
                                    </a:lnTo>
                                    <a:lnTo>
                                      <a:pt x="300" y="179"/>
                                    </a:lnTo>
                                    <a:lnTo>
                                      <a:pt x="2286" y="179"/>
                                    </a:lnTo>
                                    <a:lnTo>
                                      <a:pt x="2297" y="180"/>
                                    </a:lnTo>
                                    <a:lnTo>
                                      <a:pt x="2309" y="182"/>
                                    </a:lnTo>
                                    <a:lnTo>
                                      <a:pt x="2320" y="184"/>
                                    </a:lnTo>
                                    <a:lnTo>
                                      <a:pt x="2331" y="188"/>
                                    </a:lnTo>
                                    <a:lnTo>
                                      <a:pt x="2342" y="194"/>
                                    </a:lnTo>
                                    <a:lnTo>
                                      <a:pt x="2352" y="200"/>
                                    </a:lnTo>
                                    <a:lnTo>
                                      <a:pt x="2361" y="206"/>
                                    </a:lnTo>
                                    <a:lnTo>
                                      <a:pt x="2369" y="215"/>
                                    </a:lnTo>
                                    <a:lnTo>
                                      <a:pt x="2378" y="223"/>
                                    </a:lnTo>
                                    <a:lnTo>
                                      <a:pt x="2384" y="232"/>
                                    </a:lnTo>
                                    <a:lnTo>
                                      <a:pt x="2390" y="242"/>
                                    </a:lnTo>
                                    <a:lnTo>
                                      <a:pt x="2396" y="253"/>
                                    </a:lnTo>
                                    <a:lnTo>
                                      <a:pt x="2400" y="264"/>
                                    </a:lnTo>
                                    <a:lnTo>
                                      <a:pt x="2402" y="275"/>
                                    </a:lnTo>
                                    <a:lnTo>
                                      <a:pt x="2404" y="287"/>
                                    </a:lnTo>
                                    <a:lnTo>
                                      <a:pt x="2405" y="300"/>
                                    </a:lnTo>
                                    <a:lnTo>
                                      <a:pt x="2405" y="1486"/>
                                    </a:lnTo>
                                    <a:close/>
                                  </a:path>
                                </a:pathLst>
                              </a:custGeom>
                              <a:solidFill>
                                <a:schemeClr val="accent4"/>
                              </a:solidFill>
                              <a:ln w="9525">
                                <a:noFill/>
                                <a:round/>
                                <a:headEnd/>
                                <a:tailEnd/>
                              </a:ln>
                            </wps:spPr>
                            <wps:bodyPr/>
                          </wps:wsp>
                          <wps:wsp>
                            <wps:cNvPr id="136" name="Freeform 43">
                              <a:extLst>
                                <a:ext uri="{FF2B5EF4-FFF2-40B4-BE49-F238E27FC236}">
                                  <a16:creationId xmlns:a16="http://schemas.microsoft.com/office/drawing/2014/main" id="{187700C5-CF9A-497E-A33E-3F95B47910A3}"/>
                                </a:ext>
                              </a:extLst>
                            </wps:cNvPr>
                            <wps:cNvSpPr>
                              <a:spLocks/>
                            </wps:cNvSpPr>
                            <wps:spPr bwMode="auto">
                              <a:xfrm>
                                <a:off x="2969270" y="3164148"/>
                                <a:ext cx="108279" cy="77194"/>
                              </a:xfrm>
                              <a:custGeom>
                                <a:avLst/>
                                <a:gdLst>
                                  <a:gd name="T0" fmla="*/ 0 w 476"/>
                                  <a:gd name="T1" fmla="*/ 0 h 346"/>
                                  <a:gd name="T2" fmla="*/ 0 w 476"/>
                                  <a:gd name="T3" fmla="*/ 257 h 346"/>
                                  <a:gd name="T4" fmla="*/ 0 w 476"/>
                                  <a:gd name="T5" fmla="*/ 257 h 346"/>
                                  <a:gd name="T6" fmla="*/ 0 w 476"/>
                                  <a:gd name="T7" fmla="*/ 266 h 346"/>
                                  <a:gd name="T8" fmla="*/ 2 w 476"/>
                                  <a:gd name="T9" fmla="*/ 275 h 346"/>
                                  <a:gd name="T10" fmla="*/ 4 w 476"/>
                                  <a:gd name="T11" fmla="*/ 284 h 346"/>
                                  <a:gd name="T12" fmla="*/ 7 w 476"/>
                                  <a:gd name="T13" fmla="*/ 292 h 346"/>
                                  <a:gd name="T14" fmla="*/ 10 w 476"/>
                                  <a:gd name="T15" fmla="*/ 299 h 346"/>
                                  <a:gd name="T16" fmla="*/ 15 w 476"/>
                                  <a:gd name="T17" fmla="*/ 307 h 346"/>
                                  <a:gd name="T18" fmla="*/ 20 w 476"/>
                                  <a:gd name="T19" fmla="*/ 313 h 346"/>
                                  <a:gd name="T20" fmla="*/ 26 w 476"/>
                                  <a:gd name="T21" fmla="*/ 320 h 346"/>
                                  <a:gd name="T22" fmla="*/ 33 w 476"/>
                                  <a:gd name="T23" fmla="*/ 326 h 346"/>
                                  <a:gd name="T24" fmla="*/ 39 w 476"/>
                                  <a:gd name="T25" fmla="*/ 330 h 346"/>
                                  <a:gd name="T26" fmla="*/ 46 w 476"/>
                                  <a:gd name="T27" fmla="*/ 335 h 346"/>
                                  <a:gd name="T28" fmla="*/ 54 w 476"/>
                                  <a:gd name="T29" fmla="*/ 339 h 346"/>
                                  <a:gd name="T30" fmla="*/ 62 w 476"/>
                                  <a:gd name="T31" fmla="*/ 342 h 346"/>
                                  <a:gd name="T32" fmla="*/ 71 w 476"/>
                                  <a:gd name="T33" fmla="*/ 344 h 346"/>
                                  <a:gd name="T34" fmla="*/ 79 w 476"/>
                                  <a:gd name="T35" fmla="*/ 345 h 346"/>
                                  <a:gd name="T36" fmla="*/ 89 w 476"/>
                                  <a:gd name="T37" fmla="*/ 346 h 346"/>
                                  <a:gd name="T38" fmla="*/ 387 w 476"/>
                                  <a:gd name="T39" fmla="*/ 346 h 346"/>
                                  <a:gd name="T40" fmla="*/ 387 w 476"/>
                                  <a:gd name="T41" fmla="*/ 346 h 346"/>
                                  <a:gd name="T42" fmla="*/ 397 w 476"/>
                                  <a:gd name="T43" fmla="*/ 345 h 346"/>
                                  <a:gd name="T44" fmla="*/ 405 w 476"/>
                                  <a:gd name="T45" fmla="*/ 344 h 346"/>
                                  <a:gd name="T46" fmla="*/ 414 w 476"/>
                                  <a:gd name="T47" fmla="*/ 342 h 346"/>
                                  <a:gd name="T48" fmla="*/ 422 w 476"/>
                                  <a:gd name="T49" fmla="*/ 339 h 346"/>
                                  <a:gd name="T50" fmla="*/ 429 w 476"/>
                                  <a:gd name="T51" fmla="*/ 335 h 346"/>
                                  <a:gd name="T52" fmla="*/ 437 w 476"/>
                                  <a:gd name="T53" fmla="*/ 330 h 346"/>
                                  <a:gd name="T54" fmla="*/ 444 w 476"/>
                                  <a:gd name="T55" fmla="*/ 326 h 346"/>
                                  <a:gd name="T56" fmla="*/ 451 w 476"/>
                                  <a:gd name="T57" fmla="*/ 320 h 346"/>
                                  <a:gd name="T58" fmla="*/ 456 w 476"/>
                                  <a:gd name="T59" fmla="*/ 313 h 346"/>
                                  <a:gd name="T60" fmla="*/ 461 w 476"/>
                                  <a:gd name="T61" fmla="*/ 307 h 346"/>
                                  <a:gd name="T62" fmla="*/ 465 w 476"/>
                                  <a:gd name="T63" fmla="*/ 299 h 346"/>
                                  <a:gd name="T64" fmla="*/ 470 w 476"/>
                                  <a:gd name="T65" fmla="*/ 292 h 346"/>
                                  <a:gd name="T66" fmla="*/ 473 w 476"/>
                                  <a:gd name="T67" fmla="*/ 284 h 346"/>
                                  <a:gd name="T68" fmla="*/ 475 w 476"/>
                                  <a:gd name="T69" fmla="*/ 275 h 346"/>
                                  <a:gd name="T70" fmla="*/ 476 w 476"/>
                                  <a:gd name="T71" fmla="*/ 266 h 346"/>
                                  <a:gd name="T72" fmla="*/ 476 w 476"/>
                                  <a:gd name="T73" fmla="*/ 257 h 346"/>
                                  <a:gd name="T74" fmla="*/ 476 w 476"/>
                                  <a:gd name="T75" fmla="*/ 0 h 346"/>
                                  <a:gd name="T76" fmla="*/ 0 w 476"/>
                                  <a:gd name="T77" fmla="*/ 0 h 3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476" h="346">
                                    <a:moveTo>
                                      <a:pt x="0" y="0"/>
                                    </a:moveTo>
                                    <a:lnTo>
                                      <a:pt x="0" y="257"/>
                                    </a:lnTo>
                                    <a:lnTo>
                                      <a:pt x="0" y="257"/>
                                    </a:lnTo>
                                    <a:lnTo>
                                      <a:pt x="0" y="266"/>
                                    </a:lnTo>
                                    <a:lnTo>
                                      <a:pt x="2" y="275"/>
                                    </a:lnTo>
                                    <a:lnTo>
                                      <a:pt x="4" y="284"/>
                                    </a:lnTo>
                                    <a:lnTo>
                                      <a:pt x="7" y="292"/>
                                    </a:lnTo>
                                    <a:lnTo>
                                      <a:pt x="10" y="299"/>
                                    </a:lnTo>
                                    <a:lnTo>
                                      <a:pt x="15" y="307"/>
                                    </a:lnTo>
                                    <a:lnTo>
                                      <a:pt x="20" y="313"/>
                                    </a:lnTo>
                                    <a:lnTo>
                                      <a:pt x="26" y="320"/>
                                    </a:lnTo>
                                    <a:lnTo>
                                      <a:pt x="33" y="326"/>
                                    </a:lnTo>
                                    <a:lnTo>
                                      <a:pt x="39" y="330"/>
                                    </a:lnTo>
                                    <a:lnTo>
                                      <a:pt x="46" y="335"/>
                                    </a:lnTo>
                                    <a:lnTo>
                                      <a:pt x="54" y="339"/>
                                    </a:lnTo>
                                    <a:lnTo>
                                      <a:pt x="62" y="342"/>
                                    </a:lnTo>
                                    <a:lnTo>
                                      <a:pt x="71" y="344"/>
                                    </a:lnTo>
                                    <a:lnTo>
                                      <a:pt x="79" y="345"/>
                                    </a:lnTo>
                                    <a:lnTo>
                                      <a:pt x="89" y="346"/>
                                    </a:lnTo>
                                    <a:lnTo>
                                      <a:pt x="387" y="346"/>
                                    </a:lnTo>
                                    <a:lnTo>
                                      <a:pt x="387" y="346"/>
                                    </a:lnTo>
                                    <a:lnTo>
                                      <a:pt x="397" y="345"/>
                                    </a:lnTo>
                                    <a:lnTo>
                                      <a:pt x="405" y="344"/>
                                    </a:lnTo>
                                    <a:lnTo>
                                      <a:pt x="414" y="342"/>
                                    </a:lnTo>
                                    <a:lnTo>
                                      <a:pt x="422" y="339"/>
                                    </a:lnTo>
                                    <a:lnTo>
                                      <a:pt x="429" y="335"/>
                                    </a:lnTo>
                                    <a:lnTo>
                                      <a:pt x="437" y="330"/>
                                    </a:lnTo>
                                    <a:lnTo>
                                      <a:pt x="444" y="326"/>
                                    </a:lnTo>
                                    <a:lnTo>
                                      <a:pt x="451" y="320"/>
                                    </a:lnTo>
                                    <a:lnTo>
                                      <a:pt x="456" y="313"/>
                                    </a:lnTo>
                                    <a:lnTo>
                                      <a:pt x="461" y="307"/>
                                    </a:lnTo>
                                    <a:lnTo>
                                      <a:pt x="465" y="299"/>
                                    </a:lnTo>
                                    <a:lnTo>
                                      <a:pt x="470" y="292"/>
                                    </a:lnTo>
                                    <a:lnTo>
                                      <a:pt x="473" y="284"/>
                                    </a:lnTo>
                                    <a:lnTo>
                                      <a:pt x="475" y="275"/>
                                    </a:lnTo>
                                    <a:lnTo>
                                      <a:pt x="476" y="266"/>
                                    </a:lnTo>
                                    <a:lnTo>
                                      <a:pt x="476" y="257"/>
                                    </a:lnTo>
                                    <a:lnTo>
                                      <a:pt x="476" y="0"/>
                                    </a:lnTo>
                                    <a:lnTo>
                                      <a:pt x="0" y="0"/>
                                    </a:lnTo>
                                    <a:close/>
                                  </a:path>
                                </a:pathLst>
                              </a:custGeom>
                              <a:solidFill>
                                <a:schemeClr val="bg1">
                                  <a:lumMod val="85000"/>
                                </a:schemeClr>
                              </a:solidFill>
                              <a:ln>
                                <a:noFill/>
                              </a:ln>
                            </wps:spPr>
                            <wps:bodyPr/>
                          </wps:wsp>
                          <wps:wsp>
                            <wps:cNvPr id="139" name="Freeform 44">
                              <a:extLst>
                                <a:ext uri="{FF2B5EF4-FFF2-40B4-BE49-F238E27FC236}">
                                  <a16:creationId xmlns:a16="http://schemas.microsoft.com/office/drawing/2014/main" id="{1AAC6957-FD7A-4B0A-BBD3-51320572C275}"/>
                                </a:ext>
                              </a:extLst>
                            </wps:cNvPr>
                            <wps:cNvSpPr>
                              <a:spLocks/>
                            </wps:cNvSpPr>
                            <wps:spPr bwMode="auto">
                              <a:xfrm>
                                <a:off x="2491761" y="3164148"/>
                                <a:ext cx="108279" cy="77194"/>
                              </a:xfrm>
                              <a:custGeom>
                                <a:avLst/>
                                <a:gdLst>
                                  <a:gd name="T0" fmla="*/ 0 w 477"/>
                                  <a:gd name="T1" fmla="*/ 0 h 346"/>
                                  <a:gd name="T2" fmla="*/ 0 w 477"/>
                                  <a:gd name="T3" fmla="*/ 257 h 346"/>
                                  <a:gd name="T4" fmla="*/ 0 w 477"/>
                                  <a:gd name="T5" fmla="*/ 257 h 346"/>
                                  <a:gd name="T6" fmla="*/ 0 w 477"/>
                                  <a:gd name="T7" fmla="*/ 266 h 346"/>
                                  <a:gd name="T8" fmla="*/ 1 w 477"/>
                                  <a:gd name="T9" fmla="*/ 275 h 346"/>
                                  <a:gd name="T10" fmla="*/ 4 w 477"/>
                                  <a:gd name="T11" fmla="*/ 284 h 346"/>
                                  <a:gd name="T12" fmla="*/ 7 w 477"/>
                                  <a:gd name="T13" fmla="*/ 292 h 346"/>
                                  <a:gd name="T14" fmla="*/ 11 w 477"/>
                                  <a:gd name="T15" fmla="*/ 299 h 346"/>
                                  <a:gd name="T16" fmla="*/ 15 w 477"/>
                                  <a:gd name="T17" fmla="*/ 307 h 346"/>
                                  <a:gd name="T18" fmla="*/ 21 w 477"/>
                                  <a:gd name="T19" fmla="*/ 313 h 346"/>
                                  <a:gd name="T20" fmla="*/ 26 w 477"/>
                                  <a:gd name="T21" fmla="*/ 320 h 346"/>
                                  <a:gd name="T22" fmla="*/ 32 w 477"/>
                                  <a:gd name="T23" fmla="*/ 326 h 346"/>
                                  <a:gd name="T24" fmla="*/ 40 w 477"/>
                                  <a:gd name="T25" fmla="*/ 330 h 346"/>
                                  <a:gd name="T26" fmla="*/ 47 w 477"/>
                                  <a:gd name="T27" fmla="*/ 335 h 346"/>
                                  <a:gd name="T28" fmla="*/ 54 w 477"/>
                                  <a:gd name="T29" fmla="*/ 339 h 346"/>
                                  <a:gd name="T30" fmla="*/ 63 w 477"/>
                                  <a:gd name="T31" fmla="*/ 342 h 346"/>
                                  <a:gd name="T32" fmla="*/ 71 w 477"/>
                                  <a:gd name="T33" fmla="*/ 344 h 346"/>
                                  <a:gd name="T34" fmla="*/ 80 w 477"/>
                                  <a:gd name="T35" fmla="*/ 345 h 346"/>
                                  <a:gd name="T36" fmla="*/ 89 w 477"/>
                                  <a:gd name="T37" fmla="*/ 346 h 346"/>
                                  <a:gd name="T38" fmla="*/ 388 w 477"/>
                                  <a:gd name="T39" fmla="*/ 346 h 346"/>
                                  <a:gd name="T40" fmla="*/ 388 w 477"/>
                                  <a:gd name="T41" fmla="*/ 346 h 346"/>
                                  <a:gd name="T42" fmla="*/ 397 w 477"/>
                                  <a:gd name="T43" fmla="*/ 345 h 346"/>
                                  <a:gd name="T44" fmla="*/ 406 w 477"/>
                                  <a:gd name="T45" fmla="*/ 344 h 346"/>
                                  <a:gd name="T46" fmla="*/ 414 w 477"/>
                                  <a:gd name="T47" fmla="*/ 342 h 346"/>
                                  <a:gd name="T48" fmla="*/ 423 w 477"/>
                                  <a:gd name="T49" fmla="*/ 339 h 346"/>
                                  <a:gd name="T50" fmla="*/ 430 w 477"/>
                                  <a:gd name="T51" fmla="*/ 335 h 346"/>
                                  <a:gd name="T52" fmla="*/ 438 w 477"/>
                                  <a:gd name="T53" fmla="*/ 330 h 346"/>
                                  <a:gd name="T54" fmla="*/ 445 w 477"/>
                                  <a:gd name="T55" fmla="*/ 326 h 346"/>
                                  <a:gd name="T56" fmla="*/ 451 w 477"/>
                                  <a:gd name="T57" fmla="*/ 320 h 346"/>
                                  <a:gd name="T58" fmla="*/ 457 w 477"/>
                                  <a:gd name="T59" fmla="*/ 313 h 346"/>
                                  <a:gd name="T60" fmla="*/ 462 w 477"/>
                                  <a:gd name="T61" fmla="*/ 307 h 346"/>
                                  <a:gd name="T62" fmla="*/ 466 w 477"/>
                                  <a:gd name="T63" fmla="*/ 299 h 346"/>
                                  <a:gd name="T64" fmla="*/ 470 w 477"/>
                                  <a:gd name="T65" fmla="*/ 292 h 346"/>
                                  <a:gd name="T66" fmla="*/ 472 w 477"/>
                                  <a:gd name="T67" fmla="*/ 284 h 346"/>
                                  <a:gd name="T68" fmla="*/ 475 w 477"/>
                                  <a:gd name="T69" fmla="*/ 275 h 346"/>
                                  <a:gd name="T70" fmla="*/ 477 w 477"/>
                                  <a:gd name="T71" fmla="*/ 266 h 346"/>
                                  <a:gd name="T72" fmla="*/ 477 w 477"/>
                                  <a:gd name="T73" fmla="*/ 257 h 346"/>
                                  <a:gd name="T74" fmla="*/ 477 w 477"/>
                                  <a:gd name="T75" fmla="*/ 0 h 346"/>
                                  <a:gd name="T76" fmla="*/ 0 w 477"/>
                                  <a:gd name="T77" fmla="*/ 0 h 3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477" h="346">
                                    <a:moveTo>
                                      <a:pt x="0" y="0"/>
                                    </a:moveTo>
                                    <a:lnTo>
                                      <a:pt x="0" y="257"/>
                                    </a:lnTo>
                                    <a:lnTo>
                                      <a:pt x="0" y="257"/>
                                    </a:lnTo>
                                    <a:lnTo>
                                      <a:pt x="0" y="266"/>
                                    </a:lnTo>
                                    <a:lnTo>
                                      <a:pt x="1" y="275"/>
                                    </a:lnTo>
                                    <a:lnTo>
                                      <a:pt x="4" y="284"/>
                                    </a:lnTo>
                                    <a:lnTo>
                                      <a:pt x="7" y="292"/>
                                    </a:lnTo>
                                    <a:lnTo>
                                      <a:pt x="11" y="299"/>
                                    </a:lnTo>
                                    <a:lnTo>
                                      <a:pt x="15" y="307"/>
                                    </a:lnTo>
                                    <a:lnTo>
                                      <a:pt x="21" y="313"/>
                                    </a:lnTo>
                                    <a:lnTo>
                                      <a:pt x="26" y="320"/>
                                    </a:lnTo>
                                    <a:lnTo>
                                      <a:pt x="32" y="326"/>
                                    </a:lnTo>
                                    <a:lnTo>
                                      <a:pt x="40" y="330"/>
                                    </a:lnTo>
                                    <a:lnTo>
                                      <a:pt x="47" y="335"/>
                                    </a:lnTo>
                                    <a:lnTo>
                                      <a:pt x="54" y="339"/>
                                    </a:lnTo>
                                    <a:lnTo>
                                      <a:pt x="63" y="342"/>
                                    </a:lnTo>
                                    <a:lnTo>
                                      <a:pt x="71" y="344"/>
                                    </a:lnTo>
                                    <a:lnTo>
                                      <a:pt x="80" y="345"/>
                                    </a:lnTo>
                                    <a:lnTo>
                                      <a:pt x="89" y="346"/>
                                    </a:lnTo>
                                    <a:lnTo>
                                      <a:pt x="388" y="346"/>
                                    </a:lnTo>
                                    <a:lnTo>
                                      <a:pt x="388" y="346"/>
                                    </a:lnTo>
                                    <a:lnTo>
                                      <a:pt x="397" y="345"/>
                                    </a:lnTo>
                                    <a:lnTo>
                                      <a:pt x="406" y="344"/>
                                    </a:lnTo>
                                    <a:lnTo>
                                      <a:pt x="414" y="342"/>
                                    </a:lnTo>
                                    <a:lnTo>
                                      <a:pt x="423" y="339"/>
                                    </a:lnTo>
                                    <a:lnTo>
                                      <a:pt x="430" y="335"/>
                                    </a:lnTo>
                                    <a:lnTo>
                                      <a:pt x="438" y="330"/>
                                    </a:lnTo>
                                    <a:lnTo>
                                      <a:pt x="445" y="326"/>
                                    </a:lnTo>
                                    <a:lnTo>
                                      <a:pt x="451" y="320"/>
                                    </a:lnTo>
                                    <a:lnTo>
                                      <a:pt x="457" y="313"/>
                                    </a:lnTo>
                                    <a:lnTo>
                                      <a:pt x="462" y="307"/>
                                    </a:lnTo>
                                    <a:lnTo>
                                      <a:pt x="466" y="299"/>
                                    </a:lnTo>
                                    <a:lnTo>
                                      <a:pt x="470" y="292"/>
                                    </a:lnTo>
                                    <a:lnTo>
                                      <a:pt x="472" y="284"/>
                                    </a:lnTo>
                                    <a:lnTo>
                                      <a:pt x="475" y="275"/>
                                    </a:lnTo>
                                    <a:lnTo>
                                      <a:pt x="477" y="266"/>
                                    </a:lnTo>
                                    <a:lnTo>
                                      <a:pt x="477" y="257"/>
                                    </a:lnTo>
                                    <a:lnTo>
                                      <a:pt x="477" y="0"/>
                                    </a:lnTo>
                                    <a:lnTo>
                                      <a:pt x="0" y="0"/>
                                    </a:lnTo>
                                    <a:close/>
                                  </a:path>
                                </a:pathLst>
                              </a:custGeom>
                              <a:solidFill>
                                <a:schemeClr val="bg1">
                                  <a:lumMod val="85000"/>
                                </a:schemeClr>
                              </a:solidFill>
                              <a:ln>
                                <a:noFill/>
                              </a:ln>
                            </wps:spPr>
                            <wps:bodyPr/>
                          </wps:wsp>
                          <wps:wsp>
                            <wps:cNvPr id="140" name="Freeform 45">
                              <a:extLst>
                                <a:ext uri="{FF2B5EF4-FFF2-40B4-BE49-F238E27FC236}">
                                  <a16:creationId xmlns:a16="http://schemas.microsoft.com/office/drawing/2014/main" id="{C11888B4-7EC2-40CA-83D2-E2B770E3FE52}"/>
                                </a:ext>
                              </a:extLst>
                            </wps:cNvPr>
                            <wps:cNvSpPr>
                              <a:spLocks/>
                            </wps:cNvSpPr>
                            <wps:spPr bwMode="auto">
                              <a:xfrm>
                                <a:off x="2829676" y="2803498"/>
                                <a:ext cx="127000" cy="93663"/>
                              </a:xfrm>
                              <a:custGeom>
                                <a:avLst/>
                                <a:gdLst>
                                  <a:gd name="T0" fmla="*/ 28545339 w 561"/>
                                  <a:gd name="T1" fmla="*/ 5579057 h 414"/>
                                  <a:gd name="T2" fmla="*/ 28545339 w 561"/>
                                  <a:gd name="T3" fmla="*/ 5579057 h 414"/>
                                  <a:gd name="T4" fmla="*/ 28545339 w 561"/>
                                  <a:gd name="T5" fmla="*/ 5272051 h 414"/>
                                  <a:gd name="T6" fmla="*/ 28494176 w 561"/>
                                  <a:gd name="T7" fmla="*/ 4964818 h 414"/>
                                  <a:gd name="T8" fmla="*/ 28391626 w 561"/>
                                  <a:gd name="T9" fmla="*/ 4708942 h 414"/>
                                  <a:gd name="T10" fmla="*/ 28289301 w 561"/>
                                  <a:gd name="T11" fmla="*/ 4453065 h 414"/>
                                  <a:gd name="T12" fmla="*/ 27879325 w 561"/>
                                  <a:gd name="T13" fmla="*/ 3889956 h 414"/>
                                  <a:gd name="T14" fmla="*/ 27366797 w 561"/>
                                  <a:gd name="T15" fmla="*/ 3378203 h 414"/>
                                  <a:gd name="T16" fmla="*/ 26700557 w 561"/>
                                  <a:gd name="T17" fmla="*/ 2866224 h 414"/>
                                  <a:gd name="T18" fmla="*/ 25982928 w 561"/>
                                  <a:gd name="T19" fmla="*/ 2456731 h 414"/>
                                  <a:gd name="T20" fmla="*/ 25111813 w 561"/>
                                  <a:gd name="T21" fmla="*/ 1996108 h 414"/>
                                  <a:gd name="T22" fmla="*/ 24138146 w 561"/>
                                  <a:gd name="T23" fmla="*/ 1637971 h 414"/>
                                  <a:gd name="T24" fmla="*/ 23113091 w 561"/>
                                  <a:gd name="T25" fmla="*/ 1228479 h 414"/>
                                  <a:gd name="T26" fmla="*/ 22036874 w 561"/>
                                  <a:gd name="T27" fmla="*/ 921246 h 414"/>
                                  <a:gd name="T28" fmla="*/ 20858107 w 561"/>
                                  <a:gd name="T29" fmla="*/ 665369 h 414"/>
                                  <a:gd name="T30" fmla="*/ 19628177 w 561"/>
                                  <a:gd name="T31" fmla="*/ 409493 h 414"/>
                                  <a:gd name="T32" fmla="*/ 18347085 w 561"/>
                                  <a:gd name="T33" fmla="*/ 204746 h 414"/>
                                  <a:gd name="T34" fmla="*/ 17065766 w 561"/>
                                  <a:gd name="T35" fmla="*/ 102260 h 414"/>
                                  <a:gd name="T36" fmla="*/ 15733285 w 561"/>
                                  <a:gd name="T37" fmla="*/ 0 h 414"/>
                                  <a:gd name="T38" fmla="*/ 14400801 w 561"/>
                                  <a:gd name="T39" fmla="*/ 0 h 414"/>
                                  <a:gd name="T40" fmla="*/ 14400801 w 561"/>
                                  <a:gd name="T41" fmla="*/ 0 h 414"/>
                                  <a:gd name="T42" fmla="*/ 13017158 w 561"/>
                                  <a:gd name="T43" fmla="*/ 0 h 414"/>
                                  <a:gd name="T44" fmla="*/ 11684678 w 561"/>
                                  <a:gd name="T45" fmla="*/ 102260 h 414"/>
                                  <a:gd name="T46" fmla="*/ 10352197 w 561"/>
                                  <a:gd name="T47" fmla="*/ 204746 h 414"/>
                                  <a:gd name="T48" fmla="*/ 9122267 w 561"/>
                                  <a:gd name="T49" fmla="*/ 409493 h 414"/>
                                  <a:gd name="T50" fmla="*/ 7892337 w 561"/>
                                  <a:gd name="T51" fmla="*/ 665369 h 414"/>
                                  <a:gd name="T52" fmla="*/ 6713567 w 561"/>
                                  <a:gd name="T53" fmla="*/ 921246 h 414"/>
                                  <a:gd name="T54" fmla="*/ 5586188 w 561"/>
                                  <a:gd name="T55" fmla="*/ 1228479 h 414"/>
                                  <a:gd name="T56" fmla="*/ 4561133 w 561"/>
                                  <a:gd name="T57" fmla="*/ 1637971 h 414"/>
                                  <a:gd name="T58" fmla="*/ 3587466 w 561"/>
                                  <a:gd name="T59" fmla="*/ 1996108 h 414"/>
                                  <a:gd name="T60" fmla="*/ 2767513 w 561"/>
                                  <a:gd name="T61" fmla="*/ 2456731 h 414"/>
                                  <a:gd name="T62" fmla="*/ 1998722 w 561"/>
                                  <a:gd name="T63" fmla="*/ 2866224 h 414"/>
                                  <a:gd name="T64" fmla="*/ 1383643 w 561"/>
                                  <a:gd name="T65" fmla="*/ 3378203 h 414"/>
                                  <a:gd name="T66" fmla="*/ 871116 w 561"/>
                                  <a:gd name="T67" fmla="*/ 3889956 h 414"/>
                                  <a:gd name="T68" fmla="*/ 512528 w 561"/>
                                  <a:gd name="T69" fmla="*/ 4453065 h 414"/>
                                  <a:gd name="T70" fmla="*/ 358815 w 561"/>
                                  <a:gd name="T71" fmla="*/ 4708942 h 414"/>
                                  <a:gd name="T72" fmla="*/ 307426 w 561"/>
                                  <a:gd name="T73" fmla="*/ 4964818 h 414"/>
                                  <a:gd name="T74" fmla="*/ 205102 w 561"/>
                                  <a:gd name="T75" fmla="*/ 5272051 h 414"/>
                                  <a:gd name="T76" fmla="*/ 205102 w 561"/>
                                  <a:gd name="T77" fmla="*/ 5579057 h 414"/>
                                  <a:gd name="T78" fmla="*/ 205102 w 561"/>
                                  <a:gd name="T79" fmla="*/ 5579057 h 414"/>
                                  <a:gd name="T80" fmla="*/ 102551 w 561"/>
                                  <a:gd name="T81" fmla="*/ 6705049 h 414"/>
                                  <a:gd name="T82" fmla="*/ 51162 w 561"/>
                                  <a:gd name="T83" fmla="*/ 8087145 h 414"/>
                                  <a:gd name="T84" fmla="*/ 0 w 561"/>
                                  <a:gd name="T85" fmla="*/ 9929636 h 414"/>
                                  <a:gd name="T86" fmla="*/ 0 w 561"/>
                                  <a:gd name="T87" fmla="*/ 12181846 h 414"/>
                                  <a:gd name="T88" fmla="*/ 51162 w 561"/>
                                  <a:gd name="T89" fmla="*/ 14843326 h 414"/>
                                  <a:gd name="T90" fmla="*/ 205102 w 561"/>
                                  <a:gd name="T91" fmla="*/ 17863165 h 414"/>
                                  <a:gd name="T92" fmla="*/ 461139 w 561"/>
                                  <a:gd name="T93" fmla="*/ 21190236 h 414"/>
                                  <a:gd name="T94" fmla="*/ 28340464 w 561"/>
                                  <a:gd name="T95" fmla="*/ 21190236 h 414"/>
                                  <a:gd name="T96" fmla="*/ 28340464 w 561"/>
                                  <a:gd name="T97" fmla="*/ 21190236 h 414"/>
                                  <a:gd name="T98" fmla="*/ 28545339 w 561"/>
                                  <a:gd name="T99" fmla="*/ 17863165 h 414"/>
                                  <a:gd name="T100" fmla="*/ 28699278 w 561"/>
                                  <a:gd name="T101" fmla="*/ 14843326 h 414"/>
                                  <a:gd name="T102" fmla="*/ 28750440 w 561"/>
                                  <a:gd name="T103" fmla="*/ 12181846 h 414"/>
                                  <a:gd name="T104" fmla="*/ 28750440 w 561"/>
                                  <a:gd name="T105" fmla="*/ 9929636 h 414"/>
                                  <a:gd name="T106" fmla="*/ 28699278 w 561"/>
                                  <a:gd name="T107" fmla="*/ 8087145 h 414"/>
                                  <a:gd name="T108" fmla="*/ 28647889 w 561"/>
                                  <a:gd name="T109" fmla="*/ 6705049 h 414"/>
                                  <a:gd name="T110" fmla="*/ 28545339 w 561"/>
                                  <a:gd name="T111" fmla="*/ 5579057 h 414"/>
                                  <a:gd name="T112" fmla="*/ 28545339 w 561"/>
                                  <a:gd name="T113" fmla="*/ 5579057 h 414"/>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w 561"/>
                                  <a:gd name="T172" fmla="*/ 0 h 414"/>
                                  <a:gd name="T173" fmla="*/ 561 w 561"/>
                                  <a:gd name="T174" fmla="*/ 414 h 414"/>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T171" t="T172" r="T173" b="T174"/>
                                <a:pathLst>
                                  <a:path w="561" h="414">
                                    <a:moveTo>
                                      <a:pt x="557" y="109"/>
                                    </a:moveTo>
                                    <a:lnTo>
                                      <a:pt x="557" y="109"/>
                                    </a:lnTo>
                                    <a:lnTo>
                                      <a:pt x="557" y="103"/>
                                    </a:lnTo>
                                    <a:lnTo>
                                      <a:pt x="556" y="97"/>
                                    </a:lnTo>
                                    <a:lnTo>
                                      <a:pt x="554" y="92"/>
                                    </a:lnTo>
                                    <a:lnTo>
                                      <a:pt x="552" y="87"/>
                                    </a:lnTo>
                                    <a:lnTo>
                                      <a:pt x="544" y="76"/>
                                    </a:lnTo>
                                    <a:lnTo>
                                      <a:pt x="534" y="66"/>
                                    </a:lnTo>
                                    <a:lnTo>
                                      <a:pt x="521" y="56"/>
                                    </a:lnTo>
                                    <a:lnTo>
                                      <a:pt x="507" y="48"/>
                                    </a:lnTo>
                                    <a:lnTo>
                                      <a:pt x="490" y="39"/>
                                    </a:lnTo>
                                    <a:lnTo>
                                      <a:pt x="471" y="32"/>
                                    </a:lnTo>
                                    <a:lnTo>
                                      <a:pt x="451" y="24"/>
                                    </a:lnTo>
                                    <a:lnTo>
                                      <a:pt x="430" y="18"/>
                                    </a:lnTo>
                                    <a:lnTo>
                                      <a:pt x="407" y="13"/>
                                    </a:lnTo>
                                    <a:lnTo>
                                      <a:pt x="383" y="8"/>
                                    </a:lnTo>
                                    <a:lnTo>
                                      <a:pt x="358" y="4"/>
                                    </a:lnTo>
                                    <a:lnTo>
                                      <a:pt x="333" y="2"/>
                                    </a:lnTo>
                                    <a:lnTo>
                                      <a:pt x="307" y="0"/>
                                    </a:lnTo>
                                    <a:lnTo>
                                      <a:pt x="281" y="0"/>
                                    </a:lnTo>
                                    <a:lnTo>
                                      <a:pt x="254" y="0"/>
                                    </a:lnTo>
                                    <a:lnTo>
                                      <a:pt x="228" y="2"/>
                                    </a:lnTo>
                                    <a:lnTo>
                                      <a:pt x="202" y="4"/>
                                    </a:lnTo>
                                    <a:lnTo>
                                      <a:pt x="178" y="8"/>
                                    </a:lnTo>
                                    <a:lnTo>
                                      <a:pt x="154" y="13"/>
                                    </a:lnTo>
                                    <a:lnTo>
                                      <a:pt x="131" y="18"/>
                                    </a:lnTo>
                                    <a:lnTo>
                                      <a:pt x="109" y="24"/>
                                    </a:lnTo>
                                    <a:lnTo>
                                      <a:pt x="89" y="32"/>
                                    </a:lnTo>
                                    <a:lnTo>
                                      <a:pt x="70" y="39"/>
                                    </a:lnTo>
                                    <a:lnTo>
                                      <a:pt x="54" y="48"/>
                                    </a:lnTo>
                                    <a:lnTo>
                                      <a:pt x="39" y="56"/>
                                    </a:lnTo>
                                    <a:lnTo>
                                      <a:pt x="27" y="66"/>
                                    </a:lnTo>
                                    <a:lnTo>
                                      <a:pt x="17" y="76"/>
                                    </a:lnTo>
                                    <a:lnTo>
                                      <a:pt x="10" y="87"/>
                                    </a:lnTo>
                                    <a:lnTo>
                                      <a:pt x="7" y="92"/>
                                    </a:lnTo>
                                    <a:lnTo>
                                      <a:pt x="6" y="97"/>
                                    </a:lnTo>
                                    <a:lnTo>
                                      <a:pt x="4" y="103"/>
                                    </a:lnTo>
                                    <a:lnTo>
                                      <a:pt x="4" y="109"/>
                                    </a:lnTo>
                                    <a:lnTo>
                                      <a:pt x="2" y="131"/>
                                    </a:lnTo>
                                    <a:lnTo>
                                      <a:pt x="1" y="158"/>
                                    </a:lnTo>
                                    <a:lnTo>
                                      <a:pt x="0" y="194"/>
                                    </a:lnTo>
                                    <a:lnTo>
                                      <a:pt x="0" y="238"/>
                                    </a:lnTo>
                                    <a:lnTo>
                                      <a:pt x="1" y="290"/>
                                    </a:lnTo>
                                    <a:lnTo>
                                      <a:pt x="4" y="349"/>
                                    </a:lnTo>
                                    <a:lnTo>
                                      <a:pt x="9" y="414"/>
                                    </a:lnTo>
                                    <a:lnTo>
                                      <a:pt x="553" y="414"/>
                                    </a:lnTo>
                                    <a:lnTo>
                                      <a:pt x="557" y="349"/>
                                    </a:lnTo>
                                    <a:lnTo>
                                      <a:pt x="560" y="290"/>
                                    </a:lnTo>
                                    <a:lnTo>
                                      <a:pt x="561" y="238"/>
                                    </a:lnTo>
                                    <a:lnTo>
                                      <a:pt x="561" y="194"/>
                                    </a:lnTo>
                                    <a:lnTo>
                                      <a:pt x="560" y="158"/>
                                    </a:lnTo>
                                    <a:lnTo>
                                      <a:pt x="559" y="131"/>
                                    </a:lnTo>
                                    <a:lnTo>
                                      <a:pt x="557" y="109"/>
                                    </a:lnTo>
                                    <a:close/>
                                  </a:path>
                                </a:pathLst>
                              </a:custGeom>
                              <a:solidFill>
                                <a:srgbClr val="F47320"/>
                              </a:solidFill>
                              <a:ln w="9525">
                                <a:noFill/>
                                <a:round/>
                                <a:headEnd/>
                                <a:tailEnd/>
                              </a:ln>
                            </wps:spPr>
                            <wps:bodyPr/>
                          </wps:wsp>
                          <wps:wsp>
                            <wps:cNvPr id="141" name="Freeform 46">
                              <a:extLst>
                                <a:ext uri="{FF2B5EF4-FFF2-40B4-BE49-F238E27FC236}">
                                  <a16:creationId xmlns:a16="http://schemas.microsoft.com/office/drawing/2014/main" id="{039D23D1-695B-402E-A511-03FE9939BB41}"/>
                                </a:ext>
                              </a:extLst>
                            </wps:cNvPr>
                            <wps:cNvSpPr>
                              <a:spLocks/>
                            </wps:cNvSpPr>
                            <wps:spPr bwMode="auto">
                              <a:xfrm>
                                <a:off x="2840929" y="2681961"/>
                                <a:ext cx="98425" cy="98425"/>
                              </a:xfrm>
                              <a:custGeom>
                                <a:avLst/>
                                <a:gdLst>
                                  <a:gd name="T0" fmla="*/ 0 w 436"/>
                                  <a:gd name="T1" fmla="*/ 11109609 h 436"/>
                                  <a:gd name="T2" fmla="*/ 203848 w 436"/>
                                  <a:gd name="T3" fmla="*/ 13402731 h 436"/>
                                  <a:gd name="T4" fmla="*/ 866411 w 436"/>
                                  <a:gd name="T5" fmla="*/ 15441215 h 436"/>
                                  <a:gd name="T6" fmla="*/ 1885652 w 436"/>
                                  <a:gd name="T7" fmla="*/ 17326640 h 436"/>
                                  <a:gd name="T8" fmla="*/ 3210551 w 436"/>
                                  <a:gd name="T9" fmla="*/ 19008443 h 436"/>
                                  <a:gd name="T10" fmla="*/ 4892355 w 436"/>
                                  <a:gd name="T11" fmla="*/ 20333342 h 436"/>
                                  <a:gd name="T12" fmla="*/ 6777780 w 436"/>
                                  <a:gd name="T13" fmla="*/ 21352582 h 436"/>
                                  <a:gd name="T14" fmla="*/ 8816262 w 436"/>
                                  <a:gd name="T15" fmla="*/ 22015145 h 436"/>
                                  <a:gd name="T16" fmla="*/ 11109609 w 436"/>
                                  <a:gd name="T17" fmla="*/ 22218993 h 436"/>
                                  <a:gd name="T18" fmla="*/ 12230661 w 436"/>
                                  <a:gd name="T19" fmla="*/ 22167975 h 436"/>
                                  <a:gd name="T20" fmla="*/ 14370952 w 436"/>
                                  <a:gd name="T21" fmla="*/ 21760279 h 436"/>
                                  <a:gd name="T22" fmla="*/ 16409437 w 436"/>
                                  <a:gd name="T23" fmla="*/ 20894094 h 436"/>
                                  <a:gd name="T24" fmla="*/ 18142032 w 436"/>
                                  <a:gd name="T25" fmla="*/ 19721798 h 436"/>
                                  <a:gd name="T26" fmla="*/ 19671005 w 436"/>
                                  <a:gd name="T27" fmla="*/ 18193051 h 436"/>
                                  <a:gd name="T28" fmla="*/ 20843075 w 436"/>
                                  <a:gd name="T29" fmla="*/ 16409437 h 436"/>
                                  <a:gd name="T30" fmla="*/ 21658467 w 436"/>
                                  <a:gd name="T31" fmla="*/ 14472989 h 436"/>
                                  <a:gd name="T32" fmla="*/ 22167975 w 436"/>
                                  <a:gd name="T33" fmla="*/ 12281679 h 436"/>
                                  <a:gd name="T34" fmla="*/ 22218993 w 436"/>
                                  <a:gd name="T35" fmla="*/ 11109609 h 436"/>
                                  <a:gd name="T36" fmla="*/ 21964127 w 436"/>
                                  <a:gd name="T37" fmla="*/ 8867281 h 436"/>
                                  <a:gd name="T38" fmla="*/ 21301790 w 436"/>
                                  <a:gd name="T39" fmla="*/ 6828799 h 436"/>
                                  <a:gd name="T40" fmla="*/ 20282549 w 436"/>
                                  <a:gd name="T41" fmla="*/ 4943148 h 436"/>
                                  <a:gd name="T42" fmla="*/ 18906632 w 436"/>
                                  <a:gd name="T43" fmla="*/ 3261570 h 436"/>
                                  <a:gd name="T44" fmla="*/ 17326640 w 436"/>
                                  <a:gd name="T45" fmla="*/ 1885652 h 436"/>
                                  <a:gd name="T46" fmla="*/ 15390196 w 436"/>
                                  <a:gd name="T47" fmla="*/ 866411 h 436"/>
                                  <a:gd name="T48" fmla="*/ 13300920 w 436"/>
                                  <a:gd name="T49" fmla="*/ 254867 h 436"/>
                                  <a:gd name="T50" fmla="*/ 11109609 w 436"/>
                                  <a:gd name="T51" fmla="*/ 0 h 436"/>
                                  <a:gd name="T52" fmla="*/ 9988332 w 436"/>
                                  <a:gd name="T53" fmla="*/ 51018 h 436"/>
                                  <a:gd name="T54" fmla="*/ 7746004 w 436"/>
                                  <a:gd name="T55" fmla="*/ 560526 h 436"/>
                                  <a:gd name="T56" fmla="*/ 5809558 w 436"/>
                                  <a:gd name="T57" fmla="*/ 1375918 h 436"/>
                                  <a:gd name="T58" fmla="*/ 4025944 w 436"/>
                                  <a:gd name="T59" fmla="*/ 2547989 h 436"/>
                                  <a:gd name="T60" fmla="*/ 2547989 w 436"/>
                                  <a:gd name="T61" fmla="*/ 4076963 h 436"/>
                                  <a:gd name="T62" fmla="*/ 1324900 w 436"/>
                                  <a:gd name="T63" fmla="*/ 5860577 h 436"/>
                                  <a:gd name="T64" fmla="*/ 458715 w 436"/>
                                  <a:gd name="T65" fmla="*/ 7848041 h 436"/>
                                  <a:gd name="T66" fmla="*/ 51018 w 436"/>
                                  <a:gd name="T67" fmla="*/ 9988332 h 436"/>
                                  <a:gd name="T68" fmla="*/ 0 w 436"/>
                                  <a:gd name="T69" fmla="*/ 11109609 h 4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w 436"/>
                                  <a:gd name="T106" fmla="*/ 0 h 436"/>
                                  <a:gd name="T107" fmla="*/ 436 w 436"/>
                                  <a:gd name="T108" fmla="*/ 436 h 4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T105" t="T106" r="T107" b="T108"/>
                                <a:pathLst>
                                  <a:path w="436" h="436">
                                    <a:moveTo>
                                      <a:pt x="0" y="218"/>
                                    </a:moveTo>
                                    <a:lnTo>
                                      <a:pt x="0" y="218"/>
                                    </a:lnTo>
                                    <a:lnTo>
                                      <a:pt x="1" y="241"/>
                                    </a:lnTo>
                                    <a:lnTo>
                                      <a:pt x="4" y="263"/>
                                    </a:lnTo>
                                    <a:lnTo>
                                      <a:pt x="9" y="284"/>
                                    </a:lnTo>
                                    <a:lnTo>
                                      <a:pt x="17" y="303"/>
                                    </a:lnTo>
                                    <a:lnTo>
                                      <a:pt x="26" y="322"/>
                                    </a:lnTo>
                                    <a:lnTo>
                                      <a:pt x="37" y="340"/>
                                    </a:lnTo>
                                    <a:lnTo>
                                      <a:pt x="50" y="357"/>
                                    </a:lnTo>
                                    <a:lnTo>
                                      <a:pt x="63" y="373"/>
                                    </a:lnTo>
                                    <a:lnTo>
                                      <a:pt x="79" y="387"/>
                                    </a:lnTo>
                                    <a:lnTo>
                                      <a:pt x="96" y="399"/>
                                    </a:lnTo>
                                    <a:lnTo>
                                      <a:pt x="114" y="410"/>
                                    </a:lnTo>
                                    <a:lnTo>
                                      <a:pt x="133" y="419"/>
                                    </a:lnTo>
                                    <a:lnTo>
                                      <a:pt x="152" y="427"/>
                                    </a:lnTo>
                                    <a:lnTo>
                                      <a:pt x="173" y="432"/>
                                    </a:lnTo>
                                    <a:lnTo>
                                      <a:pt x="196" y="435"/>
                                    </a:lnTo>
                                    <a:lnTo>
                                      <a:pt x="218" y="436"/>
                                    </a:lnTo>
                                    <a:lnTo>
                                      <a:pt x="240" y="435"/>
                                    </a:lnTo>
                                    <a:lnTo>
                                      <a:pt x="261" y="432"/>
                                    </a:lnTo>
                                    <a:lnTo>
                                      <a:pt x="282" y="427"/>
                                    </a:lnTo>
                                    <a:lnTo>
                                      <a:pt x="302" y="419"/>
                                    </a:lnTo>
                                    <a:lnTo>
                                      <a:pt x="322" y="410"/>
                                    </a:lnTo>
                                    <a:lnTo>
                                      <a:pt x="340" y="399"/>
                                    </a:lnTo>
                                    <a:lnTo>
                                      <a:pt x="356" y="387"/>
                                    </a:lnTo>
                                    <a:lnTo>
                                      <a:pt x="371" y="373"/>
                                    </a:lnTo>
                                    <a:lnTo>
                                      <a:pt x="386" y="357"/>
                                    </a:lnTo>
                                    <a:lnTo>
                                      <a:pt x="398" y="340"/>
                                    </a:lnTo>
                                    <a:lnTo>
                                      <a:pt x="409" y="322"/>
                                    </a:lnTo>
                                    <a:lnTo>
                                      <a:pt x="418" y="303"/>
                                    </a:lnTo>
                                    <a:lnTo>
                                      <a:pt x="425" y="284"/>
                                    </a:lnTo>
                                    <a:lnTo>
                                      <a:pt x="431" y="263"/>
                                    </a:lnTo>
                                    <a:lnTo>
                                      <a:pt x="435" y="241"/>
                                    </a:lnTo>
                                    <a:lnTo>
                                      <a:pt x="436" y="218"/>
                                    </a:lnTo>
                                    <a:lnTo>
                                      <a:pt x="435" y="196"/>
                                    </a:lnTo>
                                    <a:lnTo>
                                      <a:pt x="431" y="174"/>
                                    </a:lnTo>
                                    <a:lnTo>
                                      <a:pt x="425" y="154"/>
                                    </a:lnTo>
                                    <a:lnTo>
                                      <a:pt x="418" y="134"/>
                                    </a:lnTo>
                                    <a:lnTo>
                                      <a:pt x="409" y="115"/>
                                    </a:lnTo>
                                    <a:lnTo>
                                      <a:pt x="398" y="97"/>
                                    </a:lnTo>
                                    <a:lnTo>
                                      <a:pt x="386" y="80"/>
                                    </a:lnTo>
                                    <a:lnTo>
                                      <a:pt x="371" y="64"/>
                                    </a:lnTo>
                                    <a:lnTo>
                                      <a:pt x="356" y="50"/>
                                    </a:lnTo>
                                    <a:lnTo>
                                      <a:pt x="340" y="37"/>
                                    </a:lnTo>
                                    <a:lnTo>
                                      <a:pt x="322" y="27"/>
                                    </a:lnTo>
                                    <a:lnTo>
                                      <a:pt x="302" y="17"/>
                                    </a:lnTo>
                                    <a:lnTo>
                                      <a:pt x="282" y="11"/>
                                    </a:lnTo>
                                    <a:lnTo>
                                      <a:pt x="261" y="5"/>
                                    </a:lnTo>
                                    <a:lnTo>
                                      <a:pt x="240" y="1"/>
                                    </a:lnTo>
                                    <a:lnTo>
                                      <a:pt x="218" y="0"/>
                                    </a:lnTo>
                                    <a:lnTo>
                                      <a:pt x="196" y="1"/>
                                    </a:lnTo>
                                    <a:lnTo>
                                      <a:pt x="173" y="5"/>
                                    </a:lnTo>
                                    <a:lnTo>
                                      <a:pt x="152" y="11"/>
                                    </a:lnTo>
                                    <a:lnTo>
                                      <a:pt x="133" y="17"/>
                                    </a:lnTo>
                                    <a:lnTo>
                                      <a:pt x="114" y="27"/>
                                    </a:lnTo>
                                    <a:lnTo>
                                      <a:pt x="96" y="37"/>
                                    </a:lnTo>
                                    <a:lnTo>
                                      <a:pt x="79" y="50"/>
                                    </a:lnTo>
                                    <a:lnTo>
                                      <a:pt x="63" y="64"/>
                                    </a:lnTo>
                                    <a:lnTo>
                                      <a:pt x="50" y="80"/>
                                    </a:lnTo>
                                    <a:lnTo>
                                      <a:pt x="37" y="97"/>
                                    </a:lnTo>
                                    <a:lnTo>
                                      <a:pt x="26" y="115"/>
                                    </a:lnTo>
                                    <a:lnTo>
                                      <a:pt x="17" y="134"/>
                                    </a:lnTo>
                                    <a:lnTo>
                                      <a:pt x="9" y="154"/>
                                    </a:lnTo>
                                    <a:lnTo>
                                      <a:pt x="4" y="174"/>
                                    </a:lnTo>
                                    <a:lnTo>
                                      <a:pt x="1" y="196"/>
                                    </a:lnTo>
                                    <a:lnTo>
                                      <a:pt x="0" y="218"/>
                                    </a:lnTo>
                                    <a:close/>
                                  </a:path>
                                </a:pathLst>
                              </a:custGeom>
                              <a:solidFill>
                                <a:srgbClr val="F47320"/>
                              </a:solidFill>
                              <a:ln w="9525">
                                <a:noFill/>
                                <a:round/>
                                <a:headEnd/>
                                <a:tailEnd/>
                              </a:ln>
                            </wps:spPr>
                            <wps:bodyPr/>
                          </wps:wsp>
                        </wpg:grpSp>
                        <wps:wsp>
                          <wps:cNvPr id="142" name="pole tekstowe 103">
                            <a:extLst>
                              <a:ext uri="{FF2B5EF4-FFF2-40B4-BE49-F238E27FC236}">
                                <a16:creationId xmlns:a16="http://schemas.microsoft.com/office/drawing/2014/main" id="{EC9EBFA7-B0F3-4074-B709-FFF7E67CC77B}"/>
                              </a:ext>
                            </a:extLst>
                          </wps:cNvPr>
                          <wps:cNvSpPr txBox="1"/>
                          <wps:spPr>
                            <a:xfrm>
                              <a:off x="0" y="0"/>
                              <a:ext cx="1402645" cy="1155365"/>
                            </a:xfrm>
                            <a:prstGeom prst="rect">
                              <a:avLst/>
                            </a:prstGeom>
                            <a:noFill/>
                          </wps:spPr>
                          <wps:txbx>
                            <w:txbxContent>
                              <w:p w14:paraId="527F4D61" w14:textId="77777777" w:rsidR="00D22FE8" w:rsidRDefault="00D22FE8" w:rsidP="00F25738">
                                <w:pPr>
                                  <w:pStyle w:val="NormalnyWeb"/>
                                  <w:spacing w:after="0"/>
                                  <w:jc w:val="center"/>
                                </w:pPr>
                                <w:r>
                                  <w:rPr>
                                    <w:rFonts w:asciiTheme="minorHAnsi" w:hAnsi="Calibri" w:cstheme="minorBidi"/>
                                    <w:b/>
                                    <w:bCs/>
                                    <w:color w:val="FFC000" w:themeColor="accent4"/>
                                    <w:kern w:val="24"/>
                                    <w:sz w:val="32"/>
                                    <w:szCs w:val="32"/>
                                  </w:rPr>
                                  <w:t>30,1%</w:t>
                                </w:r>
                              </w:p>
                              <w:p w14:paraId="78C85914" w14:textId="77777777" w:rsidR="00D22FE8" w:rsidRPr="00095124" w:rsidRDefault="00D22FE8" w:rsidP="00F25738">
                                <w:pPr>
                                  <w:pStyle w:val="NormalnyWeb"/>
                                  <w:spacing w:after="0"/>
                                  <w:jc w:val="center"/>
                                  <w:rPr>
                                    <w:color w:val="767171" w:themeColor="background2" w:themeShade="80"/>
                                  </w:rPr>
                                </w:pPr>
                                <w:r w:rsidRPr="00095124">
                                  <w:rPr>
                                    <w:rFonts w:ascii="Arial" w:hAnsi="Arial" w:cs="Arial"/>
                                    <w:b/>
                                    <w:bCs/>
                                    <w:color w:val="767171" w:themeColor="background2" w:themeShade="80"/>
                                    <w:kern w:val="24"/>
                                    <w:sz w:val="32"/>
                                    <w:szCs w:val="32"/>
                                  </w:rPr>
                                  <w:t>19,6%</w:t>
                                </w:r>
                              </w:p>
                              <w:p w14:paraId="390E421C" w14:textId="77777777" w:rsidR="00D22FE8" w:rsidRDefault="00D22FE8" w:rsidP="00F25738">
                                <w:pPr>
                                  <w:pStyle w:val="NormalnyWeb"/>
                                  <w:spacing w:after="0"/>
                                  <w:jc w:val="center"/>
                                </w:pPr>
                                <w:r>
                                  <w:rPr>
                                    <w:rFonts w:ascii="Arial" w:hAnsi="Arial" w:cs="Arial"/>
                                    <w:b/>
                                    <w:bCs/>
                                    <w:color w:val="F47320"/>
                                    <w:kern w:val="24"/>
                                    <w:sz w:val="32"/>
                                    <w:szCs w:val="32"/>
                                  </w:rPr>
                                  <w:t>15,5%</w:t>
                                </w:r>
                                <w:r>
                                  <w:rPr>
                                    <w:rFonts w:asciiTheme="minorHAnsi" w:hAnsi="Calibri" w:cstheme="minorBidi"/>
                                    <w:b/>
                                    <w:bCs/>
                                    <w:color w:val="000000" w:themeColor="text1"/>
                                    <w:kern w:val="24"/>
                                    <w:sz w:val="32"/>
                                    <w:szCs w:val="32"/>
                                  </w:rPr>
                                  <w:t xml:space="preserve"> </w:t>
                                </w:r>
                              </w:p>
                            </w:txbxContent>
                          </wps:txbx>
                          <wps:bodyPr wrap="square">
                            <a:noAutofit/>
                          </wps:bodyPr>
                        </wps:wsp>
                      </wpg:grpSp>
                      <wpg:grpSp>
                        <wpg:cNvPr id="143" name="Grupa 143"/>
                        <wpg:cNvGrpSpPr/>
                        <wpg:grpSpPr>
                          <a:xfrm>
                            <a:off x="4229100" y="923925"/>
                            <a:ext cx="1100589" cy="1964372"/>
                            <a:chOff x="0" y="0"/>
                            <a:chExt cx="1100589" cy="1964372"/>
                          </a:xfrm>
                        </wpg:grpSpPr>
                        <wpg:grpSp>
                          <wpg:cNvPr id="144" name="Grupa 144">
                            <a:extLst>
                              <a:ext uri="{FF2B5EF4-FFF2-40B4-BE49-F238E27FC236}">
                                <a16:creationId xmlns:a16="http://schemas.microsoft.com/office/drawing/2014/main" id="{3E73E9B0-FEE5-49F2-8A2B-315D94D461A6}"/>
                              </a:ext>
                            </a:extLst>
                          </wpg:cNvPr>
                          <wpg:cNvGrpSpPr>
                            <a:grpSpLocks noChangeAspect="1"/>
                          </wpg:cNvGrpSpPr>
                          <wpg:grpSpPr bwMode="auto">
                            <a:xfrm flipH="1">
                              <a:off x="333375" y="1562100"/>
                              <a:ext cx="420598" cy="402272"/>
                              <a:chOff x="5975350" y="2882027"/>
                              <a:chExt cx="639762" cy="560388"/>
                            </a:xfrm>
                          </wpg:grpSpPr>
                          <wps:wsp>
                            <wps:cNvPr id="145" name="Freeform 15">
                              <a:extLst>
                                <a:ext uri="{FF2B5EF4-FFF2-40B4-BE49-F238E27FC236}">
                                  <a16:creationId xmlns:a16="http://schemas.microsoft.com/office/drawing/2014/main" id="{39DE729E-5DCE-4610-9079-28D39808650D}"/>
                                </a:ext>
                              </a:extLst>
                            </wps:cNvPr>
                            <wps:cNvSpPr>
                              <a:spLocks/>
                            </wps:cNvSpPr>
                            <wps:spPr bwMode="auto">
                              <a:xfrm>
                                <a:off x="6148657" y="2948740"/>
                                <a:ext cx="289460" cy="327846"/>
                              </a:xfrm>
                              <a:custGeom>
                                <a:avLst/>
                                <a:gdLst>
                                  <a:gd name="T0" fmla="*/ 20 w 364"/>
                                  <a:gd name="T1" fmla="*/ 114 h 414"/>
                                  <a:gd name="T2" fmla="*/ 106 w 364"/>
                                  <a:gd name="T3" fmla="*/ 111 h 414"/>
                                  <a:gd name="T4" fmla="*/ 123 w 364"/>
                                  <a:gd name="T5" fmla="*/ 108 h 414"/>
                                  <a:gd name="T6" fmla="*/ 134 w 364"/>
                                  <a:gd name="T7" fmla="*/ 96 h 414"/>
                                  <a:gd name="T8" fmla="*/ 156 w 364"/>
                                  <a:gd name="T9" fmla="*/ 57 h 414"/>
                                  <a:gd name="T10" fmla="*/ 180 w 364"/>
                                  <a:gd name="T11" fmla="*/ 21 h 414"/>
                                  <a:gd name="T12" fmla="*/ 187 w 364"/>
                                  <a:gd name="T13" fmla="*/ 12 h 414"/>
                                  <a:gd name="T14" fmla="*/ 204 w 364"/>
                                  <a:gd name="T15" fmla="*/ 2 h 414"/>
                                  <a:gd name="T16" fmla="*/ 220 w 364"/>
                                  <a:gd name="T17" fmla="*/ 1 h 414"/>
                                  <a:gd name="T18" fmla="*/ 237 w 364"/>
                                  <a:gd name="T19" fmla="*/ 9 h 414"/>
                                  <a:gd name="T20" fmla="*/ 245 w 364"/>
                                  <a:gd name="T21" fmla="*/ 15 h 414"/>
                                  <a:gd name="T22" fmla="*/ 298 w 364"/>
                                  <a:gd name="T23" fmla="*/ 67 h 414"/>
                                  <a:gd name="T24" fmla="*/ 347 w 364"/>
                                  <a:gd name="T25" fmla="*/ 121 h 414"/>
                                  <a:gd name="T26" fmla="*/ 356 w 364"/>
                                  <a:gd name="T27" fmla="*/ 133 h 414"/>
                                  <a:gd name="T28" fmla="*/ 362 w 364"/>
                                  <a:gd name="T29" fmla="*/ 147 h 414"/>
                                  <a:gd name="T30" fmla="*/ 364 w 364"/>
                                  <a:gd name="T31" fmla="*/ 159 h 414"/>
                                  <a:gd name="T32" fmla="*/ 363 w 364"/>
                                  <a:gd name="T33" fmla="*/ 171 h 414"/>
                                  <a:gd name="T34" fmla="*/ 359 w 364"/>
                                  <a:gd name="T35" fmla="*/ 182 h 414"/>
                                  <a:gd name="T36" fmla="*/ 352 w 364"/>
                                  <a:gd name="T37" fmla="*/ 194 h 414"/>
                                  <a:gd name="T38" fmla="*/ 330 w 364"/>
                                  <a:gd name="T39" fmla="*/ 213 h 414"/>
                                  <a:gd name="T40" fmla="*/ 287 w 364"/>
                                  <a:gd name="T41" fmla="*/ 239 h 414"/>
                                  <a:gd name="T42" fmla="*/ 243 w 364"/>
                                  <a:gd name="T43" fmla="*/ 262 h 414"/>
                                  <a:gd name="T44" fmla="*/ 230 w 364"/>
                                  <a:gd name="T45" fmla="*/ 273 h 414"/>
                                  <a:gd name="T46" fmla="*/ 226 w 364"/>
                                  <a:gd name="T47" fmla="*/ 289 h 414"/>
                                  <a:gd name="T48" fmla="*/ 227 w 364"/>
                                  <a:gd name="T49" fmla="*/ 335 h 414"/>
                                  <a:gd name="T50" fmla="*/ 226 w 364"/>
                                  <a:gd name="T51" fmla="*/ 382 h 414"/>
                                  <a:gd name="T52" fmla="*/ 225 w 364"/>
                                  <a:gd name="T53" fmla="*/ 395 h 414"/>
                                  <a:gd name="T54" fmla="*/ 220 w 364"/>
                                  <a:gd name="T55" fmla="*/ 406 h 414"/>
                                  <a:gd name="T56" fmla="*/ 209 w 364"/>
                                  <a:gd name="T57" fmla="*/ 412 h 414"/>
                                  <a:gd name="T58" fmla="*/ 192 w 364"/>
                                  <a:gd name="T59" fmla="*/ 414 h 414"/>
                                  <a:gd name="T60" fmla="*/ 184 w 364"/>
                                  <a:gd name="T61" fmla="*/ 413 h 414"/>
                                  <a:gd name="T62" fmla="*/ 174 w 364"/>
                                  <a:gd name="T63" fmla="*/ 408 h 414"/>
                                  <a:gd name="T64" fmla="*/ 168 w 364"/>
                                  <a:gd name="T65" fmla="*/ 396 h 414"/>
                                  <a:gd name="T66" fmla="*/ 164 w 364"/>
                                  <a:gd name="T67" fmla="*/ 380 h 414"/>
                                  <a:gd name="T68" fmla="*/ 164 w 364"/>
                                  <a:gd name="T69" fmla="*/ 369 h 414"/>
                                  <a:gd name="T70" fmla="*/ 167 w 364"/>
                                  <a:gd name="T71" fmla="*/ 239 h 414"/>
                                  <a:gd name="T72" fmla="*/ 168 w 364"/>
                                  <a:gd name="T73" fmla="*/ 233 h 414"/>
                                  <a:gd name="T74" fmla="*/ 174 w 364"/>
                                  <a:gd name="T75" fmla="*/ 220 h 414"/>
                                  <a:gd name="T76" fmla="*/ 179 w 364"/>
                                  <a:gd name="T77" fmla="*/ 217 h 414"/>
                                  <a:gd name="T78" fmla="*/ 258 w 364"/>
                                  <a:gd name="T79" fmla="*/ 167 h 414"/>
                                  <a:gd name="T80" fmla="*/ 195 w 364"/>
                                  <a:gd name="T81" fmla="*/ 101 h 414"/>
                                  <a:gd name="T82" fmla="*/ 180 w 364"/>
                                  <a:gd name="T83" fmla="*/ 125 h 414"/>
                                  <a:gd name="T84" fmla="*/ 166 w 364"/>
                                  <a:gd name="T85" fmla="*/ 147 h 414"/>
                                  <a:gd name="T86" fmla="*/ 156 w 364"/>
                                  <a:gd name="T87" fmla="*/ 156 h 414"/>
                                  <a:gd name="T88" fmla="*/ 146 w 364"/>
                                  <a:gd name="T89" fmla="*/ 160 h 414"/>
                                  <a:gd name="T90" fmla="*/ 120 w 364"/>
                                  <a:gd name="T91" fmla="*/ 161 h 414"/>
                                  <a:gd name="T92" fmla="*/ 24 w 364"/>
                                  <a:gd name="T93" fmla="*/ 161 h 414"/>
                                  <a:gd name="T94" fmla="*/ 19 w 364"/>
                                  <a:gd name="T95" fmla="*/ 161 h 414"/>
                                  <a:gd name="T96" fmla="*/ 9 w 364"/>
                                  <a:gd name="T97" fmla="*/ 157 h 414"/>
                                  <a:gd name="T98" fmla="*/ 3 w 364"/>
                                  <a:gd name="T99" fmla="*/ 150 h 414"/>
                                  <a:gd name="T100" fmla="*/ 1 w 364"/>
                                  <a:gd name="T101" fmla="*/ 141 h 414"/>
                                  <a:gd name="T102" fmla="*/ 0 w 364"/>
                                  <a:gd name="T103" fmla="*/ 136 h 414"/>
                                  <a:gd name="T104" fmla="*/ 2 w 364"/>
                                  <a:gd name="T105" fmla="*/ 126 h 414"/>
                                  <a:gd name="T106" fmla="*/ 6 w 364"/>
                                  <a:gd name="T107" fmla="*/ 120 h 414"/>
                                  <a:gd name="T108" fmla="*/ 12 w 364"/>
                                  <a:gd name="T109" fmla="*/ 116 h 414"/>
                                  <a:gd name="T110" fmla="*/ 20 w 364"/>
                                  <a:gd name="T111" fmla="*/ 114 h 4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64" h="414">
                                    <a:moveTo>
                                      <a:pt x="20" y="114"/>
                                    </a:moveTo>
                                    <a:lnTo>
                                      <a:pt x="20" y="114"/>
                                    </a:lnTo>
                                    <a:lnTo>
                                      <a:pt x="106" y="111"/>
                                    </a:lnTo>
                                    <a:lnTo>
                                      <a:pt x="106" y="111"/>
                                    </a:lnTo>
                                    <a:lnTo>
                                      <a:pt x="116" y="110"/>
                                    </a:lnTo>
                                    <a:lnTo>
                                      <a:pt x="123" y="108"/>
                                    </a:lnTo>
                                    <a:lnTo>
                                      <a:pt x="129" y="103"/>
                                    </a:lnTo>
                                    <a:lnTo>
                                      <a:pt x="134" y="96"/>
                                    </a:lnTo>
                                    <a:lnTo>
                                      <a:pt x="134" y="96"/>
                                    </a:lnTo>
                                    <a:lnTo>
                                      <a:pt x="156" y="57"/>
                                    </a:lnTo>
                                    <a:lnTo>
                                      <a:pt x="167" y="39"/>
                                    </a:lnTo>
                                    <a:lnTo>
                                      <a:pt x="180" y="21"/>
                                    </a:lnTo>
                                    <a:lnTo>
                                      <a:pt x="180" y="21"/>
                                    </a:lnTo>
                                    <a:lnTo>
                                      <a:pt x="187" y="12"/>
                                    </a:lnTo>
                                    <a:lnTo>
                                      <a:pt x="196" y="6"/>
                                    </a:lnTo>
                                    <a:lnTo>
                                      <a:pt x="204" y="2"/>
                                    </a:lnTo>
                                    <a:lnTo>
                                      <a:pt x="212" y="0"/>
                                    </a:lnTo>
                                    <a:lnTo>
                                      <a:pt x="220" y="1"/>
                                    </a:lnTo>
                                    <a:lnTo>
                                      <a:pt x="229" y="4"/>
                                    </a:lnTo>
                                    <a:lnTo>
                                      <a:pt x="237" y="9"/>
                                    </a:lnTo>
                                    <a:lnTo>
                                      <a:pt x="245" y="15"/>
                                    </a:lnTo>
                                    <a:lnTo>
                                      <a:pt x="245" y="15"/>
                                    </a:lnTo>
                                    <a:lnTo>
                                      <a:pt x="272" y="40"/>
                                    </a:lnTo>
                                    <a:lnTo>
                                      <a:pt x="298" y="67"/>
                                    </a:lnTo>
                                    <a:lnTo>
                                      <a:pt x="323" y="93"/>
                                    </a:lnTo>
                                    <a:lnTo>
                                      <a:pt x="347" y="121"/>
                                    </a:lnTo>
                                    <a:lnTo>
                                      <a:pt x="347" y="121"/>
                                    </a:lnTo>
                                    <a:lnTo>
                                      <a:pt x="356" y="133"/>
                                    </a:lnTo>
                                    <a:lnTo>
                                      <a:pt x="359" y="141"/>
                                    </a:lnTo>
                                    <a:lnTo>
                                      <a:pt x="362" y="147"/>
                                    </a:lnTo>
                                    <a:lnTo>
                                      <a:pt x="363" y="153"/>
                                    </a:lnTo>
                                    <a:lnTo>
                                      <a:pt x="364" y="159"/>
                                    </a:lnTo>
                                    <a:lnTo>
                                      <a:pt x="364" y="165"/>
                                    </a:lnTo>
                                    <a:lnTo>
                                      <a:pt x="363" y="171"/>
                                    </a:lnTo>
                                    <a:lnTo>
                                      <a:pt x="362" y="177"/>
                                    </a:lnTo>
                                    <a:lnTo>
                                      <a:pt x="359" y="182"/>
                                    </a:lnTo>
                                    <a:lnTo>
                                      <a:pt x="357" y="188"/>
                                    </a:lnTo>
                                    <a:lnTo>
                                      <a:pt x="352" y="194"/>
                                    </a:lnTo>
                                    <a:lnTo>
                                      <a:pt x="342" y="203"/>
                                    </a:lnTo>
                                    <a:lnTo>
                                      <a:pt x="330" y="213"/>
                                    </a:lnTo>
                                    <a:lnTo>
                                      <a:pt x="330" y="213"/>
                                    </a:lnTo>
                                    <a:lnTo>
                                      <a:pt x="287" y="239"/>
                                    </a:lnTo>
                                    <a:lnTo>
                                      <a:pt x="243" y="262"/>
                                    </a:lnTo>
                                    <a:lnTo>
                                      <a:pt x="243" y="262"/>
                                    </a:lnTo>
                                    <a:lnTo>
                                      <a:pt x="236" y="268"/>
                                    </a:lnTo>
                                    <a:lnTo>
                                      <a:pt x="230" y="273"/>
                                    </a:lnTo>
                                    <a:lnTo>
                                      <a:pt x="227" y="281"/>
                                    </a:lnTo>
                                    <a:lnTo>
                                      <a:pt x="226" y="289"/>
                                    </a:lnTo>
                                    <a:lnTo>
                                      <a:pt x="226" y="289"/>
                                    </a:lnTo>
                                    <a:lnTo>
                                      <a:pt x="227" y="335"/>
                                    </a:lnTo>
                                    <a:lnTo>
                                      <a:pt x="226" y="382"/>
                                    </a:lnTo>
                                    <a:lnTo>
                                      <a:pt x="226" y="382"/>
                                    </a:lnTo>
                                    <a:lnTo>
                                      <a:pt x="226" y="389"/>
                                    </a:lnTo>
                                    <a:lnTo>
                                      <a:pt x="225" y="395"/>
                                    </a:lnTo>
                                    <a:lnTo>
                                      <a:pt x="222" y="401"/>
                                    </a:lnTo>
                                    <a:lnTo>
                                      <a:pt x="220" y="406"/>
                                    </a:lnTo>
                                    <a:lnTo>
                                      <a:pt x="215" y="409"/>
                                    </a:lnTo>
                                    <a:lnTo>
                                      <a:pt x="209" y="412"/>
                                    </a:lnTo>
                                    <a:lnTo>
                                      <a:pt x="202" y="413"/>
                                    </a:lnTo>
                                    <a:lnTo>
                                      <a:pt x="192" y="414"/>
                                    </a:lnTo>
                                    <a:lnTo>
                                      <a:pt x="192" y="414"/>
                                    </a:lnTo>
                                    <a:lnTo>
                                      <a:pt x="184" y="413"/>
                                    </a:lnTo>
                                    <a:lnTo>
                                      <a:pt x="179" y="412"/>
                                    </a:lnTo>
                                    <a:lnTo>
                                      <a:pt x="174" y="408"/>
                                    </a:lnTo>
                                    <a:lnTo>
                                      <a:pt x="170" y="403"/>
                                    </a:lnTo>
                                    <a:lnTo>
                                      <a:pt x="168" y="396"/>
                                    </a:lnTo>
                                    <a:lnTo>
                                      <a:pt x="166" y="389"/>
                                    </a:lnTo>
                                    <a:lnTo>
                                      <a:pt x="164" y="380"/>
                                    </a:lnTo>
                                    <a:lnTo>
                                      <a:pt x="164" y="369"/>
                                    </a:lnTo>
                                    <a:lnTo>
                                      <a:pt x="164" y="369"/>
                                    </a:lnTo>
                                    <a:lnTo>
                                      <a:pt x="166" y="304"/>
                                    </a:lnTo>
                                    <a:lnTo>
                                      <a:pt x="167" y="239"/>
                                    </a:lnTo>
                                    <a:lnTo>
                                      <a:pt x="167" y="239"/>
                                    </a:lnTo>
                                    <a:lnTo>
                                      <a:pt x="168" y="233"/>
                                    </a:lnTo>
                                    <a:lnTo>
                                      <a:pt x="170" y="226"/>
                                    </a:lnTo>
                                    <a:lnTo>
                                      <a:pt x="174" y="220"/>
                                    </a:lnTo>
                                    <a:lnTo>
                                      <a:pt x="179" y="217"/>
                                    </a:lnTo>
                                    <a:lnTo>
                                      <a:pt x="179" y="217"/>
                                    </a:lnTo>
                                    <a:lnTo>
                                      <a:pt x="218" y="193"/>
                                    </a:lnTo>
                                    <a:lnTo>
                                      <a:pt x="258" y="167"/>
                                    </a:lnTo>
                                    <a:lnTo>
                                      <a:pt x="258" y="167"/>
                                    </a:lnTo>
                                    <a:lnTo>
                                      <a:pt x="195" y="101"/>
                                    </a:lnTo>
                                    <a:lnTo>
                                      <a:pt x="195" y="101"/>
                                    </a:lnTo>
                                    <a:lnTo>
                                      <a:pt x="180" y="125"/>
                                    </a:lnTo>
                                    <a:lnTo>
                                      <a:pt x="166" y="147"/>
                                    </a:lnTo>
                                    <a:lnTo>
                                      <a:pt x="166" y="147"/>
                                    </a:lnTo>
                                    <a:lnTo>
                                      <a:pt x="161" y="151"/>
                                    </a:lnTo>
                                    <a:lnTo>
                                      <a:pt x="156" y="156"/>
                                    </a:lnTo>
                                    <a:lnTo>
                                      <a:pt x="151" y="159"/>
                                    </a:lnTo>
                                    <a:lnTo>
                                      <a:pt x="146" y="160"/>
                                    </a:lnTo>
                                    <a:lnTo>
                                      <a:pt x="146" y="160"/>
                                    </a:lnTo>
                                    <a:lnTo>
                                      <a:pt x="120" y="161"/>
                                    </a:lnTo>
                                    <a:lnTo>
                                      <a:pt x="84" y="161"/>
                                    </a:lnTo>
                                    <a:lnTo>
                                      <a:pt x="24" y="161"/>
                                    </a:lnTo>
                                    <a:lnTo>
                                      <a:pt x="24" y="161"/>
                                    </a:lnTo>
                                    <a:lnTo>
                                      <a:pt x="19" y="161"/>
                                    </a:lnTo>
                                    <a:lnTo>
                                      <a:pt x="14" y="159"/>
                                    </a:lnTo>
                                    <a:lnTo>
                                      <a:pt x="9" y="157"/>
                                    </a:lnTo>
                                    <a:lnTo>
                                      <a:pt x="6" y="154"/>
                                    </a:lnTo>
                                    <a:lnTo>
                                      <a:pt x="3" y="150"/>
                                    </a:lnTo>
                                    <a:lnTo>
                                      <a:pt x="2" y="145"/>
                                    </a:lnTo>
                                    <a:lnTo>
                                      <a:pt x="1" y="141"/>
                                    </a:lnTo>
                                    <a:lnTo>
                                      <a:pt x="0" y="136"/>
                                    </a:lnTo>
                                    <a:lnTo>
                                      <a:pt x="0" y="136"/>
                                    </a:lnTo>
                                    <a:lnTo>
                                      <a:pt x="1" y="131"/>
                                    </a:lnTo>
                                    <a:lnTo>
                                      <a:pt x="2" y="126"/>
                                    </a:lnTo>
                                    <a:lnTo>
                                      <a:pt x="3" y="122"/>
                                    </a:lnTo>
                                    <a:lnTo>
                                      <a:pt x="6" y="120"/>
                                    </a:lnTo>
                                    <a:lnTo>
                                      <a:pt x="8" y="118"/>
                                    </a:lnTo>
                                    <a:lnTo>
                                      <a:pt x="12" y="116"/>
                                    </a:lnTo>
                                    <a:lnTo>
                                      <a:pt x="20" y="114"/>
                                    </a:lnTo>
                                    <a:lnTo>
                                      <a:pt x="20" y="114"/>
                                    </a:lnTo>
                                    <a:close/>
                                  </a:path>
                                </a:pathLst>
                              </a:custGeom>
                              <a:solidFill>
                                <a:schemeClr val="tx2">
                                  <a:lumMod val="60000"/>
                                  <a:lumOff val="40000"/>
                                </a:schemeClr>
                              </a:solidFill>
                              <a:ln>
                                <a:noFill/>
                              </a:ln>
                            </wps:spPr>
                            <wps:bodyPr/>
                          </wps:wsp>
                          <wps:wsp>
                            <wps:cNvPr id="146" name="Freeform 16">
                              <a:extLst>
                                <a:ext uri="{FF2B5EF4-FFF2-40B4-BE49-F238E27FC236}">
                                  <a16:creationId xmlns:a16="http://schemas.microsoft.com/office/drawing/2014/main" id="{79071755-ED28-4170-B1C8-62CB7B5B2818}"/>
                                </a:ext>
                              </a:extLst>
                            </wps:cNvPr>
                            <wps:cNvSpPr>
                              <a:spLocks/>
                            </wps:cNvSpPr>
                            <wps:spPr bwMode="auto">
                              <a:xfrm>
                                <a:off x="6207656" y="2882027"/>
                                <a:ext cx="86653" cy="87680"/>
                              </a:xfrm>
                              <a:custGeom>
                                <a:avLst/>
                                <a:gdLst>
                                  <a:gd name="T0" fmla="*/ 57 w 111"/>
                                  <a:gd name="T1" fmla="*/ 110 h 110"/>
                                  <a:gd name="T2" fmla="*/ 57 w 111"/>
                                  <a:gd name="T3" fmla="*/ 110 h 110"/>
                                  <a:gd name="T4" fmla="*/ 45 w 111"/>
                                  <a:gd name="T5" fmla="*/ 109 h 110"/>
                                  <a:gd name="T6" fmla="*/ 36 w 111"/>
                                  <a:gd name="T7" fmla="*/ 107 h 110"/>
                                  <a:gd name="T8" fmla="*/ 26 w 111"/>
                                  <a:gd name="T9" fmla="*/ 102 h 110"/>
                                  <a:gd name="T10" fmla="*/ 17 w 111"/>
                                  <a:gd name="T11" fmla="*/ 96 h 110"/>
                                  <a:gd name="T12" fmla="*/ 10 w 111"/>
                                  <a:gd name="T13" fmla="*/ 89 h 110"/>
                                  <a:gd name="T14" fmla="*/ 5 w 111"/>
                                  <a:gd name="T15" fmla="*/ 80 h 110"/>
                                  <a:gd name="T16" fmla="*/ 2 w 111"/>
                                  <a:gd name="T17" fmla="*/ 69 h 110"/>
                                  <a:gd name="T18" fmla="*/ 0 w 111"/>
                                  <a:gd name="T19" fmla="*/ 58 h 110"/>
                                  <a:gd name="T20" fmla="*/ 0 w 111"/>
                                  <a:gd name="T21" fmla="*/ 58 h 110"/>
                                  <a:gd name="T22" fmla="*/ 0 w 111"/>
                                  <a:gd name="T23" fmla="*/ 47 h 110"/>
                                  <a:gd name="T24" fmla="*/ 3 w 111"/>
                                  <a:gd name="T25" fmla="*/ 37 h 110"/>
                                  <a:gd name="T26" fmla="*/ 8 w 111"/>
                                  <a:gd name="T27" fmla="*/ 27 h 110"/>
                                  <a:gd name="T28" fmla="*/ 14 w 111"/>
                                  <a:gd name="T29" fmla="*/ 18 h 110"/>
                                  <a:gd name="T30" fmla="*/ 22 w 111"/>
                                  <a:gd name="T31" fmla="*/ 11 h 110"/>
                                  <a:gd name="T32" fmla="*/ 31 w 111"/>
                                  <a:gd name="T33" fmla="*/ 5 h 110"/>
                                  <a:gd name="T34" fmla="*/ 42 w 111"/>
                                  <a:gd name="T35" fmla="*/ 1 h 110"/>
                                  <a:gd name="T36" fmla="*/ 53 w 111"/>
                                  <a:gd name="T37" fmla="*/ 0 h 110"/>
                                  <a:gd name="T38" fmla="*/ 53 w 111"/>
                                  <a:gd name="T39" fmla="*/ 0 h 110"/>
                                  <a:gd name="T40" fmla="*/ 63 w 111"/>
                                  <a:gd name="T41" fmla="*/ 0 h 110"/>
                                  <a:gd name="T42" fmla="*/ 73 w 111"/>
                                  <a:gd name="T43" fmla="*/ 4 h 110"/>
                                  <a:gd name="T44" fmla="*/ 83 w 111"/>
                                  <a:gd name="T45" fmla="*/ 9 h 110"/>
                                  <a:gd name="T46" fmla="*/ 91 w 111"/>
                                  <a:gd name="T47" fmla="*/ 15 h 110"/>
                                  <a:gd name="T48" fmla="*/ 99 w 111"/>
                                  <a:gd name="T49" fmla="*/ 23 h 110"/>
                                  <a:gd name="T50" fmla="*/ 105 w 111"/>
                                  <a:gd name="T51" fmla="*/ 32 h 110"/>
                                  <a:gd name="T52" fmla="*/ 108 w 111"/>
                                  <a:gd name="T53" fmla="*/ 43 h 110"/>
                                  <a:gd name="T54" fmla="*/ 111 w 111"/>
                                  <a:gd name="T55" fmla="*/ 54 h 110"/>
                                  <a:gd name="T56" fmla="*/ 111 w 111"/>
                                  <a:gd name="T57" fmla="*/ 54 h 110"/>
                                  <a:gd name="T58" fmla="*/ 109 w 111"/>
                                  <a:gd name="T59" fmla="*/ 64 h 110"/>
                                  <a:gd name="T60" fmla="*/ 107 w 111"/>
                                  <a:gd name="T61" fmla="*/ 74 h 110"/>
                                  <a:gd name="T62" fmla="*/ 102 w 111"/>
                                  <a:gd name="T63" fmla="*/ 84 h 110"/>
                                  <a:gd name="T64" fmla="*/ 95 w 111"/>
                                  <a:gd name="T65" fmla="*/ 92 h 110"/>
                                  <a:gd name="T66" fmla="*/ 88 w 111"/>
                                  <a:gd name="T67" fmla="*/ 100 h 110"/>
                                  <a:gd name="T68" fmla="*/ 78 w 111"/>
                                  <a:gd name="T69" fmla="*/ 104 h 110"/>
                                  <a:gd name="T70" fmla="*/ 68 w 111"/>
                                  <a:gd name="T71" fmla="*/ 108 h 110"/>
                                  <a:gd name="T72" fmla="*/ 57 w 111"/>
                                  <a:gd name="T73" fmla="*/ 110 h 110"/>
                                  <a:gd name="T74" fmla="*/ 57 w 111"/>
                                  <a:gd name="T75" fmla="*/ 110 h 1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11" h="110">
                                    <a:moveTo>
                                      <a:pt x="57" y="110"/>
                                    </a:moveTo>
                                    <a:lnTo>
                                      <a:pt x="57" y="110"/>
                                    </a:lnTo>
                                    <a:lnTo>
                                      <a:pt x="45" y="109"/>
                                    </a:lnTo>
                                    <a:lnTo>
                                      <a:pt x="36" y="107"/>
                                    </a:lnTo>
                                    <a:lnTo>
                                      <a:pt x="26" y="102"/>
                                    </a:lnTo>
                                    <a:lnTo>
                                      <a:pt x="17" y="96"/>
                                    </a:lnTo>
                                    <a:lnTo>
                                      <a:pt x="10" y="89"/>
                                    </a:lnTo>
                                    <a:lnTo>
                                      <a:pt x="5" y="80"/>
                                    </a:lnTo>
                                    <a:lnTo>
                                      <a:pt x="2" y="69"/>
                                    </a:lnTo>
                                    <a:lnTo>
                                      <a:pt x="0" y="58"/>
                                    </a:lnTo>
                                    <a:lnTo>
                                      <a:pt x="0" y="58"/>
                                    </a:lnTo>
                                    <a:lnTo>
                                      <a:pt x="0" y="47"/>
                                    </a:lnTo>
                                    <a:lnTo>
                                      <a:pt x="3" y="37"/>
                                    </a:lnTo>
                                    <a:lnTo>
                                      <a:pt x="8" y="27"/>
                                    </a:lnTo>
                                    <a:lnTo>
                                      <a:pt x="14" y="18"/>
                                    </a:lnTo>
                                    <a:lnTo>
                                      <a:pt x="22" y="11"/>
                                    </a:lnTo>
                                    <a:lnTo>
                                      <a:pt x="31" y="5"/>
                                    </a:lnTo>
                                    <a:lnTo>
                                      <a:pt x="42" y="1"/>
                                    </a:lnTo>
                                    <a:lnTo>
                                      <a:pt x="53" y="0"/>
                                    </a:lnTo>
                                    <a:lnTo>
                                      <a:pt x="53" y="0"/>
                                    </a:lnTo>
                                    <a:lnTo>
                                      <a:pt x="63" y="0"/>
                                    </a:lnTo>
                                    <a:lnTo>
                                      <a:pt x="73" y="4"/>
                                    </a:lnTo>
                                    <a:lnTo>
                                      <a:pt x="83" y="9"/>
                                    </a:lnTo>
                                    <a:lnTo>
                                      <a:pt x="91" y="15"/>
                                    </a:lnTo>
                                    <a:lnTo>
                                      <a:pt x="99" y="23"/>
                                    </a:lnTo>
                                    <a:lnTo>
                                      <a:pt x="105" y="32"/>
                                    </a:lnTo>
                                    <a:lnTo>
                                      <a:pt x="108" y="43"/>
                                    </a:lnTo>
                                    <a:lnTo>
                                      <a:pt x="111" y="54"/>
                                    </a:lnTo>
                                    <a:lnTo>
                                      <a:pt x="111" y="54"/>
                                    </a:lnTo>
                                    <a:lnTo>
                                      <a:pt x="109" y="64"/>
                                    </a:lnTo>
                                    <a:lnTo>
                                      <a:pt x="107" y="74"/>
                                    </a:lnTo>
                                    <a:lnTo>
                                      <a:pt x="102" y="84"/>
                                    </a:lnTo>
                                    <a:lnTo>
                                      <a:pt x="95" y="92"/>
                                    </a:lnTo>
                                    <a:lnTo>
                                      <a:pt x="88" y="100"/>
                                    </a:lnTo>
                                    <a:lnTo>
                                      <a:pt x="78" y="104"/>
                                    </a:lnTo>
                                    <a:lnTo>
                                      <a:pt x="68" y="108"/>
                                    </a:lnTo>
                                    <a:lnTo>
                                      <a:pt x="57" y="110"/>
                                    </a:lnTo>
                                    <a:lnTo>
                                      <a:pt x="57" y="110"/>
                                    </a:lnTo>
                                    <a:close/>
                                  </a:path>
                                </a:pathLst>
                              </a:custGeom>
                              <a:solidFill>
                                <a:schemeClr val="tx2">
                                  <a:lumMod val="60000"/>
                                  <a:lumOff val="40000"/>
                                </a:schemeClr>
                              </a:solidFill>
                              <a:ln>
                                <a:noFill/>
                              </a:ln>
                            </wps:spPr>
                            <wps:bodyPr/>
                          </wps:wsp>
                          <wps:wsp>
                            <wps:cNvPr id="147" name="Freeform 17">
                              <a:extLst>
                                <a:ext uri="{FF2B5EF4-FFF2-40B4-BE49-F238E27FC236}">
                                  <a16:creationId xmlns:a16="http://schemas.microsoft.com/office/drawing/2014/main" id="{C267E38A-ADCF-4848-A99B-054E476A5954}"/>
                                </a:ext>
                              </a:extLst>
                            </wps:cNvPr>
                            <wps:cNvSpPr>
                              <a:spLocks noEditPoints="1"/>
                            </wps:cNvSpPr>
                            <wps:spPr bwMode="auto">
                              <a:xfrm>
                                <a:off x="5975350" y="3091577"/>
                                <a:ext cx="639762" cy="350838"/>
                              </a:xfrm>
                              <a:custGeom>
                                <a:avLst/>
                                <a:gdLst>
                                  <a:gd name="T0" fmla="*/ 482545905 w 805"/>
                                  <a:gd name="T1" fmla="*/ 113407211 h 442"/>
                                  <a:gd name="T2" fmla="*/ 437070365 w 805"/>
                                  <a:gd name="T3" fmla="*/ 85055198 h 442"/>
                                  <a:gd name="T4" fmla="*/ 382752501 w 805"/>
                                  <a:gd name="T5" fmla="*/ 85055198 h 442"/>
                                  <a:gd name="T6" fmla="*/ 377067760 w 805"/>
                                  <a:gd name="T7" fmla="*/ 81905594 h 442"/>
                                  <a:gd name="T8" fmla="*/ 336013331 w 805"/>
                                  <a:gd name="T9" fmla="*/ 40322559 h 442"/>
                                  <a:gd name="T10" fmla="*/ 152216470 w 805"/>
                                  <a:gd name="T11" fmla="*/ 45993115 h 442"/>
                                  <a:gd name="T12" fmla="*/ 160427674 w 805"/>
                                  <a:gd name="T13" fmla="*/ 25201598 h 442"/>
                                  <a:gd name="T14" fmla="*/ 141479598 w 805"/>
                                  <a:gd name="T15" fmla="*/ 3150398 h 442"/>
                                  <a:gd name="T16" fmla="*/ 105478095 w 805"/>
                                  <a:gd name="T17" fmla="*/ 83165277 h 442"/>
                                  <a:gd name="T18" fmla="*/ 50528479 w 805"/>
                                  <a:gd name="T19" fmla="*/ 94506390 h 442"/>
                                  <a:gd name="T20" fmla="*/ 12632319 w 805"/>
                                  <a:gd name="T21" fmla="*/ 132308802 h 442"/>
                                  <a:gd name="T22" fmla="*/ 0 w 805"/>
                                  <a:gd name="T23" fmla="*/ 175781745 h 442"/>
                                  <a:gd name="T24" fmla="*/ 11368690 w 805"/>
                                  <a:gd name="T25" fmla="*/ 226814422 h 442"/>
                                  <a:gd name="T26" fmla="*/ 48002016 w 805"/>
                                  <a:gd name="T27" fmla="*/ 265247048 h 442"/>
                                  <a:gd name="T28" fmla="*/ 90951106 w 805"/>
                                  <a:gd name="T29" fmla="*/ 278478082 h 442"/>
                                  <a:gd name="T30" fmla="*/ 142110618 w 805"/>
                                  <a:gd name="T31" fmla="*/ 267767207 h 442"/>
                                  <a:gd name="T32" fmla="*/ 181902213 w 805"/>
                                  <a:gd name="T33" fmla="*/ 231854741 h 442"/>
                                  <a:gd name="T34" fmla="*/ 195797362 w 805"/>
                                  <a:gd name="T35" fmla="*/ 190272462 h 442"/>
                                  <a:gd name="T36" fmla="*/ 189481602 w 805"/>
                                  <a:gd name="T37" fmla="*/ 144279359 h 442"/>
                                  <a:gd name="T38" fmla="*/ 146532524 w 805"/>
                                  <a:gd name="T39" fmla="*/ 95766072 h 442"/>
                                  <a:gd name="T40" fmla="*/ 145268895 w 805"/>
                                  <a:gd name="T41" fmla="*/ 70564481 h 442"/>
                                  <a:gd name="T42" fmla="*/ 260852843 w 805"/>
                                  <a:gd name="T43" fmla="*/ 195312780 h 442"/>
                                  <a:gd name="T44" fmla="*/ 313275958 w 805"/>
                                  <a:gd name="T45" fmla="*/ 198463178 h 442"/>
                                  <a:gd name="T46" fmla="*/ 324644645 w 805"/>
                                  <a:gd name="T47" fmla="*/ 227444661 h 442"/>
                                  <a:gd name="T48" fmla="*/ 362540796 w 805"/>
                                  <a:gd name="T49" fmla="*/ 265247048 h 442"/>
                                  <a:gd name="T50" fmla="*/ 413701078 w 805"/>
                                  <a:gd name="T51" fmla="*/ 277217605 h 442"/>
                                  <a:gd name="T52" fmla="*/ 464860664 w 805"/>
                                  <a:gd name="T53" fmla="*/ 260206729 h 442"/>
                                  <a:gd name="T54" fmla="*/ 503388630 w 805"/>
                                  <a:gd name="T55" fmla="*/ 209803547 h 442"/>
                                  <a:gd name="T56" fmla="*/ 501493981 w 805"/>
                                  <a:gd name="T57" fmla="*/ 144279359 h 442"/>
                                  <a:gd name="T58" fmla="*/ 159795859 w 805"/>
                                  <a:gd name="T59" fmla="*/ 226184978 h 442"/>
                                  <a:gd name="T60" fmla="*/ 125057985 w 805"/>
                                  <a:gd name="T61" fmla="*/ 252016014 h 442"/>
                                  <a:gd name="T62" fmla="*/ 81477068 w 805"/>
                                  <a:gd name="T63" fmla="*/ 255796649 h 442"/>
                                  <a:gd name="T64" fmla="*/ 48002016 w 805"/>
                                  <a:gd name="T65" fmla="*/ 238785774 h 442"/>
                                  <a:gd name="T66" fmla="*/ 24001008 w 805"/>
                                  <a:gd name="T67" fmla="*/ 202873258 h 442"/>
                                  <a:gd name="T68" fmla="*/ 25263842 w 805"/>
                                  <a:gd name="T69" fmla="*/ 158770076 h 442"/>
                                  <a:gd name="T70" fmla="*/ 42317276 w 805"/>
                                  <a:gd name="T71" fmla="*/ 127897928 h 442"/>
                                  <a:gd name="T72" fmla="*/ 77055957 w 805"/>
                                  <a:gd name="T73" fmla="*/ 107107210 h 442"/>
                                  <a:gd name="T74" fmla="*/ 109267392 w 805"/>
                                  <a:gd name="T75" fmla="*/ 105216496 h 442"/>
                                  <a:gd name="T76" fmla="*/ 87792829 w 805"/>
                                  <a:gd name="T77" fmla="*/ 180191825 h 442"/>
                                  <a:gd name="T78" fmla="*/ 95372218 w 805"/>
                                  <a:gd name="T79" fmla="*/ 189642224 h 442"/>
                                  <a:gd name="T80" fmla="*/ 111162041 w 805"/>
                                  <a:gd name="T81" fmla="*/ 168850712 h 442"/>
                                  <a:gd name="T82" fmla="*/ 129479097 w 805"/>
                                  <a:gd name="T83" fmla="*/ 111517290 h 442"/>
                                  <a:gd name="T84" fmla="*/ 161059488 w 805"/>
                                  <a:gd name="T85" fmla="*/ 137349120 h 442"/>
                                  <a:gd name="T86" fmla="*/ 174322823 w 805"/>
                                  <a:gd name="T87" fmla="*/ 176411190 h 442"/>
                                  <a:gd name="T88" fmla="*/ 312012329 w 805"/>
                                  <a:gd name="T89" fmla="*/ 178931349 h 442"/>
                                  <a:gd name="T90" fmla="*/ 340434443 w 805"/>
                                  <a:gd name="T91" fmla="*/ 53553605 h 442"/>
                                  <a:gd name="T92" fmla="*/ 330960405 w 805"/>
                                  <a:gd name="T93" fmla="*/ 120967689 h 442"/>
                                  <a:gd name="T94" fmla="*/ 312012329 w 805"/>
                                  <a:gd name="T95" fmla="*/ 178931349 h 442"/>
                                  <a:gd name="T96" fmla="*/ 334118683 w 805"/>
                                  <a:gd name="T97" fmla="*/ 178931349 h 442"/>
                                  <a:gd name="T98" fmla="*/ 353066759 w 805"/>
                                  <a:gd name="T99" fmla="*/ 128528166 h 442"/>
                                  <a:gd name="T100" fmla="*/ 476861165 w 805"/>
                                  <a:gd name="T101" fmla="*/ 216104341 h 442"/>
                                  <a:gd name="T102" fmla="*/ 452860163 w 805"/>
                                  <a:gd name="T103" fmla="*/ 242565615 h 442"/>
                                  <a:gd name="T104" fmla="*/ 418754103 w 805"/>
                                  <a:gd name="T105" fmla="*/ 255166411 h 442"/>
                                  <a:gd name="T106" fmla="*/ 387805427 w 805"/>
                                  <a:gd name="T107" fmla="*/ 252016014 h 442"/>
                                  <a:gd name="T108" fmla="*/ 349277461 w 805"/>
                                  <a:gd name="T109" fmla="*/ 226184978 h 442"/>
                                  <a:gd name="T110" fmla="*/ 367593723 w 805"/>
                                  <a:gd name="T111" fmla="*/ 199092622 h 442"/>
                                  <a:gd name="T112" fmla="*/ 421911586 w 805"/>
                                  <a:gd name="T113" fmla="*/ 195312780 h 442"/>
                                  <a:gd name="T114" fmla="*/ 418122289 w 805"/>
                                  <a:gd name="T115" fmla="*/ 175151507 h 442"/>
                                  <a:gd name="T116" fmla="*/ 402963411 w 805"/>
                                  <a:gd name="T117" fmla="*/ 103326550 h 442"/>
                                  <a:gd name="T118" fmla="*/ 455386626 w 805"/>
                                  <a:gd name="T119" fmla="*/ 117817291 h 442"/>
                                  <a:gd name="T120" fmla="*/ 476230145 w 805"/>
                                  <a:gd name="T121" fmla="*/ 140499517 h 442"/>
                                  <a:gd name="T122" fmla="*/ 486335203 w 805"/>
                                  <a:gd name="T123" fmla="*/ 175151507 h 442"/>
                                  <a:gd name="T124" fmla="*/ 479387628 w 805"/>
                                  <a:gd name="T125" fmla="*/ 211064023 h 44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 name="T189" fmla="*/ 0 w 805"/>
                                  <a:gd name="T190" fmla="*/ 0 h 442"/>
                                  <a:gd name="T191" fmla="*/ 805 w 805"/>
                                  <a:gd name="T192" fmla="*/ 442 h 442"/>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T189" t="T190" r="T191" b="T192"/>
                                <a:pathLst>
                                  <a:path w="805" h="442">
                                    <a:moveTo>
                                      <a:pt x="794" y="229"/>
                                    </a:moveTo>
                                    <a:lnTo>
                                      <a:pt x="794" y="229"/>
                                    </a:lnTo>
                                    <a:lnTo>
                                      <a:pt x="788" y="216"/>
                                    </a:lnTo>
                                    <a:lnTo>
                                      <a:pt x="781" y="203"/>
                                    </a:lnTo>
                                    <a:lnTo>
                                      <a:pt x="774" y="190"/>
                                    </a:lnTo>
                                    <a:lnTo>
                                      <a:pt x="764" y="180"/>
                                    </a:lnTo>
                                    <a:lnTo>
                                      <a:pt x="754" y="170"/>
                                    </a:lnTo>
                                    <a:lnTo>
                                      <a:pt x="743" y="160"/>
                                    </a:lnTo>
                                    <a:lnTo>
                                      <a:pt x="731" y="153"/>
                                    </a:lnTo>
                                    <a:lnTo>
                                      <a:pt x="719" y="146"/>
                                    </a:lnTo>
                                    <a:lnTo>
                                      <a:pt x="706" y="140"/>
                                    </a:lnTo>
                                    <a:lnTo>
                                      <a:pt x="692" y="135"/>
                                    </a:lnTo>
                                    <a:lnTo>
                                      <a:pt x="679" y="132"/>
                                    </a:lnTo>
                                    <a:lnTo>
                                      <a:pt x="665" y="130"/>
                                    </a:lnTo>
                                    <a:lnTo>
                                      <a:pt x="650" y="129"/>
                                    </a:lnTo>
                                    <a:lnTo>
                                      <a:pt x="635" y="130"/>
                                    </a:lnTo>
                                    <a:lnTo>
                                      <a:pt x="621" y="131"/>
                                    </a:lnTo>
                                    <a:lnTo>
                                      <a:pt x="606" y="135"/>
                                    </a:lnTo>
                                    <a:lnTo>
                                      <a:pt x="603" y="136"/>
                                    </a:lnTo>
                                    <a:lnTo>
                                      <a:pt x="600" y="136"/>
                                    </a:lnTo>
                                    <a:lnTo>
                                      <a:pt x="598" y="133"/>
                                    </a:lnTo>
                                    <a:lnTo>
                                      <a:pt x="597" y="130"/>
                                    </a:lnTo>
                                    <a:lnTo>
                                      <a:pt x="581" y="95"/>
                                    </a:lnTo>
                                    <a:lnTo>
                                      <a:pt x="564" y="60"/>
                                    </a:lnTo>
                                    <a:lnTo>
                                      <a:pt x="560" y="49"/>
                                    </a:lnTo>
                                    <a:lnTo>
                                      <a:pt x="532" y="64"/>
                                    </a:lnTo>
                                    <a:lnTo>
                                      <a:pt x="503" y="80"/>
                                    </a:lnTo>
                                    <a:lnTo>
                                      <a:pt x="430" y="280"/>
                                    </a:lnTo>
                                    <a:lnTo>
                                      <a:pt x="241" y="73"/>
                                    </a:lnTo>
                                    <a:lnTo>
                                      <a:pt x="365" y="73"/>
                                    </a:lnTo>
                                    <a:lnTo>
                                      <a:pt x="367" y="40"/>
                                    </a:lnTo>
                                    <a:lnTo>
                                      <a:pt x="254" y="40"/>
                                    </a:lnTo>
                                    <a:lnTo>
                                      <a:pt x="248" y="40"/>
                                    </a:lnTo>
                                    <a:lnTo>
                                      <a:pt x="260" y="0"/>
                                    </a:lnTo>
                                    <a:lnTo>
                                      <a:pt x="226" y="0"/>
                                    </a:lnTo>
                                    <a:lnTo>
                                      <a:pt x="224" y="5"/>
                                    </a:lnTo>
                                    <a:lnTo>
                                      <a:pt x="185" y="129"/>
                                    </a:lnTo>
                                    <a:lnTo>
                                      <a:pt x="184" y="133"/>
                                    </a:lnTo>
                                    <a:lnTo>
                                      <a:pt x="167" y="132"/>
                                    </a:lnTo>
                                    <a:lnTo>
                                      <a:pt x="151" y="131"/>
                                    </a:lnTo>
                                    <a:lnTo>
                                      <a:pt x="135" y="132"/>
                                    </a:lnTo>
                                    <a:lnTo>
                                      <a:pt x="121" y="135"/>
                                    </a:lnTo>
                                    <a:lnTo>
                                      <a:pt x="106" y="140"/>
                                    </a:lnTo>
                                    <a:lnTo>
                                      <a:pt x="93" y="144"/>
                                    </a:lnTo>
                                    <a:lnTo>
                                      <a:pt x="80" y="150"/>
                                    </a:lnTo>
                                    <a:lnTo>
                                      <a:pt x="67" y="158"/>
                                    </a:lnTo>
                                    <a:lnTo>
                                      <a:pt x="57" y="167"/>
                                    </a:lnTo>
                                    <a:lnTo>
                                      <a:pt x="46" y="176"/>
                                    </a:lnTo>
                                    <a:lnTo>
                                      <a:pt x="36" y="187"/>
                                    </a:lnTo>
                                    <a:lnTo>
                                      <a:pt x="27" y="198"/>
                                    </a:lnTo>
                                    <a:lnTo>
                                      <a:pt x="20" y="210"/>
                                    </a:lnTo>
                                    <a:lnTo>
                                      <a:pt x="13" y="223"/>
                                    </a:lnTo>
                                    <a:lnTo>
                                      <a:pt x="8" y="236"/>
                                    </a:lnTo>
                                    <a:lnTo>
                                      <a:pt x="3" y="250"/>
                                    </a:lnTo>
                                    <a:lnTo>
                                      <a:pt x="1" y="264"/>
                                    </a:lnTo>
                                    <a:lnTo>
                                      <a:pt x="0" y="279"/>
                                    </a:lnTo>
                                    <a:lnTo>
                                      <a:pt x="0" y="293"/>
                                    </a:lnTo>
                                    <a:lnTo>
                                      <a:pt x="1" y="307"/>
                                    </a:lnTo>
                                    <a:lnTo>
                                      <a:pt x="3" y="321"/>
                                    </a:lnTo>
                                    <a:lnTo>
                                      <a:pt x="7" y="335"/>
                                    </a:lnTo>
                                    <a:lnTo>
                                      <a:pt x="12" y="348"/>
                                    </a:lnTo>
                                    <a:lnTo>
                                      <a:pt x="18" y="360"/>
                                    </a:lnTo>
                                    <a:lnTo>
                                      <a:pt x="25" y="372"/>
                                    </a:lnTo>
                                    <a:lnTo>
                                      <a:pt x="34" y="383"/>
                                    </a:lnTo>
                                    <a:lnTo>
                                      <a:pt x="42" y="394"/>
                                    </a:lnTo>
                                    <a:lnTo>
                                      <a:pt x="53" y="404"/>
                                    </a:lnTo>
                                    <a:lnTo>
                                      <a:pt x="64" y="412"/>
                                    </a:lnTo>
                                    <a:lnTo>
                                      <a:pt x="76" y="421"/>
                                    </a:lnTo>
                                    <a:lnTo>
                                      <a:pt x="88" y="428"/>
                                    </a:lnTo>
                                    <a:lnTo>
                                      <a:pt x="103" y="433"/>
                                    </a:lnTo>
                                    <a:lnTo>
                                      <a:pt x="116" y="437"/>
                                    </a:lnTo>
                                    <a:lnTo>
                                      <a:pt x="130" y="441"/>
                                    </a:lnTo>
                                    <a:lnTo>
                                      <a:pt x="144" y="442"/>
                                    </a:lnTo>
                                    <a:lnTo>
                                      <a:pt x="158" y="442"/>
                                    </a:lnTo>
                                    <a:lnTo>
                                      <a:pt x="173" y="441"/>
                                    </a:lnTo>
                                    <a:lnTo>
                                      <a:pt x="186" y="440"/>
                                    </a:lnTo>
                                    <a:lnTo>
                                      <a:pt x="199" y="436"/>
                                    </a:lnTo>
                                    <a:lnTo>
                                      <a:pt x="213" y="431"/>
                                    </a:lnTo>
                                    <a:lnTo>
                                      <a:pt x="225" y="425"/>
                                    </a:lnTo>
                                    <a:lnTo>
                                      <a:pt x="237" y="418"/>
                                    </a:lnTo>
                                    <a:lnTo>
                                      <a:pt x="249" y="411"/>
                                    </a:lnTo>
                                    <a:lnTo>
                                      <a:pt x="260" y="401"/>
                                    </a:lnTo>
                                    <a:lnTo>
                                      <a:pt x="270" y="391"/>
                                    </a:lnTo>
                                    <a:lnTo>
                                      <a:pt x="279" y="381"/>
                                    </a:lnTo>
                                    <a:lnTo>
                                      <a:pt x="288" y="368"/>
                                    </a:lnTo>
                                    <a:lnTo>
                                      <a:pt x="295" y="355"/>
                                    </a:lnTo>
                                    <a:lnTo>
                                      <a:pt x="300" y="342"/>
                                    </a:lnTo>
                                    <a:lnTo>
                                      <a:pt x="305" y="328"/>
                                    </a:lnTo>
                                    <a:lnTo>
                                      <a:pt x="308" y="315"/>
                                    </a:lnTo>
                                    <a:lnTo>
                                      <a:pt x="310" y="302"/>
                                    </a:lnTo>
                                    <a:lnTo>
                                      <a:pt x="311" y="289"/>
                                    </a:lnTo>
                                    <a:lnTo>
                                      <a:pt x="310" y="275"/>
                                    </a:lnTo>
                                    <a:lnTo>
                                      <a:pt x="308" y="261"/>
                                    </a:lnTo>
                                    <a:lnTo>
                                      <a:pt x="305" y="247"/>
                                    </a:lnTo>
                                    <a:lnTo>
                                      <a:pt x="300" y="229"/>
                                    </a:lnTo>
                                    <a:lnTo>
                                      <a:pt x="293" y="213"/>
                                    </a:lnTo>
                                    <a:lnTo>
                                      <a:pt x="283" y="199"/>
                                    </a:lnTo>
                                    <a:lnTo>
                                      <a:pt x="273" y="186"/>
                                    </a:lnTo>
                                    <a:lnTo>
                                      <a:pt x="261" y="173"/>
                                    </a:lnTo>
                                    <a:lnTo>
                                      <a:pt x="248" y="161"/>
                                    </a:lnTo>
                                    <a:lnTo>
                                      <a:pt x="232" y="152"/>
                                    </a:lnTo>
                                    <a:lnTo>
                                      <a:pt x="216" y="143"/>
                                    </a:lnTo>
                                    <a:lnTo>
                                      <a:pt x="227" y="108"/>
                                    </a:lnTo>
                                    <a:lnTo>
                                      <a:pt x="230" y="112"/>
                                    </a:lnTo>
                                    <a:lnTo>
                                      <a:pt x="358" y="253"/>
                                    </a:lnTo>
                                    <a:lnTo>
                                      <a:pt x="403" y="303"/>
                                    </a:lnTo>
                                    <a:lnTo>
                                      <a:pt x="408" y="307"/>
                                    </a:lnTo>
                                    <a:lnTo>
                                      <a:pt x="413" y="310"/>
                                    </a:lnTo>
                                    <a:lnTo>
                                      <a:pt x="420" y="313"/>
                                    </a:lnTo>
                                    <a:lnTo>
                                      <a:pt x="426" y="315"/>
                                    </a:lnTo>
                                    <a:lnTo>
                                      <a:pt x="445" y="315"/>
                                    </a:lnTo>
                                    <a:lnTo>
                                      <a:pt x="496" y="315"/>
                                    </a:lnTo>
                                    <a:lnTo>
                                      <a:pt x="497" y="321"/>
                                    </a:lnTo>
                                    <a:lnTo>
                                      <a:pt x="502" y="335"/>
                                    </a:lnTo>
                                    <a:lnTo>
                                      <a:pt x="507" y="349"/>
                                    </a:lnTo>
                                    <a:lnTo>
                                      <a:pt x="514" y="361"/>
                                    </a:lnTo>
                                    <a:lnTo>
                                      <a:pt x="522" y="373"/>
                                    </a:lnTo>
                                    <a:lnTo>
                                      <a:pt x="530" y="384"/>
                                    </a:lnTo>
                                    <a:lnTo>
                                      <a:pt x="540" y="395"/>
                                    </a:lnTo>
                                    <a:lnTo>
                                      <a:pt x="551" y="405"/>
                                    </a:lnTo>
                                    <a:lnTo>
                                      <a:pt x="562" y="413"/>
                                    </a:lnTo>
                                    <a:lnTo>
                                      <a:pt x="574" y="421"/>
                                    </a:lnTo>
                                    <a:lnTo>
                                      <a:pt x="586" y="427"/>
                                    </a:lnTo>
                                    <a:lnTo>
                                      <a:pt x="599" y="431"/>
                                    </a:lnTo>
                                    <a:lnTo>
                                      <a:pt x="612" y="435"/>
                                    </a:lnTo>
                                    <a:lnTo>
                                      <a:pt x="626" y="439"/>
                                    </a:lnTo>
                                    <a:lnTo>
                                      <a:pt x="640" y="440"/>
                                    </a:lnTo>
                                    <a:lnTo>
                                      <a:pt x="655" y="440"/>
                                    </a:lnTo>
                                    <a:lnTo>
                                      <a:pt x="669" y="439"/>
                                    </a:lnTo>
                                    <a:lnTo>
                                      <a:pt x="688" y="435"/>
                                    </a:lnTo>
                                    <a:lnTo>
                                      <a:pt x="706" y="429"/>
                                    </a:lnTo>
                                    <a:lnTo>
                                      <a:pt x="721" y="422"/>
                                    </a:lnTo>
                                    <a:lnTo>
                                      <a:pt x="736" y="413"/>
                                    </a:lnTo>
                                    <a:lnTo>
                                      <a:pt x="750" y="402"/>
                                    </a:lnTo>
                                    <a:lnTo>
                                      <a:pt x="763" y="391"/>
                                    </a:lnTo>
                                    <a:lnTo>
                                      <a:pt x="774" y="378"/>
                                    </a:lnTo>
                                    <a:lnTo>
                                      <a:pt x="783" y="364"/>
                                    </a:lnTo>
                                    <a:lnTo>
                                      <a:pt x="790" y="349"/>
                                    </a:lnTo>
                                    <a:lnTo>
                                      <a:pt x="797" y="333"/>
                                    </a:lnTo>
                                    <a:lnTo>
                                      <a:pt x="801" y="316"/>
                                    </a:lnTo>
                                    <a:lnTo>
                                      <a:pt x="804" y="299"/>
                                    </a:lnTo>
                                    <a:lnTo>
                                      <a:pt x="805" y="282"/>
                                    </a:lnTo>
                                    <a:lnTo>
                                      <a:pt x="804" y="264"/>
                                    </a:lnTo>
                                    <a:lnTo>
                                      <a:pt x="800" y="246"/>
                                    </a:lnTo>
                                    <a:lnTo>
                                      <a:pt x="794" y="229"/>
                                    </a:lnTo>
                                    <a:close/>
                                    <a:moveTo>
                                      <a:pt x="270" y="327"/>
                                    </a:moveTo>
                                    <a:lnTo>
                                      <a:pt x="270" y="327"/>
                                    </a:lnTo>
                                    <a:lnTo>
                                      <a:pt x="265" y="338"/>
                                    </a:lnTo>
                                    <a:lnTo>
                                      <a:pt x="259" y="349"/>
                                    </a:lnTo>
                                    <a:lnTo>
                                      <a:pt x="253" y="359"/>
                                    </a:lnTo>
                                    <a:lnTo>
                                      <a:pt x="245" y="368"/>
                                    </a:lnTo>
                                    <a:lnTo>
                                      <a:pt x="237" y="377"/>
                                    </a:lnTo>
                                    <a:lnTo>
                                      <a:pt x="229" y="384"/>
                                    </a:lnTo>
                                    <a:lnTo>
                                      <a:pt x="219" y="390"/>
                                    </a:lnTo>
                                    <a:lnTo>
                                      <a:pt x="208" y="396"/>
                                    </a:lnTo>
                                    <a:lnTo>
                                      <a:pt x="198" y="400"/>
                                    </a:lnTo>
                                    <a:lnTo>
                                      <a:pt x="187" y="404"/>
                                    </a:lnTo>
                                    <a:lnTo>
                                      <a:pt x="176" y="406"/>
                                    </a:lnTo>
                                    <a:lnTo>
                                      <a:pt x="164" y="408"/>
                                    </a:lnTo>
                                    <a:lnTo>
                                      <a:pt x="153" y="408"/>
                                    </a:lnTo>
                                    <a:lnTo>
                                      <a:pt x="141" y="407"/>
                                    </a:lnTo>
                                    <a:lnTo>
                                      <a:pt x="129" y="406"/>
                                    </a:lnTo>
                                    <a:lnTo>
                                      <a:pt x="118" y="402"/>
                                    </a:lnTo>
                                    <a:lnTo>
                                      <a:pt x="106" y="398"/>
                                    </a:lnTo>
                                    <a:lnTo>
                                      <a:pt x="95" y="393"/>
                                    </a:lnTo>
                                    <a:lnTo>
                                      <a:pt x="86" y="387"/>
                                    </a:lnTo>
                                    <a:lnTo>
                                      <a:pt x="76" y="379"/>
                                    </a:lnTo>
                                    <a:lnTo>
                                      <a:pt x="67" y="371"/>
                                    </a:lnTo>
                                    <a:lnTo>
                                      <a:pt x="60" y="362"/>
                                    </a:lnTo>
                                    <a:lnTo>
                                      <a:pt x="53" y="353"/>
                                    </a:lnTo>
                                    <a:lnTo>
                                      <a:pt x="48" y="343"/>
                                    </a:lnTo>
                                    <a:lnTo>
                                      <a:pt x="43" y="333"/>
                                    </a:lnTo>
                                    <a:lnTo>
                                      <a:pt x="38" y="322"/>
                                    </a:lnTo>
                                    <a:lnTo>
                                      <a:pt x="36" y="312"/>
                                    </a:lnTo>
                                    <a:lnTo>
                                      <a:pt x="35" y="299"/>
                                    </a:lnTo>
                                    <a:lnTo>
                                      <a:pt x="34" y="287"/>
                                    </a:lnTo>
                                    <a:lnTo>
                                      <a:pt x="35" y="276"/>
                                    </a:lnTo>
                                    <a:lnTo>
                                      <a:pt x="36" y="264"/>
                                    </a:lnTo>
                                    <a:lnTo>
                                      <a:pt x="40" y="252"/>
                                    </a:lnTo>
                                    <a:lnTo>
                                      <a:pt x="43" y="240"/>
                                    </a:lnTo>
                                    <a:lnTo>
                                      <a:pt x="48" y="229"/>
                                    </a:lnTo>
                                    <a:lnTo>
                                      <a:pt x="54" y="219"/>
                                    </a:lnTo>
                                    <a:lnTo>
                                      <a:pt x="60" y="211"/>
                                    </a:lnTo>
                                    <a:lnTo>
                                      <a:pt x="67" y="203"/>
                                    </a:lnTo>
                                    <a:lnTo>
                                      <a:pt x="76" y="195"/>
                                    </a:lnTo>
                                    <a:lnTo>
                                      <a:pt x="84" y="188"/>
                                    </a:lnTo>
                                    <a:lnTo>
                                      <a:pt x="93" y="183"/>
                                    </a:lnTo>
                                    <a:lnTo>
                                      <a:pt x="103" y="177"/>
                                    </a:lnTo>
                                    <a:lnTo>
                                      <a:pt x="112" y="173"/>
                                    </a:lnTo>
                                    <a:lnTo>
                                      <a:pt x="122" y="170"/>
                                    </a:lnTo>
                                    <a:lnTo>
                                      <a:pt x="132" y="167"/>
                                    </a:lnTo>
                                    <a:lnTo>
                                      <a:pt x="143" y="166"/>
                                    </a:lnTo>
                                    <a:lnTo>
                                      <a:pt x="152" y="166"/>
                                    </a:lnTo>
                                    <a:lnTo>
                                      <a:pt x="163" y="166"/>
                                    </a:lnTo>
                                    <a:lnTo>
                                      <a:pt x="173" y="167"/>
                                    </a:lnTo>
                                    <a:lnTo>
                                      <a:pt x="164" y="195"/>
                                    </a:lnTo>
                                    <a:lnTo>
                                      <a:pt x="140" y="272"/>
                                    </a:lnTo>
                                    <a:lnTo>
                                      <a:pt x="139" y="279"/>
                                    </a:lnTo>
                                    <a:lnTo>
                                      <a:pt x="139" y="286"/>
                                    </a:lnTo>
                                    <a:lnTo>
                                      <a:pt x="140" y="291"/>
                                    </a:lnTo>
                                    <a:lnTo>
                                      <a:pt x="143" y="296"/>
                                    </a:lnTo>
                                    <a:lnTo>
                                      <a:pt x="146" y="298"/>
                                    </a:lnTo>
                                    <a:lnTo>
                                      <a:pt x="151" y="301"/>
                                    </a:lnTo>
                                    <a:lnTo>
                                      <a:pt x="156" y="301"/>
                                    </a:lnTo>
                                    <a:lnTo>
                                      <a:pt x="161" y="301"/>
                                    </a:lnTo>
                                    <a:lnTo>
                                      <a:pt x="164" y="297"/>
                                    </a:lnTo>
                                    <a:lnTo>
                                      <a:pt x="168" y="292"/>
                                    </a:lnTo>
                                    <a:lnTo>
                                      <a:pt x="176" y="268"/>
                                    </a:lnTo>
                                    <a:lnTo>
                                      <a:pt x="185" y="242"/>
                                    </a:lnTo>
                                    <a:lnTo>
                                      <a:pt x="204" y="182"/>
                                    </a:lnTo>
                                    <a:lnTo>
                                      <a:pt x="205" y="177"/>
                                    </a:lnTo>
                                    <a:lnTo>
                                      <a:pt x="215" y="182"/>
                                    </a:lnTo>
                                    <a:lnTo>
                                      <a:pt x="225" y="188"/>
                                    </a:lnTo>
                                    <a:lnTo>
                                      <a:pt x="233" y="194"/>
                                    </a:lnTo>
                                    <a:lnTo>
                                      <a:pt x="241" y="201"/>
                                    </a:lnTo>
                                    <a:lnTo>
                                      <a:pt x="248" y="210"/>
                                    </a:lnTo>
                                    <a:lnTo>
                                      <a:pt x="255" y="218"/>
                                    </a:lnTo>
                                    <a:lnTo>
                                      <a:pt x="261" y="228"/>
                                    </a:lnTo>
                                    <a:lnTo>
                                      <a:pt x="266" y="238"/>
                                    </a:lnTo>
                                    <a:lnTo>
                                      <a:pt x="270" y="247"/>
                                    </a:lnTo>
                                    <a:lnTo>
                                      <a:pt x="273" y="258"/>
                                    </a:lnTo>
                                    <a:lnTo>
                                      <a:pt x="275" y="269"/>
                                    </a:lnTo>
                                    <a:lnTo>
                                      <a:pt x="276" y="280"/>
                                    </a:lnTo>
                                    <a:lnTo>
                                      <a:pt x="276" y="292"/>
                                    </a:lnTo>
                                    <a:lnTo>
                                      <a:pt x="275" y="303"/>
                                    </a:lnTo>
                                    <a:lnTo>
                                      <a:pt x="273" y="315"/>
                                    </a:lnTo>
                                    <a:lnTo>
                                      <a:pt x="270" y="327"/>
                                    </a:lnTo>
                                    <a:close/>
                                    <a:moveTo>
                                      <a:pt x="494" y="284"/>
                                    </a:moveTo>
                                    <a:lnTo>
                                      <a:pt x="494" y="284"/>
                                    </a:lnTo>
                                    <a:lnTo>
                                      <a:pt x="479" y="284"/>
                                    </a:lnTo>
                                    <a:lnTo>
                                      <a:pt x="463" y="284"/>
                                    </a:lnTo>
                                    <a:lnTo>
                                      <a:pt x="539" y="85"/>
                                    </a:lnTo>
                                    <a:lnTo>
                                      <a:pt x="569" y="150"/>
                                    </a:lnTo>
                                    <a:lnTo>
                                      <a:pt x="552" y="164"/>
                                    </a:lnTo>
                                    <a:lnTo>
                                      <a:pt x="537" y="177"/>
                                    </a:lnTo>
                                    <a:lnTo>
                                      <a:pt x="524" y="192"/>
                                    </a:lnTo>
                                    <a:lnTo>
                                      <a:pt x="514" y="207"/>
                                    </a:lnTo>
                                    <a:lnTo>
                                      <a:pt x="506" y="224"/>
                                    </a:lnTo>
                                    <a:lnTo>
                                      <a:pt x="500" y="242"/>
                                    </a:lnTo>
                                    <a:lnTo>
                                      <a:pt x="495" y="263"/>
                                    </a:lnTo>
                                    <a:lnTo>
                                      <a:pt x="494" y="284"/>
                                    </a:lnTo>
                                    <a:close/>
                                    <a:moveTo>
                                      <a:pt x="583" y="183"/>
                                    </a:moveTo>
                                    <a:lnTo>
                                      <a:pt x="583" y="183"/>
                                    </a:lnTo>
                                    <a:lnTo>
                                      <a:pt x="628" y="284"/>
                                    </a:lnTo>
                                    <a:lnTo>
                                      <a:pt x="529" y="284"/>
                                    </a:lnTo>
                                    <a:lnTo>
                                      <a:pt x="529" y="270"/>
                                    </a:lnTo>
                                    <a:lnTo>
                                      <a:pt x="531" y="257"/>
                                    </a:lnTo>
                                    <a:lnTo>
                                      <a:pt x="535" y="242"/>
                                    </a:lnTo>
                                    <a:lnTo>
                                      <a:pt x="541" y="229"/>
                                    </a:lnTo>
                                    <a:lnTo>
                                      <a:pt x="549" y="216"/>
                                    </a:lnTo>
                                    <a:lnTo>
                                      <a:pt x="559" y="204"/>
                                    </a:lnTo>
                                    <a:lnTo>
                                      <a:pt x="570" y="193"/>
                                    </a:lnTo>
                                    <a:lnTo>
                                      <a:pt x="583" y="183"/>
                                    </a:lnTo>
                                    <a:close/>
                                    <a:moveTo>
                                      <a:pt x="759" y="335"/>
                                    </a:moveTo>
                                    <a:lnTo>
                                      <a:pt x="759" y="335"/>
                                    </a:lnTo>
                                    <a:lnTo>
                                      <a:pt x="755" y="343"/>
                                    </a:lnTo>
                                    <a:lnTo>
                                      <a:pt x="750" y="351"/>
                                    </a:lnTo>
                                    <a:lnTo>
                                      <a:pt x="744" y="359"/>
                                    </a:lnTo>
                                    <a:lnTo>
                                      <a:pt x="738" y="366"/>
                                    </a:lnTo>
                                    <a:lnTo>
                                      <a:pt x="731" y="373"/>
                                    </a:lnTo>
                                    <a:lnTo>
                                      <a:pt x="724" y="379"/>
                                    </a:lnTo>
                                    <a:lnTo>
                                      <a:pt x="717" y="385"/>
                                    </a:lnTo>
                                    <a:lnTo>
                                      <a:pt x="708" y="390"/>
                                    </a:lnTo>
                                    <a:lnTo>
                                      <a:pt x="700" y="394"/>
                                    </a:lnTo>
                                    <a:lnTo>
                                      <a:pt x="691" y="398"/>
                                    </a:lnTo>
                                    <a:lnTo>
                                      <a:pt x="681" y="401"/>
                                    </a:lnTo>
                                    <a:lnTo>
                                      <a:pt x="673" y="404"/>
                                    </a:lnTo>
                                    <a:lnTo>
                                      <a:pt x="663" y="405"/>
                                    </a:lnTo>
                                    <a:lnTo>
                                      <a:pt x="654" y="406"/>
                                    </a:lnTo>
                                    <a:lnTo>
                                      <a:pt x="644" y="406"/>
                                    </a:lnTo>
                                    <a:lnTo>
                                      <a:pt x="634" y="405"/>
                                    </a:lnTo>
                                    <a:lnTo>
                                      <a:pt x="623" y="402"/>
                                    </a:lnTo>
                                    <a:lnTo>
                                      <a:pt x="614" y="400"/>
                                    </a:lnTo>
                                    <a:lnTo>
                                      <a:pt x="604" y="398"/>
                                    </a:lnTo>
                                    <a:lnTo>
                                      <a:pt x="595" y="393"/>
                                    </a:lnTo>
                                    <a:lnTo>
                                      <a:pt x="587" y="389"/>
                                    </a:lnTo>
                                    <a:lnTo>
                                      <a:pt x="580" y="383"/>
                                    </a:lnTo>
                                    <a:lnTo>
                                      <a:pt x="565" y="372"/>
                                    </a:lnTo>
                                    <a:lnTo>
                                      <a:pt x="553" y="359"/>
                                    </a:lnTo>
                                    <a:lnTo>
                                      <a:pt x="545" y="345"/>
                                    </a:lnTo>
                                    <a:lnTo>
                                      <a:pt x="537" y="331"/>
                                    </a:lnTo>
                                    <a:lnTo>
                                      <a:pt x="532" y="316"/>
                                    </a:lnTo>
                                    <a:lnTo>
                                      <a:pt x="582" y="316"/>
                                    </a:lnTo>
                                    <a:lnTo>
                                      <a:pt x="654" y="315"/>
                                    </a:lnTo>
                                    <a:lnTo>
                                      <a:pt x="658" y="315"/>
                                    </a:lnTo>
                                    <a:lnTo>
                                      <a:pt x="665" y="313"/>
                                    </a:lnTo>
                                    <a:lnTo>
                                      <a:pt x="668" y="310"/>
                                    </a:lnTo>
                                    <a:lnTo>
                                      <a:pt x="669" y="308"/>
                                    </a:lnTo>
                                    <a:lnTo>
                                      <a:pt x="671" y="305"/>
                                    </a:lnTo>
                                    <a:lnTo>
                                      <a:pt x="671" y="302"/>
                                    </a:lnTo>
                                    <a:lnTo>
                                      <a:pt x="669" y="295"/>
                                    </a:lnTo>
                                    <a:lnTo>
                                      <a:pt x="662" y="278"/>
                                    </a:lnTo>
                                    <a:lnTo>
                                      <a:pt x="655" y="259"/>
                                    </a:lnTo>
                                    <a:lnTo>
                                      <a:pt x="614" y="170"/>
                                    </a:lnTo>
                                    <a:lnTo>
                                      <a:pt x="625" y="166"/>
                                    </a:lnTo>
                                    <a:lnTo>
                                      <a:pt x="638" y="164"/>
                                    </a:lnTo>
                                    <a:lnTo>
                                      <a:pt x="652" y="164"/>
                                    </a:lnTo>
                                    <a:lnTo>
                                      <a:pt x="667" y="165"/>
                                    </a:lnTo>
                                    <a:lnTo>
                                      <a:pt x="683" y="169"/>
                                    </a:lnTo>
                                    <a:lnTo>
                                      <a:pt x="698" y="173"/>
                                    </a:lnTo>
                                    <a:lnTo>
                                      <a:pt x="714" y="182"/>
                                    </a:lnTo>
                                    <a:lnTo>
                                      <a:pt x="721" y="187"/>
                                    </a:lnTo>
                                    <a:lnTo>
                                      <a:pt x="729" y="193"/>
                                    </a:lnTo>
                                    <a:lnTo>
                                      <a:pt x="736" y="200"/>
                                    </a:lnTo>
                                    <a:lnTo>
                                      <a:pt x="742" y="207"/>
                                    </a:lnTo>
                                    <a:lnTo>
                                      <a:pt x="748" y="215"/>
                                    </a:lnTo>
                                    <a:lnTo>
                                      <a:pt x="754" y="223"/>
                                    </a:lnTo>
                                    <a:lnTo>
                                      <a:pt x="758" y="232"/>
                                    </a:lnTo>
                                    <a:lnTo>
                                      <a:pt x="761" y="240"/>
                                    </a:lnTo>
                                    <a:lnTo>
                                      <a:pt x="765" y="250"/>
                                    </a:lnTo>
                                    <a:lnTo>
                                      <a:pt x="767" y="258"/>
                                    </a:lnTo>
                                    <a:lnTo>
                                      <a:pt x="769" y="268"/>
                                    </a:lnTo>
                                    <a:lnTo>
                                      <a:pt x="770" y="278"/>
                                    </a:lnTo>
                                    <a:lnTo>
                                      <a:pt x="770" y="287"/>
                                    </a:lnTo>
                                    <a:lnTo>
                                      <a:pt x="770" y="297"/>
                                    </a:lnTo>
                                    <a:lnTo>
                                      <a:pt x="769" y="307"/>
                                    </a:lnTo>
                                    <a:lnTo>
                                      <a:pt x="766" y="315"/>
                                    </a:lnTo>
                                    <a:lnTo>
                                      <a:pt x="764" y="325"/>
                                    </a:lnTo>
                                    <a:lnTo>
                                      <a:pt x="759" y="335"/>
                                    </a:lnTo>
                                    <a:close/>
                                  </a:path>
                                </a:pathLst>
                              </a:custGeom>
                              <a:solidFill>
                                <a:srgbClr val="92D050"/>
                              </a:solidFill>
                              <a:ln w="9525">
                                <a:noFill/>
                                <a:round/>
                                <a:headEnd/>
                                <a:tailEnd/>
                              </a:ln>
                            </wps:spPr>
                            <wps:bodyPr/>
                          </wps:wsp>
                        </wpg:grpSp>
                        <wps:wsp>
                          <wps:cNvPr id="148" name="pole tekstowe 104">
                            <a:extLst>
                              <a:ext uri="{FF2B5EF4-FFF2-40B4-BE49-F238E27FC236}">
                                <a16:creationId xmlns:a16="http://schemas.microsoft.com/office/drawing/2014/main" id="{1F002A50-0C57-4C50-AB76-B9985733B110}"/>
                              </a:ext>
                            </a:extLst>
                          </wps:cNvPr>
                          <wps:cNvSpPr txBox="1"/>
                          <wps:spPr>
                            <a:xfrm>
                              <a:off x="0" y="0"/>
                              <a:ext cx="1100589" cy="1129670"/>
                            </a:xfrm>
                            <a:prstGeom prst="rect">
                              <a:avLst/>
                            </a:prstGeom>
                            <a:noFill/>
                          </wps:spPr>
                          <wps:txbx>
                            <w:txbxContent>
                              <w:p w14:paraId="730B1119" w14:textId="77777777" w:rsidR="00D22FE8" w:rsidRDefault="00D22FE8" w:rsidP="00F25738">
                                <w:pPr>
                                  <w:pStyle w:val="NormalnyWeb"/>
                                  <w:spacing w:after="0"/>
                                  <w:jc w:val="center"/>
                                </w:pPr>
                                <w:r>
                                  <w:rPr>
                                    <w:rFonts w:asciiTheme="minorHAnsi" w:hAnsi="Calibri" w:cstheme="minorBidi"/>
                                    <w:b/>
                                    <w:bCs/>
                                    <w:color w:val="FFC000" w:themeColor="accent4"/>
                                    <w:kern w:val="24"/>
                                    <w:sz w:val="32"/>
                                    <w:szCs w:val="32"/>
                                  </w:rPr>
                                  <w:t>2,0%</w:t>
                                </w:r>
                              </w:p>
                              <w:p w14:paraId="0A9BDFA0" w14:textId="77777777" w:rsidR="00D22FE8" w:rsidRPr="00095124" w:rsidRDefault="00D22FE8" w:rsidP="00F25738">
                                <w:pPr>
                                  <w:pStyle w:val="NormalnyWeb"/>
                                  <w:spacing w:after="0"/>
                                  <w:jc w:val="center"/>
                                  <w:rPr>
                                    <w:color w:val="767171" w:themeColor="background2" w:themeShade="80"/>
                                  </w:rPr>
                                </w:pPr>
                                <w:r w:rsidRPr="00095124">
                                  <w:rPr>
                                    <w:rFonts w:ascii="Arial" w:hAnsi="Arial" w:cs="Arial"/>
                                    <w:b/>
                                    <w:bCs/>
                                    <w:color w:val="767171" w:themeColor="background2" w:themeShade="80"/>
                                    <w:kern w:val="24"/>
                                    <w:sz w:val="32"/>
                                    <w:szCs w:val="32"/>
                                  </w:rPr>
                                  <w:t>2,5%</w:t>
                                </w:r>
                              </w:p>
                              <w:p w14:paraId="18DEB433" w14:textId="77777777" w:rsidR="00D22FE8" w:rsidRDefault="00D22FE8" w:rsidP="00F25738">
                                <w:pPr>
                                  <w:pStyle w:val="NormalnyWeb"/>
                                  <w:spacing w:after="0"/>
                                  <w:jc w:val="center"/>
                                </w:pPr>
                                <w:r>
                                  <w:rPr>
                                    <w:rFonts w:ascii="Arial" w:hAnsi="Arial" w:cs="Arial"/>
                                    <w:b/>
                                    <w:bCs/>
                                    <w:color w:val="F47320"/>
                                    <w:kern w:val="24"/>
                                    <w:sz w:val="32"/>
                                    <w:szCs w:val="32"/>
                                  </w:rPr>
                                  <w:t>0,3%</w:t>
                                </w:r>
                              </w:p>
                              <w:p w14:paraId="32B3CF69" w14:textId="77777777" w:rsidR="00D22FE8" w:rsidRDefault="00D22FE8" w:rsidP="00F25738">
                                <w:pPr>
                                  <w:pStyle w:val="NormalnyWeb"/>
                                  <w:spacing w:after="0"/>
                                  <w:jc w:val="center"/>
                                </w:pPr>
                                <w:r>
                                  <w:rPr>
                                    <w:rFonts w:asciiTheme="minorHAnsi" w:hAnsi="Calibri" w:cstheme="minorBidi"/>
                                    <w:color w:val="000000" w:themeColor="text1"/>
                                    <w:kern w:val="24"/>
                                    <w:sz w:val="21"/>
                                    <w:szCs w:val="21"/>
                                  </w:rPr>
                                  <w:t>rower</w:t>
                                </w:r>
                              </w:p>
                            </w:txbxContent>
                          </wps:txbx>
                          <wps:bodyPr wrap="square">
                            <a:noAutofit/>
                          </wps:bodyPr>
                        </wps:wsp>
                      </wpg:grpSp>
                      <wpg:grpSp>
                        <wpg:cNvPr id="150" name="Grupa 150"/>
                        <wpg:cNvGrpSpPr/>
                        <wpg:grpSpPr>
                          <a:xfrm>
                            <a:off x="3114675" y="514349"/>
                            <a:ext cx="1136952" cy="2377787"/>
                            <a:chOff x="0" y="-1"/>
                            <a:chExt cx="1136952" cy="2377787"/>
                          </a:xfrm>
                        </wpg:grpSpPr>
                        <wps:wsp>
                          <wps:cNvPr id="151" name="pole tekstowe 111">
                            <a:extLst>
                              <a:ext uri="{FF2B5EF4-FFF2-40B4-BE49-F238E27FC236}">
                                <a16:creationId xmlns:a16="http://schemas.microsoft.com/office/drawing/2014/main" id="{BDC1F9DB-E7CC-4899-9319-975B265A7ECA}"/>
                              </a:ext>
                            </a:extLst>
                          </wps:cNvPr>
                          <wps:cNvSpPr txBox="1"/>
                          <wps:spPr>
                            <a:xfrm>
                              <a:off x="0" y="-1"/>
                              <a:ext cx="1136952" cy="1180062"/>
                            </a:xfrm>
                            <a:prstGeom prst="rect">
                              <a:avLst/>
                            </a:prstGeom>
                            <a:noFill/>
                          </wps:spPr>
                          <wps:txbx>
                            <w:txbxContent>
                              <w:p w14:paraId="3728C28A" w14:textId="77777777" w:rsidR="00D22FE8" w:rsidRDefault="00D22FE8" w:rsidP="00F25738">
                                <w:pPr>
                                  <w:pStyle w:val="NormalnyWeb"/>
                                  <w:spacing w:after="0"/>
                                  <w:jc w:val="center"/>
                                </w:pPr>
                                <w:r>
                                  <w:rPr>
                                    <w:rFonts w:asciiTheme="minorHAnsi" w:hAnsi="Calibri" w:cstheme="minorBidi"/>
                                    <w:b/>
                                    <w:bCs/>
                                    <w:color w:val="FFC000" w:themeColor="accent4"/>
                                    <w:kern w:val="24"/>
                                    <w:sz w:val="32"/>
                                    <w:szCs w:val="32"/>
                                  </w:rPr>
                                  <w:t>25,3%</w:t>
                                </w:r>
                              </w:p>
                              <w:p w14:paraId="31BC0858" w14:textId="77777777" w:rsidR="00D22FE8" w:rsidRPr="00095124" w:rsidRDefault="00D22FE8" w:rsidP="00F25738">
                                <w:pPr>
                                  <w:pStyle w:val="NormalnyWeb"/>
                                  <w:spacing w:after="0"/>
                                  <w:jc w:val="center"/>
                                  <w:rPr>
                                    <w:color w:val="767171" w:themeColor="background2" w:themeShade="80"/>
                                  </w:rPr>
                                </w:pPr>
                                <w:r w:rsidRPr="00095124">
                                  <w:rPr>
                                    <w:rFonts w:asciiTheme="minorHAnsi" w:hAnsi="Calibri" w:cstheme="minorBidi"/>
                                    <w:b/>
                                    <w:bCs/>
                                    <w:color w:val="767171" w:themeColor="background2" w:themeShade="80"/>
                                    <w:kern w:val="24"/>
                                    <w:sz w:val="32"/>
                                    <w:szCs w:val="32"/>
                                  </w:rPr>
                                  <w:t>21,4%</w:t>
                                </w:r>
                              </w:p>
                              <w:p w14:paraId="1598D424" w14:textId="77777777" w:rsidR="00D22FE8" w:rsidRDefault="00D22FE8" w:rsidP="00F25738">
                                <w:pPr>
                                  <w:pStyle w:val="NormalnyWeb"/>
                                  <w:spacing w:after="0"/>
                                  <w:jc w:val="center"/>
                                </w:pPr>
                                <w:r>
                                  <w:rPr>
                                    <w:rFonts w:asciiTheme="minorHAnsi" w:hAnsi="Calibri" w:cstheme="minorBidi"/>
                                    <w:b/>
                                    <w:bCs/>
                                    <w:color w:val="F47320"/>
                                    <w:kern w:val="24"/>
                                    <w:sz w:val="32"/>
                                    <w:szCs w:val="32"/>
                                  </w:rPr>
                                  <w:t>50,3%</w:t>
                                </w:r>
                              </w:p>
                              <w:p w14:paraId="230F1716" w14:textId="77777777" w:rsidR="00D22FE8" w:rsidRDefault="00D22FE8" w:rsidP="00F25738">
                                <w:pPr>
                                  <w:pStyle w:val="NormalnyWeb"/>
                                  <w:spacing w:after="0"/>
                                  <w:jc w:val="center"/>
                                </w:pPr>
                                <w:r>
                                  <w:rPr>
                                    <w:rFonts w:asciiTheme="minorHAnsi" w:hAnsi="Calibri" w:cstheme="minorBidi"/>
                                    <w:color w:val="000000" w:themeColor="text1"/>
                                    <w:kern w:val="24"/>
                                    <w:sz w:val="21"/>
                                    <w:szCs w:val="21"/>
                                  </w:rPr>
                                  <w:t>pieszo</w:t>
                                </w:r>
                              </w:p>
                            </w:txbxContent>
                          </wps:txbx>
                          <wps:bodyPr wrap="square">
                            <a:noAutofit/>
                          </wps:bodyPr>
                        </wps:wsp>
                        <wpg:grpSp>
                          <wpg:cNvPr id="152" name="Grupa 152">
                            <a:extLst>
                              <a:ext uri="{FF2B5EF4-FFF2-40B4-BE49-F238E27FC236}">
                                <a16:creationId xmlns:a16="http://schemas.microsoft.com/office/drawing/2014/main" id="{EFB81E41-C337-4B70-B63B-5C10C1C18C5F}"/>
                              </a:ext>
                            </a:extLst>
                          </wpg:cNvPr>
                          <wpg:cNvGrpSpPr>
                            <a:grpSpLocks noChangeAspect="1"/>
                          </wpg:cNvGrpSpPr>
                          <wpg:grpSpPr>
                            <a:xfrm>
                              <a:off x="438150" y="1876425"/>
                              <a:ext cx="203494" cy="501361"/>
                              <a:chOff x="4659164" y="2778839"/>
                              <a:chExt cx="310924" cy="640923"/>
                            </a:xfrm>
                            <a:solidFill>
                              <a:srgbClr val="F47320"/>
                            </a:solidFill>
                            <a:effectLst/>
                          </wpg:grpSpPr>
                          <wps:wsp>
                            <wps:cNvPr id="153" name="Freeform 41">
                              <a:extLst>
                                <a:ext uri="{FF2B5EF4-FFF2-40B4-BE49-F238E27FC236}">
                                  <a16:creationId xmlns:a16="http://schemas.microsoft.com/office/drawing/2014/main" id="{F67FE9AF-1311-46A6-9CDA-EAFE1AC19B75}"/>
                                </a:ext>
                              </a:extLst>
                            </wps:cNvPr>
                            <wps:cNvSpPr>
                              <a:spLocks/>
                            </wps:cNvSpPr>
                            <wps:spPr bwMode="auto">
                              <a:xfrm>
                                <a:off x="4672517" y="3184185"/>
                                <a:ext cx="119220" cy="235577"/>
                              </a:xfrm>
                              <a:custGeom>
                                <a:avLst/>
                                <a:gdLst>
                                  <a:gd name="T0" fmla="*/ 294 w 500"/>
                                  <a:gd name="T1" fmla="*/ 0 h 988"/>
                                  <a:gd name="T2" fmla="*/ 8 w 500"/>
                                  <a:gd name="T3" fmla="*/ 786 h 988"/>
                                  <a:gd name="T4" fmla="*/ 8 w 500"/>
                                  <a:gd name="T5" fmla="*/ 786 h 988"/>
                                  <a:gd name="T6" fmla="*/ 4 w 500"/>
                                  <a:gd name="T7" fmla="*/ 800 h 988"/>
                                  <a:gd name="T8" fmla="*/ 0 w 500"/>
                                  <a:gd name="T9" fmla="*/ 814 h 988"/>
                                  <a:gd name="T10" fmla="*/ 0 w 500"/>
                                  <a:gd name="T11" fmla="*/ 830 h 988"/>
                                  <a:gd name="T12" fmla="*/ 0 w 500"/>
                                  <a:gd name="T13" fmla="*/ 844 h 988"/>
                                  <a:gd name="T14" fmla="*/ 0 w 500"/>
                                  <a:gd name="T15" fmla="*/ 860 h 988"/>
                                  <a:gd name="T16" fmla="*/ 4 w 500"/>
                                  <a:gd name="T17" fmla="*/ 874 h 988"/>
                                  <a:gd name="T18" fmla="*/ 8 w 500"/>
                                  <a:gd name="T19" fmla="*/ 888 h 988"/>
                                  <a:gd name="T20" fmla="*/ 14 w 500"/>
                                  <a:gd name="T21" fmla="*/ 902 h 988"/>
                                  <a:gd name="T22" fmla="*/ 20 w 500"/>
                                  <a:gd name="T23" fmla="*/ 914 h 988"/>
                                  <a:gd name="T24" fmla="*/ 28 w 500"/>
                                  <a:gd name="T25" fmla="*/ 926 h 988"/>
                                  <a:gd name="T26" fmla="*/ 38 w 500"/>
                                  <a:gd name="T27" fmla="*/ 938 h 988"/>
                                  <a:gd name="T28" fmla="*/ 48 w 500"/>
                                  <a:gd name="T29" fmla="*/ 948 h 988"/>
                                  <a:gd name="T30" fmla="*/ 60 w 500"/>
                                  <a:gd name="T31" fmla="*/ 958 h 988"/>
                                  <a:gd name="T32" fmla="*/ 72 w 500"/>
                                  <a:gd name="T33" fmla="*/ 966 h 988"/>
                                  <a:gd name="T34" fmla="*/ 84 w 500"/>
                                  <a:gd name="T35" fmla="*/ 974 h 988"/>
                                  <a:gd name="T36" fmla="*/ 100 w 500"/>
                                  <a:gd name="T37" fmla="*/ 980 h 988"/>
                                  <a:gd name="T38" fmla="*/ 100 w 500"/>
                                  <a:gd name="T39" fmla="*/ 980 h 988"/>
                                  <a:gd name="T40" fmla="*/ 126 w 500"/>
                                  <a:gd name="T41" fmla="*/ 986 h 988"/>
                                  <a:gd name="T42" fmla="*/ 152 w 500"/>
                                  <a:gd name="T43" fmla="*/ 988 h 988"/>
                                  <a:gd name="T44" fmla="*/ 152 w 500"/>
                                  <a:gd name="T45" fmla="*/ 988 h 988"/>
                                  <a:gd name="T46" fmla="*/ 174 w 500"/>
                                  <a:gd name="T47" fmla="*/ 988 h 988"/>
                                  <a:gd name="T48" fmla="*/ 196 w 500"/>
                                  <a:gd name="T49" fmla="*/ 982 h 988"/>
                                  <a:gd name="T50" fmla="*/ 218 w 500"/>
                                  <a:gd name="T51" fmla="*/ 974 h 988"/>
                                  <a:gd name="T52" fmla="*/ 238 w 500"/>
                                  <a:gd name="T53" fmla="*/ 962 h 988"/>
                                  <a:gd name="T54" fmla="*/ 254 w 500"/>
                                  <a:gd name="T55" fmla="*/ 948 h 988"/>
                                  <a:gd name="T56" fmla="*/ 270 w 500"/>
                                  <a:gd name="T57" fmla="*/ 930 h 988"/>
                                  <a:gd name="T58" fmla="*/ 284 w 500"/>
                                  <a:gd name="T59" fmla="*/ 912 h 988"/>
                                  <a:gd name="T60" fmla="*/ 294 w 500"/>
                                  <a:gd name="T61" fmla="*/ 890 h 988"/>
                                  <a:gd name="T62" fmla="*/ 500 w 500"/>
                                  <a:gd name="T63" fmla="*/ 324 h 988"/>
                                  <a:gd name="T64" fmla="*/ 500 w 500"/>
                                  <a:gd name="T65" fmla="*/ 324 h 988"/>
                                  <a:gd name="T66" fmla="*/ 498 w 500"/>
                                  <a:gd name="T67" fmla="*/ 322 h 988"/>
                                  <a:gd name="T68" fmla="*/ 294 w 500"/>
                                  <a:gd name="T69" fmla="*/ 0 h 9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500" h="988">
                                    <a:moveTo>
                                      <a:pt x="294" y="0"/>
                                    </a:moveTo>
                                    <a:lnTo>
                                      <a:pt x="8" y="786"/>
                                    </a:lnTo>
                                    <a:lnTo>
                                      <a:pt x="8" y="786"/>
                                    </a:lnTo>
                                    <a:lnTo>
                                      <a:pt x="4" y="800"/>
                                    </a:lnTo>
                                    <a:lnTo>
                                      <a:pt x="0" y="814"/>
                                    </a:lnTo>
                                    <a:lnTo>
                                      <a:pt x="0" y="830"/>
                                    </a:lnTo>
                                    <a:lnTo>
                                      <a:pt x="0" y="844"/>
                                    </a:lnTo>
                                    <a:lnTo>
                                      <a:pt x="0" y="860"/>
                                    </a:lnTo>
                                    <a:lnTo>
                                      <a:pt x="4" y="874"/>
                                    </a:lnTo>
                                    <a:lnTo>
                                      <a:pt x="8" y="888"/>
                                    </a:lnTo>
                                    <a:lnTo>
                                      <a:pt x="14" y="902"/>
                                    </a:lnTo>
                                    <a:lnTo>
                                      <a:pt x="20" y="914"/>
                                    </a:lnTo>
                                    <a:lnTo>
                                      <a:pt x="28" y="926"/>
                                    </a:lnTo>
                                    <a:lnTo>
                                      <a:pt x="38" y="938"/>
                                    </a:lnTo>
                                    <a:lnTo>
                                      <a:pt x="48" y="948"/>
                                    </a:lnTo>
                                    <a:lnTo>
                                      <a:pt x="60" y="958"/>
                                    </a:lnTo>
                                    <a:lnTo>
                                      <a:pt x="72" y="966"/>
                                    </a:lnTo>
                                    <a:lnTo>
                                      <a:pt x="84" y="974"/>
                                    </a:lnTo>
                                    <a:lnTo>
                                      <a:pt x="100" y="980"/>
                                    </a:lnTo>
                                    <a:lnTo>
                                      <a:pt x="100" y="980"/>
                                    </a:lnTo>
                                    <a:lnTo>
                                      <a:pt x="126" y="986"/>
                                    </a:lnTo>
                                    <a:lnTo>
                                      <a:pt x="152" y="988"/>
                                    </a:lnTo>
                                    <a:lnTo>
                                      <a:pt x="152" y="988"/>
                                    </a:lnTo>
                                    <a:lnTo>
                                      <a:pt x="174" y="988"/>
                                    </a:lnTo>
                                    <a:lnTo>
                                      <a:pt x="196" y="982"/>
                                    </a:lnTo>
                                    <a:lnTo>
                                      <a:pt x="218" y="974"/>
                                    </a:lnTo>
                                    <a:lnTo>
                                      <a:pt x="238" y="962"/>
                                    </a:lnTo>
                                    <a:lnTo>
                                      <a:pt x="254" y="948"/>
                                    </a:lnTo>
                                    <a:lnTo>
                                      <a:pt x="270" y="930"/>
                                    </a:lnTo>
                                    <a:lnTo>
                                      <a:pt x="284" y="912"/>
                                    </a:lnTo>
                                    <a:lnTo>
                                      <a:pt x="294" y="890"/>
                                    </a:lnTo>
                                    <a:lnTo>
                                      <a:pt x="500" y="324"/>
                                    </a:lnTo>
                                    <a:lnTo>
                                      <a:pt x="500" y="324"/>
                                    </a:lnTo>
                                    <a:lnTo>
                                      <a:pt x="498" y="322"/>
                                    </a:lnTo>
                                    <a:lnTo>
                                      <a:pt x="294" y="0"/>
                                    </a:lnTo>
                                    <a:close/>
                                  </a:path>
                                </a:pathLst>
                              </a:custGeom>
                              <a:grpFill/>
                              <a:ln>
                                <a:noFill/>
                              </a:ln>
                            </wps:spPr>
                            <wps:bodyPr/>
                          </wps:wsp>
                          <wps:wsp>
                            <wps:cNvPr id="154" name="Freeform 42">
                              <a:extLst>
                                <a:ext uri="{FF2B5EF4-FFF2-40B4-BE49-F238E27FC236}">
                                  <a16:creationId xmlns:a16="http://schemas.microsoft.com/office/drawing/2014/main" id="{744A5BF7-FDAB-4B50-AAC3-1F7FCA106F50}"/>
                                </a:ext>
                              </a:extLst>
                            </wps:cNvPr>
                            <wps:cNvSpPr>
                              <a:spLocks/>
                            </wps:cNvSpPr>
                            <wps:spPr bwMode="auto">
                              <a:xfrm>
                                <a:off x="4787444" y="2778839"/>
                                <a:ext cx="144971" cy="144970"/>
                              </a:xfrm>
                              <a:custGeom>
                                <a:avLst/>
                                <a:gdLst>
                                  <a:gd name="T0" fmla="*/ 304 w 608"/>
                                  <a:gd name="T1" fmla="*/ 608 h 608"/>
                                  <a:gd name="T2" fmla="*/ 366 w 608"/>
                                  <a:gd name="T3" fmla="*/ 602 h 608"/>
                                  <a:gd name="T4" fmla="*/ 422 w 608"/>
                                  <a:gd name="T5" fmla="*/ 584 h 608"/>
                                  <a:gd name="T6" fmla="*/ 474 w 608"/>
                                  <a:gd name="T7" fmla="*/ 556 h 608"/>
                                  <a:gd name="T8" fmla="*/ 518 w 608"/>
                                  <a:gd name="T9" fmla="*/ 518 h 608"/>
                                  <a:gd name="T10" fmla="*/ 556 w 608"/>
                                  <a:gd name="T11" fmla="*/ 474 h 608"/>
                                  <a:gd name="T12" fmla="*/ 584 w 608"/>
                                  <a:gd name="T13" fmla="*/ 422 h 608"/>
                                  <a:gd name="T14" fmla="*/ 602 w 608"/>
                                  <a:gd name="T15" fmla="*/ 366 h 608"/>
                                  <a:gd name="T16" fmla="*/ 608 w 608"/>
                                  <a:gd name="T17" fmla="*/ 304 h 608"/>
                                  <a:gd name="T18" fmla="*/ 606 w 608"/>
                                  <a:gd name="T19" fmla="*/ 272 h 608"/>
                                  <a:gd name="T20" fmla="*/ 594 w 608"/>
                                  <a:gd name="T21" fmla="*/ 214 h 608"/>
                                  <a:gd name="T22" fmla="*/ 572 w 608"/>
                                  <a:gd name="T23" fmla="*/ 158 h 608"/>
                                  <a:gd name="T24" fmla="*/ 538 w 608"/>
                                  <a:gd name="T25" fmla="*/ 110 h 608"/>
                                  <a:gd name="T26" fmla="*/ 498 w 608"/>
                                  <a:gd name="T27" fmla="*/ 70 h 608"/>
                                  <a:gd name="T28" fmla="*/ 448 w 608"/>
                                  <a:gd name="T29" fmla="*/ 36 h 608"/>
                                  <a:gd name="T30" fmla="*/ 394 w 608"/>
                                  <a:gd name="T31" fmla="*/ 14 h 608"/>
                                  <a:gd name="T32" fmla="*/ 336 w 608"/>
                                  <a:gd name="T33" fmla="*/ 2 h 608"/>
                                  <a:gd name="T34" fmla="*/ 304 w 608"/>
                                  <a:gd name="T35" fmla="*/ 0 h 608"/>
                                  <a:gd name="T36" fmla="*/ 242 w 608"/>
                                  <a:gd name="T37" fmla="*/ 6 h 608"/>
                                  <a:gd name="T38" fmla="*/ 186 w 608"/>
                                  <a:gd name="T39" fmla="*/ 24 h 608"/>
                                  <a:gd name="T40" fmla="*/ 134 w 608"/>
                                  <a:gd name="T41" fmla="*/ 52 h 608"/>
                                  <a:gd name="T42" fmla="*/ 88 w 608"/>
                                  <a:gd name="T43" fmla="*/ 88 h 608"/>
                                  <a:gd name="T44" fmla="*/ 52 w 608"/>
                                  <a:gd name="T45" fmla="*/ 134 h 608"/>
                                  <a:gd name="T46" fmla="*/ 24 w 608"/>
                                  <a:gd name="T47" fmla="*/ 186 h 608"/>
                                  <a:gd name="T48" fmla="*/ 6 w 608"/>
                                  <a:gd name="T49" fmla="*/ 242 h 608"/>
                                  <a:gd name="T50" fmla="*/ 0 w 608"/>
                                  <a:gd name="T51" fmla="*/ 304 h 608"/>
                                  <a:gd name="T52" fmla="*/ 2 w 608"/>
                                  <a:gd name="T53" fmla="*/ 334 h 608"/>
                                  <a:gd name="T54" fmla="*/ 14 w 608"/>
                                  <a:gd name="T55" fmla="*/ 394 h 608"/>
                                  <a:gd name="T56" fmla="*/ 36 w 608"/>
                                  <a:gd name="T57" fmla="*/ 448 h 608"/>
                                  <a:gd name="T58" fmla="*/ 70 w 608"/>
                                  <a:gd name="T59" fmla="*/ 498 h 608"/>
                                  <a:gd name="T60" fmla="*/ 110 w 608"/>
                                  <a:gd name="T61" fmla="*/ 538 h 608"/>
                                  <a:gd name="T62" fmla="*/ 158 w 608"/>
                                  <a:gd name="T63" fmla="*/ 572 h 608"/>
                                  <a:gd name="T64" fmla="*/ 214 w 608"/>
                                  <a:gd name="T65" fmla="*/ 594 h 608"/>
                                  <a:gd name="T66" fmla="*/ 272 w 608"/>
                                  <a:gd name="T67" fmla="*/ 606 h 608"/>
                                  <a:gd name="T68" fmla="*/ 304 w 608"/>
                                  <a:gd name="T69" fmla="*/ 608 h 6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608" h="608">
                                    <a:moveTo>
                                      <a:pt x="304" y="608"/>
                                    </a:moveTo>
                                    <a:lnTo>
                                      <a:pt x="304" y="608"/>
                                    </a:lnTo>
                                    <a:lnTo>
                                      <a:pt x="336" y="606"/>
                                    </a:lnTo>
                                    <a:lnTo>
                                      <a:pt x="366" y="602"/>
                                    </a:lnTo>
                                    <a:lnTo>
                                      <a:pt x="394" y="594"/>
                                    </a:lnTo>
                                    <a:lnTo>
                                      <a:pt x="422" y="584"/>
                                    </a:lnTo>
                                    <a:lnTo>
                                      <a:pt x="448" y="572"/>
                                    </a:lnTo>
                                    <a:lnTo>
                                      <a:pt x="474" y="556"/>
                                    </a:lnTo>
                                    <a:lnTo>
                                      <a:pt x="498" y="538"/>
                                    </a:lnTo>
                                    <a:lnTo>
                                      <a:pt x="518" y="518"/>
                                    </a:lnTo>
                                    <a:lnTo>
                                      <a:pt x="538" y="498"/>
                                    </a:lnTo>
                                    <a:lnTo>
                                      <a:pt x="556" y="474"/>
                                    </a:lnTo>
                                    <a:lnTo>
                                      <a:pt x="572" y="448"/>
                                    </a:lnTo>
                                    <a:lnTo>
                                      <a:pt x="584" y="422"/>
                                    </a:lnTo>
                                    <a:lnTo>
                                      <a:pt x="594" y="394"/>
                                    </a:lnTo>
                                    <a:lnTo>
                                      <a:pt x="602" y="366"/>
                                    </a:lnTo>
                                    <a:lnTo>
                                      <a:pt x="606" y="334"/>
                                    </a:lnTo>
                                    <a:lnTo>
                                      <a:pt x="608" y="304"/>
                                    </a:lnTo>
                                    <a:lnTo>
                                      <a:pt x="608" y="304"/>
                                    </a:lnTo>
                                    <a:lnTo>
                                      <a:pt x="606" y="272"/>
                                    </a:lnTo>
                                    <a:lnTo>
                                      <a:pt x="602" y="242"/>
                                    </a:lnTo>
                                    <a:lnTo>
                                      <a:pt x="594" y="214"/>
                                    </a:lnTo>
                                    <a:lnTo>
                                      <a:pt x="584" y="186"/>
                                    </a:lnTo>
                                    <a:lnTo>
                                      <a:pt x="572" y="158"/>
                                    </a:lnTo>
                                    <a:lnTo>
                                      <a:pt x="556" y="134"/>
                                    </a:lnTo>
                                    <a:lnTo>
                                      <a:pt x="538" y="110"/>
                                    </a:lnTo>
                                    <a:lnTo>
                                      <a:pt x="518" y="88"/>
                                    </a:lnTo>
                                    <a:lnTo>
                                      <a:pt x="498" y="70"/>
                                    </a:lnTo>
                                    <a:lnTo>
                                      <a:pt x="474" y="52"/>
                                    </a:lnTo>
                                    <a:lnTo>
                                      <a:pt x="448" y="36"/>
                                    </a:lnTo>
                                    <a:lnTo>
                                      <a:pt x="422" y="24"/>
                                    </a:lnTo>
                                    <a:lnTo>
                                      <a:pt x="394" y="14"/>
                                    </a:lnTo>
                                    <a:lnTo>
                                      <a:pt x="366" y="6"/>
                                    </a:lnTo>
                                    <a:lnTo>
                                      <a:pt x="336" y="2"/>
                                    </a:lnTo>
                                    <a:lnTo>
                                      <a:pt x="304" y="0"/>
                                    </a:lnTo>
                                    <a:lnTo>
                                      <a:pt x="304" y="0"/>
                                    </a:lnTo>
                                    <a:lnTo>
                                      <a:pt x="272" y="2"/>
                                    </a:lnTo>
                                    <a:lnTo>
                                      <a:pt x="242" y="6"/>
                                    </a:lnTo>
                                    <a:lnTo>
                                      <a:pt x="214" y="14"/>
                                    </a:lnTo>
                                    <a:lnTo>
                                      <a:pt x="186" y="24"/>
                                    </a:lnTo>
                                    <a:lnTo>
                                      <a:pt x="158" y="36"/>
                                    </a:lnTo>
                                    <a:lnTo>
                                      <a:pt x="134" y="52"/>
                                    </a:lnTo>
                                    <a:lnTo>
                                      <a:pt x="110" y="70"/>
                                    </a:lnTo>
                                    <a:lnTo>
                                      <a:pt x="88" y="88"/>
                                    </a:lnTo>
                                    <a:lnTo>
                                      <a:pt x="70" y="110"/>
                                    </a:lnTo>
                                    <a:lnTo>
                                      <a:pt x="52" y="134"/>
                                    </a:lnTo>
                                    <a:lnTo>
                                      <a:pt x="36" y="158"/>
                                    </a:lnTo>
                                    <a:lnTo>
                                      <a:pt x="24" y="186"/>
                                    </a:lnTo>
                                    <a:lnTo>
                                      <a:pt x="14" y="214"/>
                                    </a:lnTo>
                                    <a:lnTo>
                                      <a:pt x="6" y="242"/>
                                    </a:lnTo>
                                    <a:lnTo>
                                      <a:pt x="2" y="272"/>
                                    </a:lnTo>
                                    <a:lnTo>
                                      <a:pt x="0" y="304"/>
                                    </a:lnTo>
                                    <a:lnTo>
                                      <a:pt x="0" y="304"/>
                                    </a:lnTo>
                                    <a:lnTo>
                                      <a:pt x="2" y="334"/>
                                    </a:lnTo>
                                    <a:lnTo>
                                      <a:pt x="6" y="366"/>
                                    </a:lnTo>
                                    <a:lnTo>
                                      <a:pt x="14" y="394"/>
                                    </a:lnTo>
                                    <a:lnTo>
                                      <a:pt x="24" y="422"/>
                                    </a:lnTo>
                                    <a:lnTo>
                                      <a:pt x="36" y="448"/>
                                    </a:lnTo>
                                    <a:lnTo>
                                      <a:pt x="52" y="474"/>
                                    </a:lnTo>
                                    <a:lnTo>
                                      <a:pt x="70" y="498"/>
                                    </a:lnTo>
                                    <a:lnTo>
                                      <a:pt x="88" y="518"/>
                                    </a:lnTo>
                                    <a:lnTo>
                                      <a:pt x="110" y="538"/>
                                    </a:lnTo>
                                    <a:lnTo>
                                      <a:pt x="134" y="556"/>
                                    </a:lnTo>
                                    <a:lnTo>
                                      <a:pt x="158" y="572"/>
                                    </a:lnTo>
                                    <a:lnTo>
                                      <a:pt x="186" y="584"/>
                                    </a:lnTo>
                                    <a:lnTo>
                                      <a:pt x="214" y="594"/>
                                    </a:lnTo>
                                    <a:lnTo>
                                      <a:pt x="242" y="602"/>
                                    </a:lnTo>
                                    <a:lnTo>
                                      <a:pt x="272" y="606"/>
                                    </a:lnTo>
                                    <a:lnTo>
                                      <a:pt x="304" y="608"/>
                                    </a:lnTo>
                                    <a:lnTo>
                                      <a:pt x="304" y="608"/>
                                    </a:lnTo>
                                    <a:close/>
                                  </a:path>
                                </a:pathLst>
                              </a:custGeom>
                              <a:grpFill/>
                              <a:ln>
                                <a:noFill/>
                              </a:ln>
                            </wps:spPr>
                            <wps:bodyPr/>
                          </wps:wsp>
                          <wps:wsp>
                            <wps:cNvPr id="155" name="Freeform 43">
                              <a:extLst>
                                <a:ext uri="{FF2B5EF4-FFF2-40B4-BE49-F238E27FC236}">
                                  <a16:creationId xmlns:a16="http://schemas.microsoft.com/office/drawing/2014/main" id="{E7CB3AC0-BD74-4248-954A-A2E04E2BB558}"/>
                                </a:ext>
                              </a:extLst>
                            </wps:cNvPr>
                            <wps:cNvSpPr>
                              <a:spLocks/>
                            </wps:cNvSpPr>
                            <wps:spPr bwMode="auto">
                              <a:xfrm>
                                <a:off x="4659164" y="2944315"/>
                                <a:ext cx="266098" cy="475447"/>
                              </a:xfrm>
                              <a:custGeom>
                                <a:avLst/>
                                <a:gdLst>
                                  <a:gd name="T0" fmla="*/ 824 w 1116"/>
                                  <a:gd name="T1" fmla="*/ 974 h 1994"/>
                                  <a:gd name="T2" fmla="*/ 984 w 1116"/>
                                  <a:gd name="T3" fmla="*/ 294 h 1994"/>
                                  <a:gd name="T4" fmla="*/ 992 w 1116"/>
                                  <a:gd name="T5" fmla="*/ 256 h 1994"/>
                                  <a:gd name="T6" fmla="*/ 990 w 1116"/>
                                  <a:gd name="T7" fmla="*/ 214 h 1994"/>
                                  <a:gd name="T8" fmla="*/ 976 w 1116"/>
                                  <a:gd name="T9" fmla="*/ 170 h 1994"/>
                                  <a:gd name="T10" fmla="*/ 954 w 1116"/>
                                  <a:gd name="T11" fmla="*/ 128 h 1994"/>
                                  <a:gd name="T12" fmla="*/ 922 w 1116"/>
                                  <a:gd name="T13" fmla="*/ 88 h 1994"/>
                                  <a:gd name="T14" fmla="*/ 878 w 1116"/>
                                  <a:gd name="T15" fmla="*/ 54 h 1994"/>
                                  <a:gd name="T16" fmla="*/ 824 w 1116"/>
                                  <a:gd name="T17" fmla="*/ 26 h 1994"/>
                                  <a:gd name="T18" fmla="*/ 760 w 1116"/>
                                  <a:gd name="T19" fmla="*/ 8 h 1994"/>
                                  <a:gd name="T20" fmla="*/ 716 w 1116"/>
                                  <a:gd name="T21" fmla="*/ 2 h 1994"/>
                                  <a:gd name="T22" fmla="*/ 634 w 1116"/>
                                  <a:gd name="T23" fmla="*/ 2 h 1994"/>
                                  <a:gd name="T24" fmla="*/ 562 w 1116"/>
                                  <a:gd name="T25" fmla="*/ 10 h 1994"/>
                                  <a:gd name="T26" fmla="*/ 508 w 1116"/>
                                  <a:gd name="T27" fmla="*/ 28 h 1994"/>
                                  <a:gd name="T28" fmla="*/ 126 w 1116"/>
                                  <a:gd name="T29" fmla="*/ 300 h 1994"/>
                                  <a:gd name="T30" fmla="*/ 6 w 1116"/>
                                  <a:gd name="T31" fmla="*/ 678 h 1994"/>
                                  <a:gd name="T32" fmla="*/ 0 w 1116"/>
                                  <a:gd name="T33" fmla="*/ 702 h 1994"/>
                                  <a:gd name="T34" fmla="*/ 4 w 1116"/>
                                  <a:gd name="T35" fmla="*/ 748 h 1994"/>
                                  <a:gd name="T36" fmla="*/ 26 w 1116"/>
                                  <a:gd name="T37" fmla="*/ 790 h 1994"/>
                                  <a:gd name="T38" fmla="*/ 62 w 1116"/>
                                  <a:gd name="T39" fmla="*/ 820 h 1994"/>
                                  <a:gd name="T40" fmla="*/ 84 w 1116"/>
                                  <a:gd name="T41" fmla="*/ 830 h 1994"/>
                                  <a:gd name="T42" fmla="*/ 102 w 1116"/>
                                  <a:gd name="T43" fmla="*/ 834 h 1994"/>
                                  <a:gd name="T44" fmla="*/ 120 w 1116"/>
                                  <a:gd name="T45" fmla="*/ 836 h 1994"/>
                                  <a:gd name="T46" fmla="*/ 158 w 1116"/>
                                  <a:gd name="T47" fmla="*/ 830 h 1994"/>
                                  <a:gd name="T48" fmla="*/ 192 w 1116"/>
                                  <a:gd name="T49" fmla="*/ 814 h 1994"/>
                                  <a:gd name="T50" fmla="*/ 218 w 1116"/>
                                  <a:gd name="T51" fmla="*/ 786 h 1994"/>
                                  <a:gd name="T52" fmla="*/ 236 w 1116"/>
                                  <a:gd name="T53" fmla="*/ 752 h 1994"/>
                                  <a:gd name="T54" fmla="*/ 418 w 1116"/>
                                  <a:gd name="T55" fmla="*/ 388 h 1994"/>
                                  <a:gd name="T56" fmla="*/ 364 w 1116"/>
                                  <a:gd name="T57" fmla="*/ 724 h 1994"/>
                                  <a:gd name="T58" fmla="*/ 360 w 1116"/>
                                  <a:gd name="T59" fmla="*/ 754 h 1994"/>
                                  <a:gd name="T60" fmla="*/ 360 w 1116"/>
                                  <a:gd name="T61" fmla="*/ 788 h 1994"/>
                                  <a:gd name="T62" fmla="*/ 372 w 1116"/>
                                  <a:gd name="T63" fmla="*/ 826 h 1994"/>
                                  <a:gd name="T64" fmla="*/ 396 w 1116"/>
                                  <a:gd name="T65" fmla="*/ 872 h 1994"/>
                                  <a:gd name="T66" fmla="*/ 594 w 1116"/>
                                  <a:gd name="T67" fmla="*/ 1180 h 1994"/>
                                  <a:gd name="T68" fmla="*/ 814 w 1116"/>
                                  <a:gd name="T69" fmla="*/ 1864 h 1994"/>
                                  <a:gd name="T70" fmla="*/ 816 w 1116"/>
                                  <a:gd name="T71" fmla="*/ 1878 h 1994"/>
                                  <a:gd name="T72" fmla="*/ 824 w 1116"/>
                                  <a:gd name="T73" fmla="*/ 1904 h 1994"/>
                                  <a:gd name="T74" fmla="*/ 838 w 1116"/>
                                  <a:gd name="T75" fmla="*/ 1928 h 1994"/>
                                  <a:gd name="T76" fmla="*/ 864 w 1116"/>
                                  <a:gd name="T77" fmla="*/ 1958 h 1994"/>
                                  <a:gd name="T78" fmla="*/ 910 w 1116"/>
                                  <a:gd name="T79" fmla="*/ 1984 h 1994"/>
                                  <a:gd name="T80" fmla="*/ 936 w 1116"/>
                                  <a:gd name="T81" fmla="*/ 1992 h 1994"/>
                                  <a:gd name="T82" fmla="*/ 964 w 1116"/>
                                  <a:gd name="T83" fmla="*/ 1994 h 1994"/>
                                  <a:gd name="T84" fmla="*/ 984 w 1116"/>
                                  <a:gd name="T85" fmla="*/ 1994 h 1994"/>
                                  <a:gd name="T86" fmla="*/ 1000 w 1116"/>
                                  <a:gd name="T87" fmla="*/ 1990 h 1994"/>
                                  <a:gd name="T88" fmla="*/ 1028 w 1116"/>
                                  <a:gd name="T89" fmla="*/ 1980 h 1994"/>
                                  <a:gd name="T90" fmla="*/ 1054 w 1116"/>
                                  <a:gd name="T91" fmla="*/ 1966 h 1994"/>
                                  <a:gd name="T92" fmla="*/ 1074 w 1116"/>
                                  <a:gd name="T93" fmla="*/ 1946 h 1994"/>
                                  <a:gd name="T94" fmla="*/ 1092 w 1116"/>
                                  <a:gd name="T95" fmla="*/ 1924 h 1994"/>
                                  <a:gd name="T96" fmla="*/ 1106 w 1116"/>
                                  <a:gd name="T97" fmla="*/ 1898 h 1994"/>
                                  <a:gd name="T98" fmla="*/ 1114 w 1116"/>
                                  <a:gd name="T99" fmla="*/ 1868 h 1994"/>
                                  <a:gd name="T100" fmla="*/ 1116 w 1116"/>
                                  <a:gd name="T101" fmla="*/ 1838 h 1994"/>
                                  <a:gd name="T102" fmla="*/ 1048 w 1116"/>
                                  <a:gd name="T103" fmla="*/ 1330 h 19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116" h="1994">
                                    <a:moveTo>
                                      <a:pt x="1048" y="1330"/>
                                    </a:moveTo>
                                    <a:lnTo>
                                      <a:pt x="824" y="974"/>
                                    </a:lnTo>
                                    <a:lnTo>
                                      <a:pt x="984" y="294"/>
                                    </a:lnTo>
                                    <a:lnTo>
                                      <a:pt x="984" y="294"/>
                                    </a:lnTo>
                                    <a:lnTo>
                                      <a:pt x="990" y="276"/>
                                    </a:lnTo>
                                    <a:lnTo>
                                      <a:pt x="992" y="256"/>
                                    </a:lnTo>
                                    <a:lnTo>
                                      <a:pt x="992" y="236"/>
                                    </a:lnTo>
                                    <a:lnTo>
                                      <a:pt x="990" y="214"/>
                                    </a:lnTo>
                                    <a:lnTo>
                                      <a:pt x="984" y="192"/>
                                    </a:lnTo>
                                    <a:lnTo>
                                      <a:pt x="976" y="170"/>
                                    </a:lnTo>
                                    <a:lnTo>
                                      <a:pt x="966" y="148"/>
                                    </a:lnTo>
                                    <a:lnTo>
                                      <a:pt x="954" y="128"/>
                                    </a:lnTo>
                                    <a:lnTo>
                                      <a:pt x="940" y="108"/>
                                    </a:lnTo>
                                    <a:lnTo>
                                      <a:pt x="922" y="88"/>
                                    </a:lnTo>
                                    <a:lnTo>
                                      <a:pt x="902" y="70"/>
                                    </a:lnTo>
                                    <a:lnTo>
                                      <a:pt x="878" y="54"/>
                                    </a:lnTo>
                                    <a:lnTo>
                                      <a:pt x="852" y="38"/>
                                    </a:lnTo>
                                    <a:lnTo>
                                      <a:pt x="824" y="26"/>
                                    </a:lnTo>
                                    <a:lnTo>
                                      <a:pt x="794" y="16"/>
                                    </a:lnTo>
                                    <a:lnTo>
                                      <a:pt x="760" y="8"/>
                                    </a:lnTo>
                                    <a:lnTo>
                                      <a:pt x="760" y="8"/>
                                    </a:lnTo>
                                    <a:lnTo>
                                      <a:pt x="716" y="2"/>
                                    </a:lnTo>
                                    <a:lnTo>
                                      <a:pt x="674" y="0"/>
                                    </a:lnTo>
                                    <a:lnTo>
                                      <a:pt x="634" y="2"/>
                                    </a:lnTo>
                                    <a:lnTo>
                                      <a:pt x="596" y="4"/>
                                    </a:lnTo>
                                    <a:lnTo>
                                      <a:pt x="562" y="10"/>
                                    </a:lnTo>
                                    <a:lnTo>
                                      <a:pt x="532" y="18"/>
                                    </a:lnTo>
                                    <a:lnTo>
                                      <a:pt x="508" y="28"/>
                                    </a:lnTo>
                                    <a:lnTo>
                                      <a:pt x="492" y="36"/>
                                    </a:lnTo>
                                    <a:lnTo>
                                      <a:pt x="126" y="300"/>
                                    </a:lnTo>
                                    <a:lnTo>
                                      <a:pt x="6" y="678"/>
                                    </a:lnTo>
                                    <a:lnTo>
                                      <a:pt x="6" y="678"/>
                                    </a:lnTo>
                                    <a:lnTo>
                                      <a:pt x="2" y="690"/>
                                    </a:lnTo>
                                    <a:lnTo>
                                      <a:pt x="0" y="702"/>
                                    </a:lnTo>
                                    <a:lnTo>
                                      <a:pt x="0" y="726"/>
                                    </a:lnTo>
                                    <a:lnTo>
                                      <a:pt x="4" y="748"/>
                                    </a:lnTo>
                                    <a:lnTo>
                                      <a:pt x="12" y="770"/>
                                    </a:lnTo>
                                    <a:lnTo>
                                      <a:pt x="26" y="790"/>
                                    </a:lnTo>
                                    <a:lnTo>
                                      <a:pt x="42" y="806"/>
                                    </a:lnTo>
                                    <a:lnTo>
                                      <a:pt x="62" y="820"/>
                                    </a:lnTo>
                                    <a:lnTo>
                                      <a:pt x="72" y="826"/>
                                    </a:lnTo>
                                    <a:lnTo>
                                      <a:pt x="84" y="830"/>
                                    </a:lnTo>
                                    <a:lnTo>
                                      <a:pt x="84" y="830"/>
                                    </a:lnTo>
                                    <a:lnTo>
                                      <a:pt x="102" y="834"/>
                                    </a:lnTo>
                                    <a:lnTo>
                                      <a:pt x="120" y="836"/>
                                    </a:lnTo>
                                    <a:lnTo>
                                      <a:pt x="120" y="836"/>
                                    </a:lnTo>
                                    <a:lnTo>
                                      <a:pt x="140" y="834"/>
                                    </a:lnTo>
                                    <a:lnTo>
                                      <a:pt x="158" y="830"/>
                                    </a:lnTo>
                                    <a:lnTo>
                                      <a:pt x="176" y="822"/>
                                    </a:lnTo>
                                    <a:lnTo>
                                      <a:pt x="192" y="814"/>
                                    </a:lnTo>
                                    <a:lnTo>
                                      <a:pt x="206" y="802"/>
                                    </a:lnTo>
                                    <a:lnTo>
                                      <a:pt x="218" y="786"/>
                                    </a:lnTo>
                                    <a:lnTo>
                                      <a:pt x="228" y="770"/>
                                    </a:lnTo>
                                    <a:lnTo>
                                      <a:pt x="236" y="752"/>
                                    </a:lnTo>
                                    <a:lnTo>
                                      <a:pt x="332" y="450"/>
                                    </a:lnTo>
                                    <a:lnTo>
                                      <a:pt x="418" y="388"/>
                                    </a:lnTo>
                                    <a:lnTo>
                                      <a:pt x="418" y="388"/>
                                    </a:lnTo>
                                    <a:lnTo>
                                      <a:pt x="364" y="724"/>
                                    </a:lnTo>
                                    <a:lnTo>
                                      <a:pt x="364" y="724"/>
                                    </a:lnTo>
                                    <a:lnTo>
                                      <a:pt x="360" y="754"/>
                                    </a:lnTo>
                                    <a:lnTo>
                                      <a:pt x="360" y="770"/>
                                    </a:lnTo>
                                    <a:lnTo>
                                      <a:pt x="360" y="788"/>
                                    </a:lnTo>
                                    <a:lnTo>
                                      <a:pt x="364" y="806"/>
                                    </a:lnTo>
                                    <a:lnTo>
                                      <a:pt x="372" y="826"/>
                                    </a:lnTo>
                                    <a:lnTo>
                                      <a:pt x="382" y="848"/>
                                    </a:lnTo>
                                    <a:lnTo>
                                      <a:pt x="396" y="872"/>
                                    </a:lnTo>
                                    <a:lnTo>
                                      <a:pt x="396" y="872"/>
                                    </a:lnTo>
                                    <a:lnTo>
                                      <a:pt x="594" y="1180"/>
                                    </a:lnTo>
                                    <a:lnTo>
                                      <a:pt x="756" y="1436"/>
                                    </a:lnTo>
                                    <a:lnTo>
                                      <a:pt x="814" y="1864"/>
                                    </a:lnTo>
                                    <a:lnTo>
                                      <a:pt x="814" y="1864"/>
                                    </a:lnTo>
                                    <a:lnTo>
                                      <a:pt x="816" y="1878"/>
                                    </a:lnTo>
                                    <a:lnTo>
                                      <a:pt x="820" y="1890"/>
                                    </a:lnTo>
                                    <a:lnTo>
                                      <a:pt x="824" y="1904"/>
                                    </a:lnTo>
                                    <a:lnTo>
                                      <a:pt x="830" y="1916"/>
                                    </a:lnTo>
                                    <a:lnTo>
                                      <a:pt x="838" y="1928"/>
                                    </a:lnTo>
                                    <a:lnTo>
                                      <a:pt x="846" y="1938"/>
                                    </a:lnTo>
                                    <a:lnTo>
                                      <a:pt x="864" y="1958"/>
                                    </a:lnTo>
                                    <a:lnTo>
                                      <a:pt x="886" y="1974"/>
                                    </a:lnTo>
                                    <a:lnTo>
                                      <a:pt x="910" y="1984"/>
                                    </a:lnTo>
                                    <a:lnTo>
                                      <a:pt x="922" y="1990"/>
                                    </a:lnTo>
                                    <a:lnTo>
                                      <a:pt x="936" y="1992"/>
                                    </a:lnTo>
                                    <a:lnTo>
                                      <a:pt x="950" y="1994"/>
                                    </a:lnTo>
                                    <a:lnTo>
                                      <a:pt x="964" y="1994"/>
                                    </a:lnTo>
                                    <a:lnTo>
                                      <a:pt x="964" y="1994"/>
                                    </a:lnTo>
                                    <a:lnTo>
                                      <a:pt x="984" y="1994"/>
                                    </a:lnTo>
                                    <a:lnTo>
                                      <a:pt x="984" y="1994"/>
                                    </a:lnTo>
                                    <a:lnTo>
                                      <a:pt x="1000" y="1990"/>
                                    </a:lnTo>
                                    <a:lnTo>
                                      <a:pt x="1014" y="1986"/>
                                    </a:lnTo>
                                    <a:lnTo>
                                      <a:pt x="1028" y="1980"/>
                                    </a:lnTo>
                                    <a:lnTo>
                                      <a:pt x="1040" y="1974"/>
                                    </a:lnTo>
                                    <a:lnTo>
                                      <a:pt x="1054" y="1966"/>
                                    </a:lnTo>
                                    <a:lnTo>
                                      <a:pt x="1064" y="1956"/>
                                    </a:lnTo>
                                    <a:lnTo>
                                      <a:pt x="1074" y="1946"/>
                                    </a:lnTo>
                                    <a:lnTo>
                                      <a:pt x="1084" y="1936"/>
                                    </a:lnTo>
                                    <a:lnTo>
                                      <a:pt x="1092" y="1924"/>
                                    </a:lnTo>
                                    <a:lnTo>
                                      <a:pt x="1100" y="1910"/>
                                    </a:lnTo>
                                    <a:lnTo>
                                      <a:pt x="1106" y="1898"/>
                                    </a:lnTo>
                                    <a:lnTo>
                                      <a:pt x="1110" y="1884"/>
                                    </a:lnTo>
                                    <a:lnTo>
                                      <a:pt x="1114" y="1868"/>
                                    </a:lnTo>
                                    <a:lnTo>
                                      <a:pt x="1116" y="1854"/>
                                    </a:lnTo>
                                    <a:lnTo>
                                      <a:pt x="1116" y="1838"/>
                                    </a:lnTo>
                                    <a:lnTo>
                                      <a:pt x="1114" y="1822"/>
                                    </a:lnTo>
                                    <a:lnTo>
                                      <a:pt x="1048" y="1330"/>
                                    </a:lnTo>
                                    <a:close/>
                                  </a:path>
                                </a:pathLst>
                              </a:custGeom>
                              <a:grpFill/>
                              <a:ln>
                                <a:noFill/>
                              </a:ln>
                            </wps:spPr>
                            <wps:bodyPr/>
                          </wps:wsp>
                          <wps:wsp>
                            <wps:cNvPr id="156" name="Freeform 44">
                              <a:extLst>
                                <a:ext uri="{FF2B5EF4-FFF2-40B4-BE49-F238E27FC236}">
                                  <a16:creationId xmlns:a16="http://schemas.microsoft.com/office/drawing/2014/main" id="{FB07EBE5-2DFA-4723-B6CB-319CED18FDB5}"/>
                                </a:ext>
                              </a:extLst>
                            </wps:cNvPr>
                            <wps:cNvSpPr>
                              <a:spLocks/>
                            </wps:cNvSpPr>
                            <wps:spPr bwMode="auto">
                              <a:xfrm>
                                <a:off x="4887111" y="3084994"/>
                                <a:ext cx="82977" cy="57702"/>
                              </a:xfrm>
                              <a:custGeom>
                                <a:avLst/>
                                <a:gdLst>
                                  <a:gd name="T0" fmla="*/ 342 w 348"/>
                                  <a:gd name="T1" fmla="*/ 84 h 242"/>
                                  <a:gd name="T2" fmla="*/ 342 w 348"/>
                                  <a:gd name="T3" fmla="*/ 84 h 242"/>
                                  <a:gd name="T4" fmla="*/ 336 w 348"/>
                                  <a:gd name="T5" fmla="*/ 66 h 242"/>
                                  <a:gd name="T6" fmla="*/ 326 w 348"/>
                                  <a:gd name="T7" fmla="*/ 50 h 242"/>
                                  <a:gd name="T8" fmla="*/ 314 w 348"/>
                                  <a:gd name="T9" fmla="*/ 36 h 242"/>
                                  <a:gd name="T10" fmla="*/ 302 w 348"/>
                                  <a:gd name="T11" fmla="*/ 24 h 242"/>
                                  <a:gd name="T12" fmla="*/ 286 w 348"/>
                                  <a:gd name="T13" fmla="*/ 14 h 242"/>
                                  <a:gd name="T14" fmla="*/ 270 w 348"/>
                                  <a:gd name="T15" fmla="*/ 8 h 242"/>
                                  <a:gd name="T16" fmla="*/ 252 w 348"/>
                                  <a:gd name="T17" fmla="*/ 2 h 242"/>
                                  <a:gd name="T18" fmla="*/ 232 w 348"/>
                                  <a:gd name="T19" fmla="*/ 0 h 242"/>
                                  <a:gd name="T20" fmla="*/ 86 w 348"/>
                                  <a:gd name="T21" fmla="*/ 0 h 242"/>
                                  <a:gd name="T22" fmla="*/ 58 w 348"/>
                                  <a:gd name="T23" fmla="*/ 0 h 242"/>
                                  <a:gd name="T24" fmla="*/ 0 w 348"/>
                                  <a:gd name="T25" fmla="*/ 242 h 242"/>
                                  <a:gd name="T26" fmla="*/ 228 w 348"/>
                                  <a:gd name="T27" fmla="*/ 242 h 242"/>
                                  <a:gd name="T28" fmla="*/ 228 w 348"/>
                                  <a:gd name="T29" fmla="*/ 242 h 242"/>
                                  <a:gd name="T30" fmla="*/ 240 w 348"/>
                                  <a:gd name="T31" fmla="*/ 242 h 242"/>
                                  <a:gd name="T32" fmla="*/ 252 w 348"/>
                                  <a:gd name="T33" fmla="*/ 240 h 242"/>
                                  <a:gd name="T34" fmla="*/ 274 w 348"/>
                                  <a:gd name="T35" fmla="*/ 232 h 242"/>
                                  <a:gd name="T36" fmla="*/ 296 w 348"/>
                                  <a:gd name="T37" fmla="*/ 220 h 242"/>
                                  <a:gd name="T38" fmla="*/ 314 w 348"/>
                                  <a:gd name="T39" fmla="*/ 206 h 242"/>
                                  <a:gd name="T40" fmla="*/ 328 w 348"/>
                                  <a:gd name="T41" fmla="*/ 188 h 242"/>
                                  <a:gd name="T42" fmla="*/ 338 w 348"/>
                                  <a:gd name="T43" fmla="*/ 168 h 242"/>
                                  <a:gd name="T44" fmla="*/ 346 w 348"/>
                                  <a:gd name="T45" fmla="*/ 144 h 242"/>
                                  <a:gd name="T46" fmla="*/ 348 w 348"/>
                                  <a:gd name="T47" fmla="*/ 132 h 242"/>
                                  <a:gd name="T48" fmla="*/ 348 w 348"/>
                                  <a:gd name="T49" fmla="*/ 120 h 242"/>
                                  <a:gd name="T50" fmla="*/ 348 w 348"/>
                                  <a:gd name="T51" fmla="*/ 120 h 242"/>
                                  <a:gd name="T52" fmla="*/ 346 w 348"/>
                                  <a:gd name="T53" fmla="*/ 102 h 242"/>
                                  <a:gd name="T54" fmla="*/ 342 w 348"/>
                                  <a:gd name="T55" fmla="*/ 84 h 242"/>
                                  <a:gd name="T56" fmla="*/ 342 w 348"/>
                                  <a:gd name="T57" fmla="*/ 84 h 2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348" h="242">
                                    <a:moveTo>
                                      <a:pt x="342" y="84"/>
                                    </a:moveTo>
                                    <a:lnTo>
                                      <a:pt x="342" y="84"/>
                                    </a:lnTo>
                                    <a:lnTo>
                                      <a:pt x="336" y="66"/>
                                    </a:lnTo>
                                    <a:lnTo>
                                      <a:pt x="326" y="50"/>
                                    </a:lnTo>
                                    <a:lnTo>
                                      <a:pt x="314" y="36"/>
                                    </a:lnTo>
                                    <a:lnTo>
                                      <a:pt x="302" y="24"/>
                                    </a:lnTo>
                                    <a:lnTo>
                                      <a:pt x="286" y="14"/>
                                    </a:lnTo>
                                    <a:lnTo>
                                      <a:pt x="270" y="8"/>
                                    </a:lnTo>
                                    <a:lnTo>
                                      <a:pt x="252" y="2"/>
                                    </a:lnTo>
                                    <a:lnTo>
                                      <a:pt x="232" y="0"/>
                                    </a:lnTo>
                                    <a:lnTo>
                                      <a:pt x="86" y="0"/>
                                    </a:lnTo>
                                    <a:lnTo>
                                      <a:pt x="58" y="0"/>
                                    </a:lnTo>
                                    <a:lnTo>
                                      <a:pt x="0" y="242"/>
                                    </a:lnTo>
                                    <a:lnTo>
                                      <a:pt x="228" y="242"/>
                                    </a:lnTo>
                                    <a:lnTo>
                                      <a:pt x="228" y="242"/>
                                    </a:lnTo>
                                    <a:lnTo>
                                      <a:pt x="240" y="242"/>
                                    </a:lnTo>
                                    <a:lnTo>
                                      <a:pt x="252" y="240"/>
                                    </a:lnTo>
                                    <a:lnTo>
                                      <a:pt x="274" y="232"/>
                                    </a:lnTo>
                                    <a:lnTo>
                                      <a:pt x="296" y="220"/>
                                    </a:lnTo>
                                    <a:lnTo>
                                      <a:pt x="314" y="206"/>
                                    </a:lnTo>
                                    <a:lnTo>
                                      <a:pt x="328" y="188"/>
                                    </a:lnTo>
                                    <a:lnTo>
                                      <a:pt x="338" y="168"/>
                                    </a:lnTo>
                                    <a:lnTo>
                                      <a:pt x="346" y="144"/>
                                    </a:lnTo>
                                    <a:lnTo>
                                      <a:pt x="348" y="132"/>
                                    </a:lnTo>
                                    <a:lnTo>
                                      <a:pt x="348" y="120"/>
                                    </a:lnTo>
                                    <a:lnTo>
                                      <a:pt x="348" y="120"/>
                                    </a:lnTo>
                                    <a:lnTo>
                                      <a:pt x="346" y="102"/>
                                    </a:lnTo>
                                    <a:lnTo>
                                      <a:pt x="342" y="84"/>
                                    </a:lnTo>
                                    <a:lnTo>
                                      <a:pt x="342" y="84"/>
                                    </a:lnTo>
                                    <a:close/>
                                  </a:path>
                                </a:pathLst>
                              </a:custGeom>
                              <a:grpFill/>
                              <a:ln>
                                <a:noFill/>
                              </a:ln>
                            </wps:spPr>
                            <wps:bodyPr/>
                          </wps:wsp>
                        </wpg:grpSp>
                      </wpg:grpSp>
                      <wpg:grpSp>
                        <wpg:cNvPr id="157" name="Grupa 157"/>
                        <wpg:cNvGrpSpPr/>
                        <wpg:grpSpPr>
                          <a:xfrm>
                            <a:off x="5248275" y="1066799"/>
                            <a:ext cx="1115134" cy="1798245"/>
                            <a:chOff x="0" y="-1"/>
                            <a:chExt cx="1115134" cy="1798245"/>
                          </a:xfrm>
                        </wpg:grpSpPr>
                        <wps:wsp>
                          <wps:cNvPr id="158" name="pole tekstowe 105">
                            <a:extLst>
                              <a:ext uri="{FF2B5EF4-FFF2-40B4-BE49-F238E27FC236}">
                                <a16:creationId xmlns:a16="http://schemas.microsoft.com/office/drawing/2014/main" id="{B4BD5BFA-98B5-4835-A5D8-28339C02DFF7}"/>
                              </a:ext>
                            </a:extLst>
                          </wps:cNvPr>
                          <wps:cNvSpPr txBox="1"/>
                          <wps:spPr>
                            <a:xfrm>
                              <a:off x="0" y="-1"/>
                              <a:ext cx="1115134" cy="1323976"/>
                            </a:xfrm>
                            <a:prstGeom prst="rect">
                              <a:avLst/>
                            </a:prstGeom>
                            <a:noFill/>
                          </wps:spPr>
                          <wps:txbx>
                            <w:txbxContent>
                              <w:p w14:paraId="14F56EB4" w14:textId="77777777" w:rsidR="00D22FE8" w:rsidRDefault="00D22FE8" w:rsidP="00F25738">
                                <w:pPr>
                                  <w:pStyle w:val="NormalnyWeb"/>
                                  <w:spacing w:after="0"/>
                                  <w:jc w:val="center"/>
                                </w:pPr>
                                <w:r>
                                  <w:rPr>
                                    <w:rFonts w:asciiTheme="minorHAnsi" w:hAnsi="Calibri" w:cstheme="minorBidi"/>
                                    <w:b/>
                                    <w:bCs/>
                                    <w:color w:val="FFC000" w:themeColor="accent4"/>
                                    <w:kern w:val="24"/>
                                    <w:sz w:val="32"/>
                                    <w:szCs w:val="32"/>
                                  </w:rPr>
                                  <w:t>0,4%</w:t>
                                </w:r>
                              </w:p>
                              <w:p w14:paraId="26A49C59" w14:textId="77777777" w:rsidR="00D22FE8" w:rsidRPr="00095124" w:rsidRDefault="00D22FE8" w:rsidP="00F25738">
                                <w:pPr>
                                  <w:pStyle w:val="NormalnyWeb"/>
                                  <w:spacing w:after="0"/>
                                  <w:jc w:val="center"/>
                                  <w:rPr>
                                    <w:color w:val="767171" w:themeColor="background2" w:themeShade="80"/>
                                  </w:rPr>
                                </w:pPr>
                                <w:r w:rsidRPr="00095124">
                                  <w:rPr>
                                    <w:rFonts w:ascii="Arial" w:hAnsi="Arial" w:cs="Arial"/>
                                    <w:b/>
                                    <w:bCs/>
                                    <w:color w:val="767171" w:themeColor="background2" w:themeShade="80"/>
                                    <w:kern w:val="24"/>
                                    <w:sz w:val="32"/>
                                    <w:szCs w:val="32"/>
                                  </w:rPr>
                                  <w:t>1,4%</w:t>
                                </w:r>
                              </w:p>
                              <w:p w14:paraId="140EDB93" w14:textId="77777777" w:rsidR="00D22FE8" w:rsidRDefault="00D22FE8" w:rsidP="00F25738">
                                <w:pPr>
                                  <w:pStyle w:val="NormalnyWeb"/>
                                  <w:spacing w:after="0"/>
                                  <w:jc w:val="center"/>
                                </w:pPr>
                                <w:r>
                                  <w:rPr>
                                    <w:rFonts w:ascii="Arial" w:hAnsi="Arial" w:cs="Arial"/>
                                    <w:b/>
                                    <w:bCs/>
                                    <w:color w:val="F47320"/>
                                    <w:kern w:val="24"/>
                                    <w:sz w:val="32"/>
                                    <w:szCs w:val="32"/>
                                  </w:rPr>
                                  <w:t>0,9%</w:t>
                                </w:r>
                                <w:r>
                                  <w:rPr>
                                    <w:rFonts w:asciiTheme="minorHAnsi" w:hAnsi="Calibri" w:cstheme="minorBidi"/>
                                    <w:color w:val="000000" w:themeColor="text1"/>
                                    <w:kern w:val="24"/>
                                    <w:sz w:val="32"/>
                                    <w:szCs w:val="32"/>
                                  </w:rPr>
                                  <w:br/>
                                </w:r>
                                <w:r>
                                  <w:rPr>
                                    <w:rFonts w:asciiTheme="minorHAnsi" w:hAnsi="Calibri" w:cstheme="minorBidi"/>
                                    <w:color w:val="000000" w:themeColor="text1"/>
                                    <w:kern w:val="24"/>
                                    <w:sz w:val="21"/>
                                    <w:szCs w:val="21"/>
                                  </w:rPr>
                                  <w:t>inaczej</w:t>
                                </w:r>
                              </w:p>
                            </w:txbxContent>
                          </wps:txbx>
                          <wps:bodyPr wrap="square">
                            <a:noAutofit/>
                          </wps:bodyPr>
                        </wps:wsp>
                        <wpg:grpSp>
                          <wpg:cNvPr id="159" name="Grupa 159">
                            <a:extLst>
                              <a:ext uri="{FF2B5EF4-FFF2-40B4-BE49-F238E27FC236}">
                                <a16:creationId xmlns:a16="http://schemas.microsoft.com/office/drawing/2014/main" id="{1FB24F38-3E2B-4C84-B492-0009DC5F0CD7}"/>
                              </a:ext>
                            </a:extLst>
                          </wpg:cNvPr>
                          <wpg:cNvGrpSpPr>
                            <a:grpSpLocks noChangeAspect="1"/>
                          </wpg:cNvGrpSpPr>
                          <wpg:grpSpPr>
                            <a:xfrm>
                              <a:off x="419100" y="1485900"/>
                              <a:ext cx="274216" cy="312344"/>
                              <a:chOff x="7421375" y="2960417"/>
                              <a:chExt cx="703263" cy="709613"/>
                            </a:xfrm>
                          </wpg:grpSpPr>
                          <wps:wsp>
                            <wps:cNvPr id="160" name="Rectangle 29">
                              <a:extLst>
                                <a:ext uri="{FF2B5EF4-FFF2-40B4-BE49-F238E27FC236}">
                                  <a16:creationId xmlns:a16="http://schemas.microsoft.com/office/drawing/2014/main" id="{4791801A-CF7A-4352-9E84-9566C86BC7CF}"/>
                                </a:ext>
                              </a:extLst>
                            </wps:cNvPr>
                            <wps:cNvSpPr>
                              <a:spLocks noChangeArrowheads="1"/>
                            </wps:cNvSpPr>
                            <wps:spPr bwMode="auto">
                              <a:xfrm>
                                <a:off x="7746813" y="3214417"/>
                                <a:ext cx="53975" cy="61913"/>
                              </a:xfrm>
                              <a:prstGeom prst="rect">
                                <a:avLst/>
                              </a:prstGeom>
                              <a:solidFill>
                                <a:srgbClr val="0094CF"/>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61" name="Freeform 30">
                              <a:extLst>
                                <a:ext uri="{FF2B5EF4-FFF2-40B4-BE49-F238E27FC236}">
                                  <a16:creationId xmlns:a16="http://schemas.microsoft.com/office/drawing/2014/main" id="{08E6E77F-4011-4143-A994-3F1D5B2751DE}"/>
                                </a:ext>
                              </a:extLst>
                            </wps:cNvPr>
                            <wps:cNvSpPr>
                              <a:spLocks/>
                            </wps:cNvSpPr>
                            <wps:spPr bwMode="auto">
                              <a:xfrm>
                                <a:off x="7746813" y="2960417"/>
                                <a:ext cx="53975" cy="68263"/>
                              </a:xfrm>
                              <a:custGeom>
                                <a:avLst/>
                                <a:gdLst>
                                  <a:gd name="T0" fmla="*/ 239 w 239"/>
                                  <a:gd name="T1" fmla="*/ 300 h 300"/>
                                  <a:gd name="T2" fmla="*/ 239 w 239"/>
                                  <a:gd name="T3" fmla="*/ 120 h 300"/>
                                  <a:gd name="T4" fmla="*/ 239 w 239"/>
                                  <a:gd name="T5" fmla="*/ 120 h 300"/>
                                  <a:gd name="T6" fmla="*/ 239 w 239"/>
                                  <a:gd name="T7" fmla="*/ 107 h 300"/>
                                  <a:gd name="T8" fmla="*/ 237 w 239"/>
                                  <a:gd name="T9" fmla="*/ 95 h 300"/>
                                  <a:gd name="T10" fmla="*/ 234 w 239"/>
                                  <a:gd name="T11" fmla="*/ 84 h 300"/>
                                  <a:gd name="T12" fmla="*/ 230 w 239"/>
                                  <a:gd name="T13" fmla="*/ 73 h 300"/>
                                  <a:gd name="T14" fmla="*/ 225 w 239"/>
                                  <a:gd name="T15" fmla="*/ 63 h 300"/>
                                  <a:gd name="T16" fmla="*/ 219 w 239"/>
                                  <a:gd name="T17" fmla="*/ 52 h 300"/>
                                  <a:gd name="T18" fmla="*/ 212 w 239"/>
                                  <a:gd name="T19" fmla="*/ 43 h 300"/>
                                  <a:gd name="T20" fmla="*/ 205 w 239"/>
                                  <a:gd name="T21" fmla="*/ 35 h 300"/>
                                  <a:gd name="T22" fmla="*/ 196 w 239"/>
                                  <a:gd name="T23" fmla="*/ 27 h 300"/>
                                  <a:gd name="T24" fmla="*/ 187 w 239"/>
                                  <a:gd name="T25" fmla="*/ 20 h 300"/>
                                  <a:gd name="T26" fmla="*/ 177 w 239"/>
                                  <a:gd name="T27" fmla="*/ 14 h 300"/>
                                  <a:gd name="T28" fmla="*/ 166 w 239"/>
                                  <a:gd name="T29" fmla="*/ 9 h 300"/>
                                  <a:gd name="T30" fmla="*/ 156 w 239"/>
                                  <a:gd name="T31" fmla="*/ 5 h 300"/>
                                  <a:gd name="T32" fmla="*/ 144 w 239"/>
                                  <a:gd name="T33" fmla="*/ 2 h 300"/>
                                  <a:gd name="T34" fmla="*/ 133 w 239"/>
                                  <a:gd name="T35" fmla="*/ 0 h 300"/>
                                  <a:gd name="T36" fmla="*/ 120 w 239"/>
                                  <a:gd name="T37" fmla="*/ 0 h 300"/>
                                  <a:gd name="T38" fmla="*/ 120 w 239"/>
                                  <a:gd name="T39" fmla="*/ 0 h 300"/>
                                  <a:gd name="T40" fmla="*/ 107 w 239"/>
                                  <a:gd name="T41" fmla="*/ 0 h 300"/>
                                  <a:gd name="T42" fmla="*/ 95 w 239"/>
                                  <a:gd name="T43" fmla="*/ 2 h 300"/>
                                  <a:gd name="T44" fmla="*/ 84 w 239"/>
                                  <a:gd name="T45" fmla="*/ 5 h 300"/>
                                  <a:gd name="T46" fmla="*/ 73 w 239"/>
                                  <a:gd name="T47" fmla="*/ 9 h 300"/>
                                  <a:gd name="T48" fmla="*/ 63 w 239"/>
                                  <a:gd name="T49" fmla="*/ 14 h 300"/>
                                  <a:gd name="T50" fmla="*/ 53 w 239"/>
                                  <a:gd name="T51" fmla="*/ 20 h 300"/>
                                  <a:gd name="T52" fmla="*/ 44 w 239"/>
                                  <a:gd name="T53" fmla="*/ 27 h 300"/>
                                  <a:gd name="T54" fmla="*/ 35 w 239"/>
                                  <a:gd name="T55" fmla="*/ 35 h 300"/>
                                  <a:gd name="T56" fmla="*/ 28 w 239"/>
                                  <a:gd name="T57" fmla="*/ 43 h 300"/>
                                  <a:gd name="T58" fmla="*/ 20 w 239"/>
                                  <a:gd name="T59" fmla="*/ 52 h 300"/>
                                  <a:gd name="T60" fmla="*/ 14 w 239"/>
                                  <a:gd name="T61" fmla="*/ 63 h 300"/>
                                  <a:gd name="T62" fmla="*/ 10 w 239"/>
                                  <a:gd name="T63" fmla="*/ 73 h 300"/>
                                  <a:gd name="T64" fmla="*/ 6 w 239"/>
                                  <a:gd name="T65" fmla="*/ 84 h 300"/>
                                  <a:gd name="T66" fmla="*/ 2 w 239"/>
                                  <a:gd name="T67" fmla="*/ 95 h 300"/>
                                  <a:gd name="T68" fmla="*/ 0 w 239"/>
                                  <a:gd name="T69" fmla="*/ 107 h 300"/>
                                  <a:gd name="T70" fmla="*/ 0 w 239"/>
                                  <a:gd name="T71" fmla="*/ 120 h 300"/>
                                  <a:gd name="T72" fmla="*/ 0 w 239"/>
                                  <a:gd name="T73" fmla="*/ 300 h 300"/>
                                  <a:gd name="T74" fmla="*/ 239 w 239"/>
                                  <a:gd name="T75" fmla="*/ 300 h 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39" h="300">
                                    <a:moveTo>
                                      <a:pt x="239" y="300"/>
                                    </a:moveTo>
                                    <a:lnTo>
                                      <a:pt x="239" y="120"/>
                                    </a:lnTo>
                                    <a:lnTo>
                                      <a:pt x="239" y="120"/>
                                    </a:lnTo>
                                    <a:lnTo>
                                      <a:pt x="239" y="107"/>
                                    </a:lnTo>
                                    <a:lnTo>
                                      <a:pt x="237" y="95"/>
                                    </a:lnTo>
                                    <a:lnTo>
                                      <a:pt x="234" y="84"/>
                                    </a:lnTo>
                                    <a:lnTo>
                                      <a:pt x="230" y="73"/>
                                    </a:lnTo>
                                    <a:lnTo>
                                      <a:pt x="225" y="63"/>
                                    </a:lnTo>
                                    <a:lnTo>
                                      <a:pt x="219" y="52"/>
                                    </a:lnTo>
                                    <a:lnTo>
                                      <a:pt x="212" y="43"/>
                                    </a:lnTo>
                                    <a:lnTo>
                                      <a:pt x="205" y="35"/>
                                    </a:lnTo>
                                    <a:lnTo>
                                      <a:pt x="196" y="27"/>
                                    </a:lnTo>
                                    <a:lnTo>
                                      <a:pt x="187" y="20"/>
                                    </a:lnTo>
                                    <a:lnTo>
                                      <a:pt x="177" y="14"/>
                                    </a:lnTo>
                                    <a:lnTo>
                                      <a:pt x="166" y="9"/>
                                    </a:lnTo>
                                    <a:lnTo>
                                      <a:pt x="156" y="5"/>
                                    </a:lnTo>
                                    <a:lnTo>
                                      <a:pt x="144" y="2"/>
                                    </a:lnTo>
                                    <a:lnTo>
                                      <a:pt x="133" y="0"/>
                                    </a:lnTo>
                                    <a:lnTo>
                                      <a:pt x="120" y="0"/>
                                    </a:lnTo>
                                    <a:lnTo>
                                      <a:pt x="120" y="0"/>
                                    </a:lnTo>
                                    <a:lnTo>
                                      <a:pt x="107" y="0"/>
                                    </a:lnTo>
                                    <a:lnTo>
                                      <a:pt x="95" y="2"/>
                                    </a:lnTo>
                                    <a:lnTo>
                                      <a:pt x="84" y="5"/>
                                    </a:lnTo>
                                    <a:lnTo>
                                      <a:pt x="73" y="9"/>
                                    </a:lnTo>
                                    <a:lnTo>
                                      <a:pt x="63" y="14"/>
                                    </a:lnTo>
                                    <a:lnTo>
                                      <a:pt x="53" y="20"/>
                                    </a:lnTo>
                                    <a:lnTo>
                                      <a:pt x="44" y="27"/>
                                    </a:lnTo>
                                    <a:lnTo>
                                      <a:pt x="35" y="35"/>
                                    </a:lnTo>
                                    <a:lnTo>
                                      <a:pt x="28" y="43"/>
                                    </a:lnTo>
                                    <a:lnTo>
                                      <a:pt x="20" y="52"/>
                                    </a:lnTo>
                                    <a:lnTo>
                                      <a:pt x="14" y="63"/>
                                    </a:lnTo>
                                    <a:lnTo>
                                      <a:pt x="10" y="73"/>
                                    </a:lnTo>
                                    <a:lnTo>
                                      <a:pt x="6" y="84"/>
                                    </a:lnTo>
                                    <a:lnTo>
                                      <a:pt x="2" y="95"/>
                                    </a:lnTo>
                                    <a:lnTo>
                                      <a:pt x="0" y="107"/>
                                    </a:lnTo>
                                    <a:lnTo>
                                      <a:pt x="0" y="120"/>
                                    </a:lnTo>
                                    <a:lnTo>
                                      <a:pt x="0" y="300"/>
                                    </a:lnTo>
                                    <a:lnTo>
                                      <a:pt x="239" y="300"/>
                                    </a:lnTo>
                                    <a:close/>
                                  </a:path>
                                </a:pathLst>
                              </a:custGeom>
                              <a:solidFill>
                                <a:srgbClr val="0094C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62" name="Freeform 31">
                              <a:extLst>
                                <a:ext uri="{FF2B5EF4-FFF2-40B4-BE49-F238E27FC236}">
                                  <a16:creationId xmlns:a16="http://schemas.microsoft.com/office/drawing/2014/main" id="{C889CBAB-A93B-4D61-836C-ED3861D71CE5}"/>
                                </a:ext>
                              </a:extLst>
                            </wps:cNvPr>
                            <wps:cNvSpPr>
                              <a:spLocks/>
                            </wps:cNvSpPr>
                            <wps:spPr bwMode="auto">
                              <a:xfrm>
                                <a:off x="7746813" y="3462067"/>
                                <a:ext cx="53975" cy="85725"/>
                              </a:xfrm>
                              <a:custGeom>
                                <a:avLst/>
                                <a:gdLst>
                                  <a:gd name="T0" fmla="*/ 120 w 239"/>
                                  <a:gd name="T1" fmla="*/ 377 h 380"/>
                                  <a:gd name="T2" fmla="*/ 120 w 239"/>
                                  <a:gd name="T3" fmla="*/ 377 h 380"/>
                                  <a:gd name="T4" fmla="*/ 180 w 239"/>
                                  <a:gd name="T5" fmla="*/ 378 h 380"/>
                                  <a:gd name="T6" fmla="*/ 239 w 239"/>
                                  <a:gd name="T7" fmla="*/ 380 h 380"/>
                                  <a:gd name="T8" fmla="*/ 239 w 239"/>
                                  <a:gd name="T9" fmla="*/ 0 h 380"/>
                                  <a:gd name="T10" fmla="*/ 0 w 239"/>
                                  <a:gd name="T11" fmla="*/ 0 h 380"/>
                                  <a:gd name="T12" fmla="*/ 0 w 239"/>
                                  <a:gd name="T13" fmla="*/ 380 h 380"/>
                                  <a:gd name="T14" fmla="*/ 0 w 239"/>
                                  <a:gd name="T15" fmla="*/ 380 h 380"/>
                                  <a:gd name="T16" fmla="*/ 60 w 239"/>
                                  <a:gd name="T17" fmla="*/ 378 h 380"/>
                                  <a:gd name="T18" fmla="*/ 120 w 239"/>
                                  <a:gd name="T19" fmla="*/ 377 h 380"/>
                                  <a:gd name="T20" fmla="*/ 120 w 239"/>
                                  <a:gd name="T21" fmla="*/ 377 h 3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39" h="380">
                                    <a:moveTo>
                                      <a:pt x="120" y="377"/>
                                    </a:moveTo>
                                    <a:lnTo>
                                      <a:pt x="120" y="377"/>
                                    </a:lnTo>
                                    <a:lnTo>
                                      <a:pt x="180" y="378"/>
                                    </a:lnTo>
                                    <a:lnTo>
                                      <a:pt x="239" y="380"/>
                                    </a:lnTo>
                                    <a:lnTo>
                                      <a:pt x="239" y="0"/>
                                    </a:lnTo>
                                    <a:lnTo>
                                      <a:pt x="0" y="0"/>
                                    </a:lnTo>
                                    <a:lnTo>
                                      <a:pt x="0" y="380"/>
                                    </a:lnTo>
                                    <a:lnTo>
                                      <a:pt x="0" y="380"/>
                                    </a:lnTo>
                                    <a:lnTo>
                                      <a:pt x="60" y="378"/>
                                    </a:lnTo>
                                    <a:lnTo>
                                      <a:pt x="120" y="377"/>
                                    </a:lnTo>
                                    <a:lnTo>
                                      <a:pt x="120" y="377"/>
                                    </a:lnTo>
                                    <a:close/>
                                  </a:path>
                                </a:pathLst>
                              </a:custGeom>
                              <a:solidFill>
                                <a:srgbClr val="0094C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63" name="Freeform 32">
                              <a:extLst>
                                <a:ext uri="{FF2B5EF4-FFF2-40B4-BE49-F238E27FC236}">
                                  <a16:creationId xmlns:a16="http://schemas.microsoft.com/office/drawing/2014/main" id="{FD60E931-1FB3-47ED-92FE-716701AC8992}"/>
                                </a:ext>
                              </a:extLst>
                            </wps:cNvPr>
                            <wps:cNvSpPr>
                              <a:spLocks/>
                            </wps:cNvSpPr>
                            <wps:spPr bwMode="auto">
                              <a:xfrm>
                                <a:off x="7611875" y="2987405"/>
                                <a:ext cx="512763" cy="268288"/>
                              </a:xfrm>
                              <a:custGeom>
                                <a:avLst/>
                                <a:gdLst>
                                  <a:gd name="T0" fmla="*/ 1444 w 2261"/>
                                  <a:gd name="T1" fmla="*/ 27 h 1186"/>
                                  <a:gd name="T2" fmla="*/ 1444 w 2261"/>
                                  <a:gd name="T3" fmla="*/ 27 h 1186"/>
                                  <a:gd name="T4" fmla="*/ 1427 w 2261"/>
                                  <a:gd name="T5" fmla="*/ 16 h 1186"/>
                                  <a:gd name="T6" fmla="*/ 1411 w 2261"/>
                                  <a:gd name="T7" fmla="*/ 8 h 1186"/>
                                  <a:gd name="T8" fmla="*/ 1397 w 2261"/>
                                  <a:gd name="T9" fmla="*/ 3 h 1186"/>
                                  <a:gd name="T10" fmla="*/ 1383 w 2261"/>
                                  <a:gd name="T11" fmla="*/ 0 h 1186"/>
                                  <a:gd name="T12" fmla="*/ 1370 w 2261"/>
                                  <a:gd name="T13" fmla="*/ 0 h 1186"/>
                                  <a:gd name="T14" fmla="*/ 1359 w 2261"/>
                                  <a:gd name="T15" fmla="*/ 3 h 1186"/>
                                  <a:gd name="T16" fmla="*/ 1348 w 2261"/>
                                  <a:gd name="T17" fmla="*/ 7 h 1186"/>
                                  <a:gd name="T18" fmla="*/ 1338 w 2261"/>
                                  <a:gd name="T19" fmla="*/ 13 h 1186"/>
                                  <a:gd name="T20" fmla="*/ 1331 w 2261"/>
                                  <a:gd name="T21" fmla="*/ 21 h 1186"/>
                                  <a:gd name="T22" fmla="*/ 1325 w 2261"/>
                                  <a:gd name="T23" fmla="*/ 31 h 1186"/>
                                  <a:gd name="T24" fmla="*/ 1320 w 2261"/>
                                  <a:gd name="T25" fmla="*/ 42 h 1186"/>
                                  <a:gd name="T26" fmla="*/ 1317 w 2261"/>
                                  <a:gd name="T27" fmla="*/ 55 h 1186"/>
                                  <a:gd name="T28" fmla="*/ 1316 w 2261"/>
                                  <a:gd name="T29" fmla="*/ 69 h 1186"/>
                                  <a:gd name="T30" fmla="*/ 1317 w 2261"/>
                                  <a:gd name="T31" fmla="*/ 84 h 1186"/>
                                  <a:gd name="T32" fmla="*/ 1320 w 2261"/>
                                  <a:gd name="T33" fmla="*/ 101 h 1186"/>
                                  <a:gd name="T34" fmla="*/ 1325 w 2261"/>
                                  <a:gd name="T35" fmla="*/ 118 h 1186"/>
                                  <a:gd name="T36" fmla="*/ 1375 w 2261"/>
                                  <a:gd name="T37" fmla="*/ 289 h 1186"/>
                                  <a:gd name="T38" fmla="*/ 0 w 2261"/>
                                  <a:gd name="T39" fmla="*/ 289 h 1186"/>
                                  <a:gd name="T40" fmla="*/ 0 w 2261"/>
                                  <a:gd name="T41" fmla="*/ 897 h 1186"/>
                                  <a:gd name="T42" fmla="*/ 1375 w 2261"/>
                                  <a:gd name="T43" fmla="*/ 897 h 1186"/>
                                  <a:gd name="T44" fmla="*/ 1325 w 2261"/>
                                  <a:gd name="T45" fmla="*/ 1068 h 1186"/>
                                  <a:gd name="T46" fmla="*/ 1325 w 2261"/>
                                  <a:gd name="T47" fmla="*/ 1068 h 1186"/>
                                  <a:gd name="T48" fmla="*/ 1320 w 2261"/>
                                  <a:gd name="T49" fmla="*/ 1085 h 1186"/>
                                  <a:gd name="T50" fmla="*/ 1317 w 2261"/>
                                  <a:gd name="T51" fmla="*/ 1102 h 1186"/>
                                  <a:gd name="T52" fmla="*/ 1316 w 2261"/>
                                  <a:gd name="T53" fmla="*/ 1117 h 1186"/>
                                  <a:gd name="T54" fmla="*/ 1317 w 2261"/>
                                  <a:gd name="T55" fmla="*/ 1131 h 1186"/>
                                  <a:gd name="T56" fmla="*/ 1320 w 2261"/>
                                  <a:gd name="T57" fmla="*/ 1145 h 1186"/>
                                  <a:gd name="T58" fmla="*/ 1325 w 2261"/>
                                  <a:gd name="T59" fmla="*/ 1155 h 1186"/>
                                  <a:gd name="T60" fmla="*/ 1331 w 2261"/>
                                  <a:gd name="T61" fmla="*/ 1166 h 1186"/>
                                  <a:gd name="T62" fmla="*/ 1338 w 2261"/>
                                  <a:gd name="T63" fmla="*/ 1173 h 1186"/>
                                  <a:gd name="T64" fmla="*/ 1348 w 2261"/>
                                  <a:gd name="T65" fmla="*/ 1179 h 1186"/>
                                  <a:gd name="T66" fmla="*/ 1359 w 2261"/>
                                  <a:gd name="T67" fmla="*/ 1184 h 1186"/>
                                  <a:gd name="T68" fmla="*/ 1370 w 2261"/>
                                  <a:gd name="T69" fmla="*/ 1186 h 1186"/>
                                  <a:gd name="T70" fmla="*/ 1383 w 2261"/>
                                  <a:gd name="T71" fmla="*/ 1186 h 1186"/>
                                  <a:gd name="T72" fmla="*/ 1397 w 2261"/>
                                  <a:gd name="T73" fmla="*/ 1184 h 1186"/>
                                  <a:gd name="T74" fmla="*/ 1411 w 2261"/>
                                  <a:gd name="T75" fmla="*/ 1178 h 1186"/>
                                  <a:gd name="T76" fmla="*/ 1427 w 2261"/>
                                  <a:gd name="T77" fmla="*/ 1170 h 1186"/>
                                  <a:gd name="T78" fmla="*/ 1444 w 2261"/>
                                  <a:gd name="T79" fmla="*/ 1159 h 1186"/>
                                  <a:gd name="T80" fmla="*/ 1444 w 2261"/>
                                  <a:gd name="T81" fmla="*/ 1159 h 1186"/>
                                  <a:gd name="T82" fmla="*/ 1506 w 2261"/>
                                  <a:gd name="T83" fmla="*/ 1116 h 1186"/>
                                  <a:gd name="T84" fmla="*/ 1610 w 2261"/>
                                  <a:gd name="T85" fmla="*/ 1043 h 1186"/>
                                  <a:gd name="T86" fmla="*/ 1887 w 2261"/>
                                  <a:gd name="T87" fmla="*/ 851 h 1186"/>
                                  <a:gd name="T88" fmla="*/ 2261 w 2261"/>
                                  <a:gd name="T89" fmla="*/ 593 h 1186"/>
                                  <a:gd name="T90" fmla="*/ 2261 w 2261"/>
                                  <a:gd name="T91" fmla="*/ 593 h 1186"/>
                                  <a:gd name="T92" fmla="*/ 1887 w 2261"/>
                                  <a:gd name="T93" fmla="*/ 335 h 1186"/>
                                  <a:gd name="T94" fmla="*/ 1610 w 2261"/>
                                  <a:gd name="T95" fmla="*/ 143 h 1186"/>
                                  <a:gd name="T96" fmla="*/ 1506 w 2261"/>
                                  <a:gd name="T97" fmla="*/ 70 h 1186"/>
                                  <a:gd name="T98" fmla="*/ 1444 w 2261"/>
                                  <a:gd name="T99" fmla="*/ 27 h 1186"/>
                                  <a:gd name="T100" fmla="*/ 1444 w 2261"/>
                                  <a:gd name="T101" fmla="*/ 27 h 11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261" h="1186">
                                    <a:moveTo>
                                      <a:pt x="1444" y="27"/>
                                    </a:moveTo>
                                    <a:lnTo>
                                      <a:pt x="1444" y="27"/>
                                    </a:lnTo>
                                    <a:lnTo>
                                      <a:pt x="1427" y="16"/>
                                    </a:lnTo>
                                    <a:lnTo>
                                      <a:pt x="1411" y="8"/>
                                    </a:lnTo>
                                    <a:lnTo>
                                      <a:pt x="1397" y="3"/>
                                    </a:lnTo>
                                    <a:lnTo>
                                      <a:pt x="1383" y="0"/>
                                    </a:lnTo>
                                    <a:lnTo>
                                      <a:pt x="1370" y="0"/>
                                    </a:lnTo>
                                    <a:lnTo>
                                      <a:pt x="1359" y="3"/>
                                    </a:lnTo>
                                    <a:lnTo>
                                      <a:pt x="1348" y="7"/>
                                    </a:lnTo>
                                    <a:lnTo>
                                      <a:pt x="1338" y="13"/>
                                    </a:lnTo>
                                    <a:lnTo>
                                      <a:pt x="1331" y="21"/>
                                    </a:lnTo>
                                    <a:lnTo>
                                      <a:pt x="1325" y="31"/>
                                    </a:lnTo>
                                    <a:lnTo>
                                      <a:pt x="1320" y="42"/>
                                    </a:lnTo>
                                    <a:lnTo>
                                      <a:pt x="1317" y="55"/>
                                    </a:lnTo>
                                    <a:lnTo>
                                      <a:pt x="1316" y="69"/>
                                    </a:lnTo>
                                    <a:lnTo>
                                      <a:pt x="1317" y="84"/>
                                    </a:lnTo>
                                    <a:lnTo>
                                      <a:pt x="1320" y="101"/>
                                    </a:lnTo>
                                    <a:lnTo>
                                      <a:pt x="1325" y="118"/>
                                    </a:lnTo>
                                    <a:lnTo>
                                      <a:pt x="1375" y="289"/>
                                    </a:lnTo>
                                    <a:lnTo>
                                      <a:pt x="0" y="289"/>
                                    </a:lnTo>
                                    <a:lnTo>
                                      <a:pt x="0" y="897"/>
                                    </a:lnTo>
                                    <a:lnTo>
                                      <a:pt x="1375" y="897"/>
                                    </a:lnTo>
                                    <a:lnTo>
                                      <a:pt x="1325" y="1068"/>
                                    </a:lnTo>
                                    <a:lnTo>
                                      <a:pt x="1325" y="1068"/>
                                    </a:lnTo>
                                    <a:lnTo>
                                      <a:pt x="1320" y="1085"/>
                                    </a:lnTo>
                                    <a:lnTo>
                                      <a:pt x="1317" y="1102"/>
                                    </a:lnTo>
                                    <a:lnTo>
                                      <a:pt x="1316" y="1117"/>
                                    </a:lnTo>
                                    <a:lnTo>
                                      <a:pt x="1317" y="1131"/>
                                    </a:lnTo>
                                    <a:lnTo>
                                      <a:pt x="1320" y="1145"/>
                                    </a:lnTo>
                                    <a:lnTo>
                                      <a:pt x="1325" y="1155"/>
                                    </a:lnTo>
                                    <a:lnTo>
                                      <a:pt x="1331" y="1166"/>
                                    </a:lnTo>
                                    <a:lnTo>
                                      <a:pt x="1338" y="1173"/>
                                    </a:lnTo>
                                    <a:lnTo>
                                      <a:pt x="1348" y="1179"/>
                                    </a:lnTo>
                                    <a:lnTo>
                                      <a:pt x="1359" y="1184"/>
                                    </a:lnTo>
                                    <a:lnTo>
                                      <a:pt x="1370" y="1186"/>
                                    </a:lnTo>
                                    <a:lnTo>
                                      <a:pt x="1383" y="1186"/>
                                    </a:lnTo>
                                    <a:lnTo>
                                      <a:pt x="1397" y="1184"/>
                                    </a:lnTo>
                                    <a:lnTo>
                                      <a:pt x="1411" y="1178"/>
                                    </a:lnTo>
                                    <a:lnTo>
                                      <a:pt x="1427" y="1170"/>
                                    </a:lnTo>
                                    <a:lnTo>
                                      <a:pt x="1444" y="1159"/>
                                    </a:lnTo>
                                    <a:lnTo>
                                      <a:pt x="1444" y="1159"/>
                                    </a:lnTo>
                                    <a:lnTo>
                                      <a:pt x="1506" y="1116"/>
                                    </a:lnTo>
                                    <a:lnTo>
                                      <a:pt x="1610" y="1043"/>
                                    </a:lnTo>
                                    <a:lnTo>
                                      <a:pt x="1887" y="851"/>
                                    </a:lnTo>
                                    <a:lnTo>
                                      <a:pt x="2261" y="593"/>
                                    </a:lnTo>
                                    <a:lnTo>
                                      <a:pt x="2261" y="593"/>
                                    </a:lnTo>
                                    <a:lnTo>
                                      <a:pt x="1887" y="335"/>
                                    </a:lnTo>
                                    <a:lnTo>
                                      <a:pt x="1610" y="143"/>
                                    </a:lnTo>
                                    <a:lnTo>
                                      <a:pt x="1506" y="70"/>
                                    </a:lnTo>
                                    <a:lnTo>
                                      <a:pt x="1444" y="27"/>
                                    </a:lnTo>
                                    <a:lnTo>
                                      <a:pt x="1444" y="27"/>
                                    </a:lnTo>
                                    <a:close/>
                                  </a:path>
                                </a:pathLst>
                              </a:custGeom>
                              <a:solidFill>
                                <a:srgbClr val="004B88"/>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64" name="Freeform 33">
                              <a:extLst>
                                <a:ext uri="{FF2B5EF4-FFF2-40B4-BE49-F238E27FC236}">
                                  <a16:creationId xmlns:a16="http://schemas.microsoft.com/office/drawing/2014/main" id="{57B3FF06-2C07-4AC1-888A-3C3AB7DFB2FE}"/>
                                </a:ext>
                              </a:extLst>
                            </wps:cNvPr>
                            <wps:cNvSpPr>
                              <a:spLocks/>
                            </wps:cNvSpPr>
                            <wps:spPr bwMode="auto">
                              <a:xfrm>
                                <a:off x="7421375" y="3235055"/>
                                <a:ext cx="514350" cy="268288"/>
                              </a:xfrm>
                              <a:custGeom>
                                <a:avLst/>
                                <a:gdLst>
                                  <a:gd name="T0" fmla="*/ 817 w 2262"/>
                                  <a:gd name="T1" fmla="*/ 27 h 1186"/>
                                  <a:gd name="T2" fmla="*/ 817 w 2262"/>
                                  <a:gd name="T3" fmla="*/ 27 h 1186"/>
                                  <a:gd name="T4" fmla="*/ 834 w 2262"/>
                                  <a:gd name="T5" fmla="*/ 16 h 1186"/>
                                  <a:gd name="T6" fmla="*/ 850 w 2262"/>
                                  <a:gd name="T7" fmla="*/ 8 h 1186"/>
                                  <a:gd name="T8" fmla="*/ 865 w 2262"/>
                                  <a:gd name="T9" fmla="*/ 3 h 1186"/>
                                  <a:gd name="T10" fmla="*/ 879 w 2262"/>
                                  <a:gd name="T11" fmla="*/ 0 h 1186"/>
                                  <a:gd name="T12" fmla="*/ 892 w 2262"/>
                                  <a:gd name="T13" fmla="*/ 0 h 1186"/>
                                  <a:gd name="T14" fmla="*/ 903 w 2262"/>
                                  <a:gd name="T15" fmla="*/ 2 h 1186"/>
                                  <a:gd name="T16" fmla="*/ 914 w 2262"/>
                                  <a:gd name="T17" fmla="*/ 6 h 1186"/>
                                  <a:gd name="T18" fmla="*/ 923 w 2262"/>
                                  <a:gd name="T19" fmla="*/ 12 h 1186"/>
                                  <a:gd name="T20" fmla="*/ 931 w 2262"/>
                                  <a:gd name="T21" fmla="*/ 21 h 1186"/>
                                  <a:gd name="T22" fmla="*/ 937 w 2262"/>
                                  <a:gd name="T23" fmla="*/ 30 h 1186"/>
                                  <a:gd name="T24" fmla="*/ 941 w 2262"/>
                                  <a:gd name="T25" fmla="*/ 42 h 1186"/>
                                  <a:gd name="T26" fmla="*/ 944 w 2262"/>
                                  <a:gd name="T27" fmla="*/ 55 h 1186"/>
                                  <a:gd name="T28" fmla="*/ 945 w 2262"/>
                                  <a:gd name="T29" fmla="*/ 68 h 1186"/>
                                  <a:gd name="T30" fmla="*/ 944 w 2262"/>
                                  <a:gd name="T31" fmla="*/ 84 h 1186"/>
                                  <a:gd name="T32" fmla="*/ 941 w 2262"/>
                                  <a:gd name="T33" fmla="*/ 100 h 1186"/>
                                  <a:gd name="T34" fmla="*/ 937 w 2262"/>
                                  <a:gd name="T35" fmla="*/ 117 h 1186"/>
                                  <a:gd name="T36" fmla="*/ 886 w 2262"/>
                                  <a:gd name="T37" fmla="*/ 289 h 1186"/>
                                  <a:gd name="T38" fmla="*/ 2262 w 2262"/>
                                  <a:gd name="T39" fmla="*/ 289 h 1186"/>
                                  <a:gd name="T40" fmla="*/ 2262 w 2262"/>
                                  <a:gd name="T41" fmla="*/ 897 h 1186"/>
                                  <a:gd name="T42" fmla="*/ 886 w 2262"/>
                                  <a:gd name="T43" fmla="*/ 897 h 1186"/>
                                  <a:gd name="T44" fmla="*/ 937 w 2262"/>
                                  <a:gd name="T45" fmla="*/ 1069 h 1186"/>
                                  <a:gd name="T46" fmla="*/ 937 w 2262"/>
                                  <a:gd name="T47" fmla="*/ 1069 h 1186"/>
                                  <a:gd name="T48" fmla="*/ 941 w 2262"/>
                                  <a:gd name="T49" fmla="*/ 1086 h 1186"/>
                                  <a:gd name="T50" fmla="*/ 944 w 2262"/>
                                  <a:gd name="T51" fmla="*/ 1101 h 1186"/>
                                  <a:gd name="T52" fmla="*/ 945 w 2262"/>
                                  <a:gd name="T53" fmla="*/ 1117 h 1186"/>
                                  <a:gd name="T54" fmla="*/ 944 w 2262"/>
                                  <a:gd name="T55" fmla="*/ 1131 h 1186"/>
                                  <a:gd name="T56" fmla="*/ 941 w 2262"/>
                                  <a:gd name="T57" fmla="*/ 1144 h 1186"/>
                                  <a:gd name="T58" fmla="*/ 937 w 2262"/>
                                  <a:gd name="T59" fmla="*/ 1155 h 1186"/>
                                  <a:gd name="T60" fmla="*/ 931 w 2262"/>
                                  <a:gd name="T61" fmla="*/ 1165 h 1186"/>
                                  <a:gd name="T62" fmla="*/ 923 w 2262"/>
                                  <a:gd name="T63" fmla="*/ 1173 h 1186"/>
                                  <a:gd name="T64" fmla="*/ 914 w 2262"/>
                                  <a:gd name="T65" fmla="*/ 1180 h 1186"/>
                                  <a:gd name="T66" fmla="*/ 903 w 2262"/>
                                  <a:gd name="T67" fmla="*/ 1184 h 1186"/>
                                  <a:gd name="T68" fmla="*/ 892 w 2262"/>
                                  <a:gd name="T69" fmla="*/ 1186 h 1186"/>
                                  <a:gd name="T70" fmla="*/ 879 w 2262"/>
                                  <a:gd name="T71" fmla="*/ 1186 h 1186"/>
                                  <a:gd name="T72" fmla="*/ 865 w 2262"/>
                                  <a:gd name="T73" fmla="*/ 1183 h 1186"/>
                                  <a:gd name="T74" fmla="*/ 850 w 2262"/>
                                  <a:gd name="T75" fmla="*/ 1178 h 1186"/>
                                  <a:gd name="T76" fmla="*/ 834 w 2262"/>
                                  <a:gd name="T77" fmla="*/ 1170 h 1186"/>
                                  <a:gd name="T78" fmla="*/ 817 w 2262"/>
                                  <a:gd name="T79" fmla="*/ 1159 h 1186"/>
                                  <a:gd name="T80" fmla="*/ 817 w 2262"/>
                                  <a:gd name="T81" fmla="*/ 1159 h 1186"/>
                                  <a:gd name="T82" fmla="*/ 756 w 2262"/>
                                  <a:gd name="T83" fmla="*/ 1116 h 1186"/>
                                  <a:gd name="T84" fmla="*/ 651 w 2262"/>
                                  <a:gd name="T85" fmla="*/ 1043 h 1186"/>
                                  <a:gd name="T86" fmla="*/ 375 w 2262"/>
                                  <a:gd name="T87" fmla="*/ 852 h 1186"/>
                                  <a:gd name="T88" fmla="*/ 0 w 2262"/>
                                  <a:gd name="T89" fmla="*/ 592 h 1186"/>
                                  <a:gd name="T90" fmla="*/ 0 w 2262"/>
                                  <a:gd name="T91" fmla="*/ 592 h 1186"/>
                                  <a:gd name="T92" fmla="*/ 375 w 2262"/>
                                  <a:gd name="T93" fmla="*/ 334 h 1186"/>
                                  <a:gd name="T94" fmla="*/ 651 w 2262"/>
                                  <a:gd name="T95" fmla="*/ 143 h 1186"/>
                                  <a:gd name="T96" fmla="*/ 756 w 2262"/>
                                  <a:gd name="T97" fmla="*/ 70 h 1186"/>
                                  <a:gd name="T98" fmla="*/ 817 w 2262"/>
                                  <a:gd name="T99" fmla="*/ 27 h 1186"/>
                                  <a:gd name="T100" fmla="*/ 817 w 2262"/>
                                  <a:gd name="T101" fmla="*/ 27 h 11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262" h="1186">
                                    <a:moveTo>
                                      <a:pt x="817" y="27"/>
                                    </a:moveTo>
                                    <a:lnTo>
                                      <a:pt x="817" y="27"/>
                                    </a:lnTo>
                                    <a:lnTo>
                                      <a:pt x="834" y="16"/>
                                    </a:lnTo>
                                    <a:lnTo>
                                      <a:pt x="850" y="8"/>
                                    </a:lnTo>
                                    <a:lnTo>
                                      <a:pt x="865" y="3"/>
                                    </a:lnTo>
                                    <a:lnTo>
                                      <a:pt x="879" y="0"/>
                                    </a:lnTo>
                                    <a:lnTo>
                                      <a:pt x="892" y="0"/>
                                    </a:lnTo>
                                    <a:lnTo>
                                      <a:pt x="903" y="2"/>
                                    </a:lnTo>
                                    <a:lnTo>
                                      <a:pt x="914" y="6"/>
                                    </a:lnTo>
                                    <a:lnTo>
                                      <a:pt x="923" y="12"/>
                                    </a:lnTo>
                                    <a:lnTo>
                                      <a:pt x="931" y="21"/>
                                    </a:lnTo>
                                    <a:lnTo>
                                      <a:pt x="937" y="30"/>
                                    </a:lnTo>
                                    <a:lnTo>
                                      <a:pt x="941" y="42"/>
                                    </a:lnTo>
                                    <a:lnTo>
                                      <a:pt x="944" y="55"/>
                                    </a:lnTo>
                                    <a:lnTo>
                                      <a:pt x="945" y="68"/>
                                    </a:lnTo>
                                    <a:lnTo>
                                      <a:pt x="944" y="84"/>
                                    </a:lnTo>
                                    <a:lnTo>
                                      <a:pt x="941" y="100"/>
                                    </a:lnTo>
                                    <a:lnTo>
                                      <a:pt x="937" y="117"/>
                                    </a:lnTo>
                                    <a:lnTo>
                                      <a:pt x="886" y="289"/>
                                    </a:lnTo>
                                    <a:lnTo>
                                      <a:pt x="2262" y="289"/>
                                    </a:lnTo>
                                    <a:lnTo>
                                      <a:pt x="2262" y="897"/>
                                    </a:lnTo>
                                    <a:lnTo>
                                      <a:pt x="886" y="897"/>
                                    </a:lnTo>
                                    <a:lnTo>
                                      <a:pt x="937" y="1069"/>
                                    </a:lnTo>
                                    <a:lnTo>
                                      <a:pt x="937" y="1069"/>
                                    </a:lnTo>
                                    <a:lnTo>
                                      <a:pt x="941" y="1086"/>
                                    </a:lnTo>
                                    <a:lnTo>
                                      <a:pt x="944" y="1101"/>
                                    </a:lnTo>
                                    <a:lnTo>
                                      <a:pt x="945" y="1117"/>
                                    </a:lnTo>
                                    <a:lnTo>
                                      <a:pt x="944" y="1131"/>
                                    </a:lnTo>
                                    <a:lnTo>
                                      <a:pt x="941" y="1144"/>
                                    </a:lnTo>
                                    <a:lnTo>
                                      <a:pt x="937" y="1155"/>
                                    </a:lnTo>
                                    <a:lnTo>
                                      <a:pt x="931" y="1165"/>
                                    </a:lnTo>
                                    <a:lnTo>
                                      <a:pt x="923" y="1173"/>
                                    </a:lnTo>
                                    <a:lnTo>
                                      <a:pt x="914" y="1180"/>
                                    </a:lnTo>
                                    <a:lnTo>
                                      <a:pt x="903" y="1184"/>
                                    </a:lnTo>
                                    <a:lnTo>
                                      <a:pt x="892" y="1186"/>
                                    </a:lnTo>
                                    <a:lnTo>
                                      <a:pt x="879" y="1186"/>
                                    </a:lnTo>
                                    <a:lnTo>
                                      <a:pt x="865" y="1183"/>
                                    </a:lnTo>
                                    <a:lnTo>
                                      <a:pt x="850" y="1178"/>
                                    </a:lnTo>
                                    <a:lnTo>
                                      <a:pt x="834" y="1170"/>
                                    </a:lnTo>
                                    <a:lnTo>
                                      <a:pt x="817" y="1159"/>
                                    </a:lnTo>
                                    <a:lnTo>
                                      <a:pt x="817" y="1159"/>
                                    </a:lnTo>
                                    <a:lnTo>
                                      <a:pt x="756" y="1116"/>
                                    </a:lnTo>
                                    <a:lnTo>
                                      <a:pt x="651" y="1043"/>
                                    </a:lnTo>
                                    <a:lnTo>
                                      <a:pt x="375" y="852"/>
                                    </a:lnTo>
                                    <a:lnTo>
                                      <a:pt x="0" y="592"/>
                                    </a:lnTo>
                                    <a:lnTo>
                                      <a:pt x="0" y="592"/>
                                    </a:lnTo>
                                    <a:lnTo>
                                      <a:pt x="375" y="334"/>
                                    </a:lnTo>
                                    <a:lnTo>
                                      <a:pt x="651" y="143"/>
                                    </a:lnTo>
                                    <a:lnTo>
                                      <a:pt x="756" y="70"/>
                                    </a:lnTo>
                                    <a:lnTo>
                                      <a:pt x="817" y="27"/>
                                    </a:lnTo>
                                    <a:lnTo>
                                      <a:pt x="817" y="27"/>
                                    </a:lnTo>
                                    <a:close/>
                                  </a:path>
                                </a:pathLst>
                              </a:custGeom>
                              <a:solidFill>
                                <a:srgbClr val="004B88"/>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65" name="Freeform 34">
                              <a:extLst>
                                <a:ext uri="{FF2B5EF4-FFF2-40B4-BE49-F238E27FC236}">
                                  <a16:creationId xmlns:a16="http://schemas.microsoft.com/office/drawing/2014/main" id="{66FF0034-BF56-42C4-8F4F-E9DF67E08C52}"/>
                                </a:ext>
                              </a:extLst>
                            </wps:cNvPr>
                            <wps:cNvSpPr>
                              <a:spLocks/>
                            </wps:cNvSpPr>
                            <wps:spPr bwMode="auto">
                              <a:xfrm>
                                <a:off x="7494400" y="3571605"/>
                                <a:ext cx="557213" cy="98425"/>
                              </a:xfrm>
                              <a:custGeom>
                                <a:avLst/>
                                <a:gdLst>
                                  <a:gd name="T0" fmla="*/ 0 w 2456"/>
                                  <a:gd name="T1" fmla="*/ 438 h 438"/>
                                  <a:gd name="T2" fmla="*/ 2 w 2456"/>
                                  <a:gd name="T3" fmla="*/ 426 h 438"/>
                                  <a:gd name="T4" fmla="*/ 6 w 2456"/>
                                  <a:gd name="T5" fmla="*/ 412 h 438"/>
                                  <a:gd name="T6" fmla="*/ 25 w 2456"/>
                                  <a:gd name="T7" fmla="*/ 383 h 438"/>
                                  <a:gd name="T8" fmla="*/ 55 w 2456"/>
                                  <a:gd name="T9" fmla="*/ 351 h 438"/>
                                  <a:gd name="T10" fmla="*/ 96 w 2456"/>
                                  <a:gd name="T11" fmla="*/ 317 h 438"/>
                                  <a:gd name="T12" fmla="*/ 148 w 2456"/>
                                  <a:gd name="T13" fmla="*/ 281 h 438"/>
                                  <a:gd name="T14" fmla="*/ 210 w 2456"/>
                                  <a:gd name="T15" fmla="*/ 244 h 438"/>
                                  <a:gd name="T16" fmla="*/ 281 w 2456"/>
                                  <a:gd name="T17" fmla="*/ 208 h 438"/>
                                  <a:gd name="T18" fmla="*/ 360 w 2456"/>
                                  <a:gd name="T19" fmla="*/ 172 h 438"/>
                                  <a:gd name="T20" fmla="*/ 447 w 2456"/>
                                  <a:gd name="T21" fmla="*/ 137 h 438"/>
                                  <a:gd name="T22" fmla="*/ 541 w 2456"/>
                                  <a:gd name="T23" fmla="*/ 105 h 438"/>
                                  <a:gd name="T24" fmla="*/ 643 w 2456"/>
                                  <a:gd name="T25" fmla="*/ 76 h 438"/>
                                  <a:gd name="T26" fmla="*/ 749 w 2456"/>
                                  <a:gd name="T27" fmla="*/ 50 h 438"/>
                                  <a:gd name="T28" fmla="*/ 863 w 2456"/>
                                  <a:gd name="T29" fmla="*/ 29 h 438"/>
                                  <a:gd name="T30" fmla="*/ 980 w 2456"/>
                                  <a:gd name="T31" fmla="*/ 13 h 438"/>
                                  <a:gd name="T32" fmla="*/ 1102 w 2456"/>
                                  <a:gd name="T33" fmla="*/ 3 h 438"/>
                                  <a:gd name="T34" fmla="*/ 1228 w 2456"/>
                                  <a:gd name="T35" fmla="*/ 0 h 438"/>
                                  <a:gd name="T36" fmla="*/ 1291 w 2456"/>
                                  <a:gd name="T37" fmla="*/ 1 h 438"/>
                                  <a:gd name="T38" fmla="*/ 1415 w 2456"/>
                                  <a:gd name="T39" fmla="*/ 7 h 438"/>
                                  <a:gd name="T40" fmla="*/ 1535 w 2456"/>
                                  <a:gd name="T41" fmla="*/ 21 h 438"/>
                                  <a:gd name="T42" fmla="*/ 1650 w 2456"/>
                                  <a:gd name="T43" fmla="*/ 39 h 438"/>
                                  <a:gd name="T44" fmla="*/ 1760 w 2456"/>
                                  <a:gd name="T45" fmla="*/ 63 h 438"/>
                                  <a:gd name="T46" fmla="*/ 1864 w 2456"/>
                                  <a:gd name="T47" fmla="*/ 91 h 438"/>
                                  <a:gd name="T48" fmla="*/ 1962 w 2456"/>
                                  <a:gd name="T49" fmla="*/ 121 h 438"/>
                                  <a:gd name="T50" fmla="*/ 2053 w 2456"/>
                                  <a:gd name="T51" fmla="*/ 154 h 438"/>
                                  <a:gd name="T52" fmla="*/ 2137 w 2456"/>
                                  <a:gd name="T53" fmla="*/ 190 h 438"/>
                                  <a:gd name="T54" fmla="*/ 2212 w 2456"/>
                                  <a:gd name="T55" fmla="*/ 226 h 438"/>
                                  <a:gd name="T56" fmla="*/ 2278 w 2456"/>
                                  <a:gd name="T57" fmla="*/ 262 h 438"/>
                                  <a:gd name="T58" fmla="*/ 2335 w 2456"/>
                                  <a:gd name="T59" fmla="*/ 299 h 438"/>
                                  <a:gd name="T60" fmla="*/ 2382 w 2456"/>
                                  <a:gd name="T61" fmla="*/ 334 h 438"/>
                                  <a:gd name="T62" fmla="*/ 2416 w 2456"/>
                                  <a:gd name="T63" fmla="*/ 368 h 438"/>
                                  <a:gd name="T64" fmla="*/ 2442 w 2456"/>
                                  <a:gd name="T65" fmla="*/ 399 h 438"/>
                                  <a:gd name="T66" fmla="*/ 2452 w 2456"/>
                                  <a:gd name="T67" fmla="*/ 419 h 438"/>
                                  <a:gd name="T68" fmla="*/ 2456 w 2456"/>
                                  <a:gd name="T69" fmla="*/ 432 h 438"/>
                                  <a:gd name="T70" fmla="*/ 0 w 2456"/>
                                  <a:gd name="T71" fmla="*/ 438 h 4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456" h="438">
                                    <a:moveTo>
                                      <a:pt x="0" y="438"/>
                                    </a:moveTo>
                                    <a:lnTo>
                                      <a:pt x="0" y="438"/>
                                    </a:lnTo>
                                    <a:lnTo>
                                      <a:pt x="0" y="432"/>
                                    </a:lnTo>
                                    <a:lnTo>
                                      <a:pt x="2" y="426"/>
                                    </a:lnTo>
                                    <a:lnTo>
                                      <a:pt x="3" y="419"/>
                                    </a:lnTo>
                                    <a:lnTo>
                                      <a:pt x="6" y="412"/>
                                    </a:lnTo>
                                    <a:lnTo>
                                      <a:pt x="14" y="399"/>
                                    </a:lnTo>
                                    <a:lnTo>
                                      <a:pt x="25" y="383"/>
                                    </a:lnTo>
                                    <a:lnTo>
                                      <a:pt x="39" y="368"/>
                                    </a:lnTo>
                                    <a:lnTo>
                                      <a:pt x="55" y="351"/>
                                    </a:lnTo>
                                    <a:lnTo>
                                      <a:pt x="74" y="334"/>
                                    </a:lnTo>
                                    <a:lnTo>
                                      <a:pt x="96" y="317"/>
                                    </a:lnTo>
                                    <a:lnTo>
                                      <a:pt x="121" y="299"/>
                                    </a:lnTo>
                                    <a:lnTo>
                                      <a:pt x="148" y="281"/>
                                    </a:lnTo>
                                    <a:lnTo>
                                      <a:pt x="178" y="262"/>
                                    </a:lnTo>
                                    <a:lnTo>
                                      <a:pt x="210" y="244"/>
                                    </a:lnTo>
                                    <a:lnTo>
                                      <a:pt x="244" y="226"/>
                                    </a:lnTo>
                                    <a:lnTo>
                                      <a:pt x="281" y="208"/>
                                    </a:lnTo>
                                    <a:lnTo>
                                      <a:pt x="319" y="190"/>
                                    </a:lnTo>
                                    <a:lnTo>
                                      <a:pt x="360" y="172"/>
                                    </a:lnTo>
                                    <a:lnTo>
                                      <a:pt x="402" y="154"/>
                                    </a:lnTo>
                                    <a:lnTo>
                                      <a:pt x="447" y="137"/>
                                    </a:lnTo>
                                    <a:lnTo>
                                      <a:pt x="493" y="121"/>
                                    </a:lnTo>
                                    <a:lnTo>
                                      <a:pt x="541" y="105"/>
                                    </a:lnTo>
                                    <a:lnTo>
                                      <a:pt x="591" y="91"/>
                                    </a:lnTo>
                                    <a:lnTo>
                                      <a:pt x="643" y="76"/>
                                    </a:lnTo>
                                    <a:lnTo>
                                      <a:pt x="695" y="63"/>
                                    </a:lnTo>
                                    <a:lnTo>
                                      <a:pt x="749" y="50"/>
                                    </a:lnTo>
                                    <a:lnTo>
                                      <a:pt x="806" y="39"/>
                                    </a:lnTo>
                                    <a:lnTo>
                                      <a:pt x="863" y="29"/>
                                    </a:lnTo>
                                    <a:lnTo>
                                      <a:pt x="921" y="21"/>
                                    </a:lnTo>
                                    <a:lnTo>
                                      <a:pt x="980" y="13"/>
                                    </a:lnTo>
                                    <a:lnTo>
                                      <a:pt x="1041" y="7"/>
                                    </a:lnTo>
                                    <a:lnTo>
                                      <a:pt x="1102" y="3"/>
                                    </a:lnTo>
                                    <a:lnTo>
                                      <a:pt x="1164" y="1"/>
                                    </a:lnTo>
                                    <a:lnTo>
                                      <a:pt x="1228" y="0"/>
                                    </a:lnTo>
                                    <a:lnTo>
                                      <a:pt x="1228" y="0"/>
                                    </a:lnTo>
                                    <a:lnTo>
                                      <a:pt x="1291" y="1"/>
                                    </a:lnTo>
                                    <a:lnTo>
                                      <a:pt x="1354" y="3"/>
                                    </a:lnTo>
                                    <a:lnTo>
                                      <a:pt x="1415" y="7"/>
                                    </a:lnTo>
                                    <a:lnTo>
                                      <a:pt x="1476" y="13"/>
                                    </a:lnTo>
                                    <a:lnTo>
                                      <a:pt x="1535" y="21"/>
                                    </a:lnTo>
                                    <a:lnTo>
                                      <a:pt x="1593" y="29"/>
                                    </a:lnTo>
                                    <a:lnTo>
                                      <a:pt x="1650" y="39"/>
                                    </a:lnTo>
                                    <a:lnTo>
                                      <a:pt x="1706" y="50"/>
                                    </a:lnTo>
                                    <a:lnTo>
                                      <a:pt x="1760" y="63"/>
                                    </a:lnTo>
                                    <a:lnTo>
                                      <a:pt x="1813" y="76"/>
                                    </a:lnTo>
                                    <a:lnTo>
                                      <a:pt x="1864" y="91"/>
                                    </a:lnTo>
                                    <a:lnTo>
                                      <a:pt x="1915" y="105"/>
                                    </a:lnTo>
                                    <a:lnTo>
                                      <a:pt x="1962" y="121"/>
                                    </a:lnTo>
                                    <a:lnTo>
                                      <a:pt x="2009" y="137"/>
                                    </a:lnTo>
                                    <a:lnTo>
                                      <a:pt x="2053" y="154"/>
                                    </a:lnTo>
                                    <a:lnTo>
                                      <a:pt x="2096" y="172"/>
                                    </a:lnTo>
                                    <a:lnTo>
                                      <a:pt x="2137" y="190"/>
                                    </a:lnTo>
                                    <a:lnTo>
                                      <a:pt x="2175" y="208"/>
                                    </a:lnTo>
                                    <a:lnTo>
                                      <a:pt x="2212" y="226"/>
                                    </a:lnTo>
                                    <a:lnTo>
                                      <a:pt x="2246" y="244"/>
                                    </a:lnTo>
                                    <a:lnTo>
                                      <a:pt x="2278" y="262"/>
                                    </a:lnTo>
                                    <a:lnTo>
                                      <a:pt x="2307" y="281"/>
                                    </a:lnTo>
                                    <a:lnTo>
                                      <a:pt x="2335" y="299"/>
                                    </a:lnTo>
                                    <a:lnTo>
                                      <a:pt x="2359" y="317"/>
                                    </a:lnTo>
                                    <a:lnTo>
                                      <a:pt x="2382" y="334"/>
                                    </a:lnTo>
                                    <a:lnTo>
                                      <a:pt x="2401" y="351"/>
                                    </a:lnTo>
                                    <a:lnTo>
                                      <a:pt x="2416" y="368"/>
                                    </a:lnTo>
                                    <a:lnTo>
                                      <a:pt x="2430" y="383"/>
                                    </a:lnTo>
                                    <a:lnTo>
                                      <a:pt x="2442" y="399"/>
                                    </a:lnTo>
                                    <a:lnTo>
                                      <a:pt x="2449" y="412"/>
                                    </a:lnTo>
                                    <a:lnTo>
                                      <a:pt x="2452" y="419"/>
                                    </a:lnTo>
                                    <a:lnTo>
                                      <a:pt x="2453" y="426"/>
                                    </a:lnTo>
                                    <a:lnTo>
                                      <a:pt x="2456" y="432"/>
                                    </a:lnTo>
                                    <a:lnTo>
                                      <a:pt x="2456" y="438"/>
                                    </a:lnTo>
                                    <a:lnTo>
                                      <a:pt x="0" y="438"/>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g:grpSp>
                        <wpg:cNvPr id="166" name="Grupa 166"/>
                        <wpg:cNvGrpSpPr/>
                        <wpg:grpSpPr>
                          <a:xfrm>
                            <a:off x="0" y="0"/>
                            <a:ext cx="1448220" cy="2961474"/>
                            <a:chOff x="0" y="0"/>
                            <a:chExt cx="1448220" cy="2961474"/>
                          </a:xfrm>
                        </wpg:grpSpPr>
                        <wps:wsp>
                          <wps:cNvPr id="167" name="pole tekstowe 102">
                            <a:extLst>
                              <a:ext uri="{FF2B5EF4-FFF2-40B4-BE49-F238E27FC236}">
                                <a16:creationId xmlns:a16="http://schemas.microsoft.com/office/drawing/2014/main" id="{7C299CC8-B332-486A-9F7F-1330E3756FD9}"/>
                              </a:ext>
                            </a:extLst>
                          </wps:cNvPr>
                          <wps:cNvSpPr txBox="1"/>
                          <wps:spPr>
                            <a:xfrm>
                              <a:off x="0" y="0"/>
                              <a:ext cx="1448220" cy="1155365"/>
                            </a:xfrm>
                            <a:prstGeom prst="rect">
                              <a:avLst/>
                            </a:prstGeom>
                            <a:noFill/>
                          </wps:spPr>
                          <wps:txbx>
                            <w:txbxContent>
                              <w:p w14:paraId="190A56B2" w14:textId="77777777" w:rsidR="00D22FE8" w:rsidRDefault="00D22FE8" w:rsidP="00F25738">
                                <w:pPr>
                                  <w:pStyle w:val="NormalnyWeb"/>
                                  <w:spacing w:after="0"/>
                                  <w:jc w:val="center"/>
                                </w:pPr>
                                <w:r>
                                  <w:rPr>
                                    <w:rFonts w:asciiTheme="minorHAnsi" w:hAnsi="Calibri" w:cstheme="minorBidi"/>
                                    <w:b/>
                                    <w:bCs/>
                                    <w:color w:val="FFC000" w:themeColor="accent4"/>
                                    <w:kern w:val="24"/>
                                    <w:sz w:val="32"/>
                                    <w:szCs w:val="32"/>
                                  </w:rPr>
                                  <w:t>42,2%</w:t>
                                </w:r>
                              </w:p>
                              <w:p w14:paraId="3CAC984C" w14:textId="77777777" w:rsidR="00D22FE8" w:rsidRDefault="00D22FE8" w:rsidP="00F25738">
                                <w:pPr>
                                  <w:pStyle w:val="NormalnyWeb"/>
                                  <w:spacing w:after="0"/>
                                  <w:jc w:val="center"/>
                                </w:pPr>
                                <w:r w:rsidRPr="00095124">
                                  <w:rPr>
                                    <w:rFonts w:ascii="Arial" w:hAnsi="Arial" w:cs="Arial"/>
                                    <w:b/>
                                    <w:bCs/>
                                    <w:color w:val="767171" w:themeColor="background2" w:themeShade="80"/>
                                    <w:kern w:val="24"/>
                                    <w:sz w:val="32"/>
                                    <w:szCs w:val="32"/>
                                  </w:rPr>
                                  <w:t>55,2%</w:t>
                                </w:r>
                              </w:p>
                              <w:p w14:paraId="445B66D6" w14:textId="77777777" w:rsidR="00D22FE8" w:rsidRDefault="00D22FE8" w:rsidP="00F25738">
                                <w:pPr>
                                  <w:pStyle w:val="NormalnyWeb"/>
                                  <w:spacing w:after="0"/>
                                  <w:jc w:val="center"/>
                                </w:pPr>
                                <w:r>
                                  <w:rPr>
                                    <w:rFonts w:ascii="Arial" w:hAnsi="Arial" w:cs="Arial"/>
                                    <w:b/>
                                    <w:bCs/>
                                    <w:color w:val="F47320"/>
                                    <w:kern w:val="24"/>
                                    <w:sz w:val="32"/>
                                    <w:szCs w:val="32"/>
                                  </w:rPr>
                                  <w:t>32,9%</w:t>
                                </w:r>
                              </w:p>
                            </w:txbxContent>
                          </wps:txbx>
                          <wps:bodyPr wrap="square">
                            <a:noAutofit/>
                          </wps:bodyPr>
                        </wps:wsp>
                        <wpg:grpSp>
                          <wpg:cNvPr id="168" name="Grupa 168">
                            <a:extLst>
                              <a:ext uri="{FF2B5EF4-FFF2-40B4-BE49-F238E27FC236}">
                                <a16:creationId xmlns:a16="http://schemas.microsoft.com/office/drawing/2014/main" id="{5765F712-A3EE-487A-A6CD-BD8772D2A175}"/>
                              </a:ext>
                            </a:extLst>
                          </wpg:cNvPr>
                          <wpg:cNvGrpSpPr>
                            <a:grpSpLocks noChangeAspect="1"/>
                          </wpg:cNvGrpSpPr>
                          <wpg:grpSpPr>
                            <a:xfrm>
                              <a:off x="257175" y="2085975"/>
                              <a:ext cx="886504" cy="875499"/>
                              <a:chOff x="331298" y="2421133"/>
                              <a:chExt cx="628650" cy="561976"/>
                            </a:xfrm>
                            <a:solidFill>
                              <a:srgbClr val="DE4A5A"/>
                            </a:solidFill>
                          </wpg:grpSpPr>
                          <wps:wsp>
                            <wps:cNvPr id="169" name="Freeform 5">
                              <a:extLst>
                                <a:ext uri="{FF2B5EF4-FFF2-40B4-BE49-F238E27FC236}">
                                  <a16:creationId xmlns:a16="http://schemas.microsoft.com/office/drawing/2014/main" id="{88D05393-6421-4DAD-97CB-8F349CEDAB83}"/>
                                </a:ext>
                              </a:extLst>
                            </wps:cNvPr>
                            <wps:cNvSpPr>
                              <a:spLocks/>
                            </wps:cNvSpPr>
                            <wps:spPr bwMode="auto">
                              <a:xfrm>
                                <a:off x="337648" y="2895796"/>
                                <a:ext cx="106363" cy="87313"/>
                              </a:xfrm>
                              <a:custGeom>
                                <a:avLst/>
                                <a:gdLst>
                                  <a:gd name="T0" fmla="*/ 0 w 470"/>
                                  <a:gd name="T1" fmla="*/ 223 h 384"/>
                                  <a:gd name="T2" fmla="*/ 0 w 470"/>
                                  <a:gd name="T3" fmla="*/ 223 h 384"/>
                                  <a:gd name="T4" fmla="*/ 1 w 470"/>
                                  <a:gd name="T5" fmla="*/ 239 h 384"/>
                                  <a:gd name="T6" fmla="*/ 3 w 470"/>
                                  <a:gd name="T7" fmla="*/ 255 h 384"/>
                                  <a:gd name="T8" fmla="*/ 8 w 470"/>
                                  <a:gd name="T9" fmla="*/ 271 h 384"/>
                                  <a:gd name="T10" fmla="*/ 13 w 470"/>
                                  <a:gd name="T11" fmla="*/ 286 h 384"/>
                                  <a:gd name="T12" fmla="*/ 20 w 470"/>
                                  <a:gd name="T13" fmla="*/ 299 h 384"/>
                                  <a:gd name="T14" fmla="*/ 28 w 470"/>
                                  <a:gd name="T15" fmla="*/ 313 h 384"/>
                                  <a:gd name="T16" fmla="*/ 37 w 470"/>
                                  <a:gd name="T17" fmla="*/ 326 h 384"/>
                                  <a:gd name="T18" fmla="*/ 48 w 470"/>
                                  <a:gd name="T19" fmla="*/ 336 h 384"/>
                                  <a:gd name="T20" fmla="*/ 59 w 470"/>
                                  <a:gd name="T21" fmla="*/ 347 h 384"/>
                                  <a:gd name="T22" fmla="*/ 72 w 470"/>
                                  <a:gd name="T23" fmla="*/ 357 h 384"/>
                                  <a:gd name="T24" fmla="*/ 85 w 470"/>
                                  <a:gd name="T25" fmla="*/ 364 h 384"/>
                                  <a:gd name="T26" fmla="*/ 99 w 470"/>
                                  <a:gd name="T27" fmla="*/ 371 h 384"/>
                                  <a:gd name="T28" fmla="*/ 113 w 470"/>
                                  <a:gd name="T29" fmla="*/ 377 h 384"/>
                                  <a:gd name="T30" fmla="*/ 129 w 470"/>
                                  <a:gd name="T31" fmla="*/ 381 h 384"/>
                                  <a:gd name="T32" fmla="*/ 145 w 470"/>
                                  <a:gd name="T33" fmla="*/ 383 h 384"/>
                                  <a:gd name="T34" fmla="*/ 162 w 470"/>
                                  <a:gd name="T35" fmla="*/ 384 h 384"/>
                                  <a:gd name="T36" fmla="*/ 309 w 470"/>
                                  <a:gd name="T37" fmla="*/ 384 h 384"/>
                                  <a:gd name="T38" fmla="*/ 309 w 470"/>
                                  <a:gd name="T39" fmla="*/ 384 h 384"/>
                                  <a:gd name="T40" fmla="*/ 326 w 470"/>
                                  <a:gd name="T41" fmla="*/ 383 h 384"/>
                                  <a:gd name="T42" fmla="*/ 342 w 470"/>
                                  <a:gd name="T43" fmla="*/ 381 h 384"/>
                                  <a:gd name="T44" fmla="*/ 358 w 470"/>
                                  <a:gd name="T45" fmla="*/ 377 h 384"/>
                                  <a:gd name="T46" fmla="*/ 373 w 470"/>
                                  <a:gd name="T47" fmla="*/ 371 h 384"/>
                                  <a:gd name="T48" fmla="*/ 387 w 470"/>
                                  <a:gd name="T49" fmla="*/ 364 h 384"/>
                                  <a:gd name="T50" fmla="*/ 399 w 470"/>
                                  <a:gd name="T51" fmla="*/ 357 h 384"/>
                                  <a:gd name="T52" fmla="*/ 412 w 470"/>
                                  <a:gd name="T53" fmla="*/ 347 h 384"/>
                                  <a:gd name="T54" fmla="*/ 424 w 470"/>
                                  <a:gd name="T55" fmla="*/ 336 h 384"/>
                                  <a:gd name="T56" fmla="*/ 434 w 470"/>
                                  <a:gd name="T57" fmla="*/ 326 h 384"/>
                                  <a:gd name="T58" fmla="*/ 443 w 470"/>
                                  <a:gd name="T59" fmla="*/ 313 h 384"/>
                                  <a:gd name="T60" fmla="*/ 451 w 470"/>
                                  <a:gd name="T61" fmla="*/ 299 h 384"/>
                                  <a:gd name="T62" fmla="*/ 457 w 470"/>
                                  <a:gd name="T63" fmla="*/ 286 h 384"/>
                                  <a:gd name="T64" fmla="*/ 464 w 470"/>
                                  <a:gd name="T65" fmla="*/ 271 h 384"/>
                                  <a:gd name="T66" fmla="*/ 467 w 470"/>
                                  <a:gd name="T67" fmla="*/ 255 h 384"/>
                                  <a:gd name="T68" fmla="*/ 470 w 470"/>
                                  <a:gd name="T69" fmla="*/ 239 h 384"/>
                                  <a:gd name="T70" fmla="*/ 470 w 470"/>
                                  <a:gd name="T71" fmla="*/ 223 h 384"/>
                                  <a:gd name="T72" fmla="*/ 470 w 470"/>
                                  <a:gd name="T73" fmla="*/ 223 h 384"/>
                                  <a:gd name="T74" fmla="*/ 470 w 470"/>
                                  <a:gd name="T75" fmla="*/ 0 h 384"/>
                                  <a:gd name="T76" fmla="*/ 470 w 470"/>
                                  <a:gd name="T77" fmla="*/ 0 h 384"/>
                                  <a:gd name="T78" fmla="*/ 0 w 470"/>
                                  <a:gd name="T79" fmla="*/ 0 h 384"/>
                                  <a:gd name="T80" fmla="*/ 0 w 470"/>
                                  <a:gd name="T81" fmla="*/ 223 h 3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470" h="384">
                                    <a:moveTo>
                                      <a:pt x="0" y="223"/>
                                    </a:moveTo>
                                    <a:lnTo>
                                      <a:pt x="0" y="223"/>
                                    </a:lnTo>
                                    <a:lnTo>
                                      <a:pt x="1" y="239"/>
                                    </a:lnTo>
                                    <a:lnTo>
                                      <a:pt x="3" y="255"/>
                                    </a:lnTo>
                                    <a:lnTo>
                                      <a:pt x="8" y="271"/>
                                    </a:lnTo>
                                    <a:lnTo>
                                      <a:pt x="13" y="286"/>
                                    </a:lnTo>
                                    <a:lnTo>
                                      <a:pt x="20" y="299"/>
                                    </a:lnTo>
                                    <a:lnTo>
                                      <a:pt x="28" y="313"/>
                                    </a:lnTo>
                                    <a:lnTo>
                                      <a:pt x="37" y="326"/>
                                    </a:lnTo>
                                    <a:lnTo>
                                      <a:pt x="48" y="336"/>
                                    </a:lnTo>
                                    <a:lnTo>
                                      <a:pt x="59" y="347"/>
                                    </a:lnTo>
                                    <a:lnTo>
                                      <a:pt x="72" y="357"/>
                                    </a:lnTo>
                                    <a:lnTo>
                                      <a:pt x="85" y="364"/>
                                    </a:lnTo>
                                    <a:lnTo>
                                      <a:pt x="99" y="371"/>
                                    </a:lnTo>
                                    <a:lnTo>
                                      <a:pt x="113" y="377"/>
                                    </a:lnTo>
                                    <a:lnTo>
                                      <a:pt x="129" y="381"/>
                                    </a:lnTo>
                                    <a:lnTo>
                                      <a:pt x="145" y="383"/>
                                    </a:lnTo>
                                    <a:lnTo>
                                      <a:pt x="162" y="384"/>
                                    </a:lnTo>
                                    <a:lnTo>
                                      <a:pt x="309" y="384"/>
                                    </a:lnTo>
                                    <a:lnTo>
                                      <a:pt x="309" y="384"/>
                                    </a:lnTo>
                                    <a:lnTo>
                                      <a:pt x="326" y="383"/>
                                    </a:lnTo>
                                    <a:lnTo>
                                      <a:pt x="342" y="381"/>
                                    </a:lnTo>
                                    <a:lnTo>
                                      <a:pt x="358" y="377"/>
                                    </a:lnTo>
                                    <a:lnTo>
                                      <a:pt x="373" y="371"/>
                                    </a:lnTo>
                                    <a:lnTo>
                                      <a:pt x="387" y="364"/>
                                    </a:lnTo>
                                    <a:lnTo>
                                      <a:pt x="399" y="357"/>
                                    </a:lnTo>
                                    <a:lnTo>
                                      <a:pt x="412" y="347"/>
                                    </a:lnTo>
                                    <a:lnTo>
                                      <a:pt x="424" y="336"/>
                                    </a:lnTo>
                                    <a:lnTo>
                                      <a:pt x="434" y="326"/>
                                    </a:lnTo>
                                    <a:lnTo>
                                      <a:pt x="443" y="313"/>
                                    </a:lnTo>
                                    <a:lnTo>
                                      <a:pt x="451" y="299"/>
                                    </a:lnTo>
                                    <a:lnTo>
                                      <a:pt x="457" y="286"/>
                                    </a:lnTo>
                                    <a:lnTo>
                                      <a:pt x="464" y="271"/>
                                    </a:lnTo>
                                    <a:lnTo>
                                      <a:pt x="467" y="255"/>
                                    </a:lnTo>
                                    <a:lnTo>
                                      <a:pt x="470" y="239"/>
                                    </a:lnTo>
                                    <a:lnTo>
                                      <a:pt x="470" y="223"/>
                                    </a:lnTo>
                                    <a:lnTo>
                                      <a:pt x="470" y="223"/>
                                    </a:lnTo>
                                    <a:lnTo>
                                      <a:pt x="470" y="0"/>
                                    </a:lnTo>
                                    <a:lnTo>
                                      <a:pt x="470" y="0"/>
                                    </a:lnTo>
                                    <a:lnTo>
                                      <a:pt x="0" y="0"/>
                                    </a:lnTo>
                                    <a:lnTo>
                                      <a:pt x="0" y="223"/>
                                    </a:lnTo>
                                    <a:close/>
                                  </a:path>
                                </a:pathLst>
                              </a:custGeom>
                              <a:solidFill>
                                <a:schemeClr val="bg1">
                                  <a:lumMod val="85000"/>
                                </a:schemeClr>
                              </a:solidFill>
                              <a:ln>
                                <a:noFill/>
                              </a:ln>
                            </wps:spPr>
                            <wps:bodyPr/>
                          </wps:wsp>
                          <wps:wsp>
                            <wps:cNvPr id="170" name="Freeform 6">
                              <a:extLst>
                                <a:ext uri="{FF2B5EF4-FFF2-40B4-BE49-F238E27FC236}">
                                  <a16:creationId xmlns:a16="http://schemas.microsoft.com/office/drawing/2014/main" id="{A32D0A8C-E597-4563-95EE-90F1CE0886F4}"/>
                                </a:ext>
                              </a:extLst>
                            </wps:cNvPr>
                            <wps:cNvSpPr>
                              <a:spLocks/>
                            </wps:cNvSpPr>
                            <wps:spPr bwMode="auto">
                              <a:xfrm>
                                <a:off x="847235" y="2895796"/>
                                <a:ext cx="106363" cy="87313"/>
                              </a:xfrm>
                              <a:custGeom>
                                <a:avLst/>
                                <a:gdLst>
                                  <a:gd name="T0" fmla="*/ 0 w 470"/>
                                  <a:gd name="T1" fmla="*/ 223 h 384"/>
                                  <a:gd name="T2" fmla="*/ 0 w 470"/>
                                  <a:gd name="T3" fmla="*/ 223 h 384"/>
                                  <a:gd name="T4" fmla="*/ 0 w 470"/>
                                  <a:gd name="T5" fmla="*/ 239 h 384"/>
                                  <a:gd name="T6" fmla="*/ 3 w 470"/>
                                  <a:gd name="T7" fmla="*/ 255 h 384"/>
                                  <a:gd name="T8" fmla="*/ 6 w 470"/>
                                  <a:gd name="T9" fmla="*/ 271 h 384"/>
                                  <a:gd name="T10" fmla="*/ 13 w 470"/>
                                  <a:gd name="T11" fmla="*/ 286 h 384"/>
                                  <a:gd name="T12" fmla="*/ 19 w 470"/>
                                  <a:gd name="T13" fmla="*/ 299 h 384"/>
                                  <a:gd name="T14" fmla="*/ 28 w 470"/>
                                  <a:gd name="T15" fmla="*/ 313 h 384"/>
                                  <a:gd name="T16" fmla="*/ 36 w 470"/>
                                  <a:gd name="T17" fmla="*/ 326 h 384"/>
                                  <a:gd name="T18" fmla="*/ 47 w 470"/>
                                  <a:gd name="T19" fmla="*/ 336 h 384"/>
                                  <a:gd name="T20" fmla="*/ 58 w 470"/>
                                  <a:gd name="T21" fmla="*/ 347 h 384"/>
                                  <a:gd name="T22" fmla="*/ 71 w 470"/>
                                  <a:gd name="T23" fmla="*/ 357 h 384"/>
                                  <a:gd name="T24" fmla="*/ 84 w 470"/>
                                  <a:gd name="T25" fmla="*/ 364 h 384"/>
                                  <a:gd name="T26" fmla="*/ 98 w 470"/>
                                  <a:gd name="T27" fmla="*/ 371 h 384"/>
                                  <a:gd name="T28" fmla="*/ 112 w 470"/>
                                  <a:gd name="T29" fmla="*/ 377 h 384"/>
                                  <a:gd name="T30" fmla="*/ 128 w 470"/>
                                  <a:gd name="T31" fmla="*/ 381 h 384"/>
                                  <a:gd name="T32" fmla="*/ 144 w 470"/>
                                  <a:gd name="T33" fmla="*/ 383 h 384"/>
                                  <a:gd name="T34" fmla="*/ 161 w 470"/>
                                  <a:gd name="T35" fmla="*/ 384 h 384"/>
                                  <a:gd name="T36" fmla="*/ 308 w 470"/>
                                  <a:gd name="T37" fmla="*/ 384 h 384"/>
                                  <a:gd name="T38" fmla="*/ 308 w 470"/>
                                  <a:gd name="T39" fmla="*/ 384 h 384"/>
                                  <a:gd name="T40" fmla="*/ 325 w 470"/>
                                  <a:gd name="T41" fmla="*/ 383 h 384"/>
                                  <a:gd name="T42" fmla="*/ 341 w 470"/>
                                  <a:gd name="T43" fmla="*/ 381 h 384"/>
                                  <a:gd name="T44" fmla="*/ 357 w 470"/>
                                  <a:gd name="T45" fmla="*/ 377 h 384"/>
                                  <a:gd name="T46" fmla="*/ 372 w 470"/>
                                  <a:gd name="T47" fmla="*/ 371 h 384"/>
                                  <a:gd name="T48" fmla="*/ 385 w 470"/>
                                  <a:gd name="T49" fmla="*/ 364 h 384"/>
                                  <a:gd name="T50" fmla="*/ 398 w 470"/>
                                  <a:gd name="T51" fmla="*/ 357 h 384"/>
                                  <a:gd name="T52" fmla="*/ 411 w 470"/>
                                  <a:gd name="T53" fmla="*/ 347 h 384"/>
                                  <a:gd name="T54" fmla="*/ 422 w 470"/>
                                  <a:gd name="T55" fmla="*/ 336 h 384"/>
                                  <a:gd name="T56" fmla="*/ 433 w 470"/>
                                  <a:gd name="T57" fmla="*/ 326 h 384"/>
                                  <a:gd name="T58" fmla="*/ 443 w 470"/>
                                  <a:gd name="T59" fmla="*/ 313 h 384"/>
                                  <a:gd name="T60" fmla="*/ 450 w 470"/>
                                  <a:gd name="T61" fmla="*/ 299 h 384"/>
                                  <a:gd name="T62" fmla="*/ 457 w 470"/>
                                  <a:gd name="T63" fmla="*/ 286 h 384"/>
                                  <a:gd name="T64" fmla="*/ 463 w 470"/>
                                  <a:gd name="T65" fmla="*/ 271 h 384"/>
                                  <a:gd name="T66" fmla="*/ 467 w 470"/>
                                  <a:gd name="T67" fmla="*/ 255 h 384"/>
                                  <a:gd name="T68" fmla="*/ 469 w 470"/>
                                  <a:gd name="T69" fmla="*/ 239 h 384"/>
                                  <a:gd name="T70" fmla="*/ 470 w 470"/>
                                  <a:gd name="T71" fmla="*/ 223 h 384"/>
                                  <a:gd name="T72" fmla="*/ 470 w 470"/>
                                  <a:gd name="T73" fmla="*/ 0 h 384"/>
                                  <a:gd name="T74" fmla="*/ 470 w 470"/>
                                  <a:gd name="T75" fmla="*/ 0 h 384"/>
                                  <a:gd name="T76" fmla="*/ 0 w 470"/>
                                  <a:gd name="T77" fmla="*/ 0 h 384"/>
                                  <a:gd name="T78" fmla="*/ 0 w 470"/>
                                  <a:gd name="T79" fmla="*/ 0 h 384"/>
                                  <a:gd name="T80" fmla="*/ 0 w 470"/>
                                  <a:gd name="T81" fmla="*/ 223 h 384"/>
                                  <a:gd name="T82" fmla="*/ 0 w 470"/>
                                  <a:gd name="T83" fmla="*/ 223 h 3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470" h="384">
                                    <a:moveTo>
                                      <a:pt x="0" y="223"/>
                                    </a:moveTo>
                                    <a:lnTo>
                                      <a:pt x="0" y="223"/>
                                    </a:lnTo>
                                    <a:lnTo>
                                      <a:pt x="0" y="239"/>
                                    </a:lnTo>
                                    <a:lnTo>
                                      <a:pt x="3" y="255"/>
                                    </a:lnTo>
                                    <a:lnTo>
                                      <a:pt x="6" y="271"/>
                                    </a:lnTo>
                                    <a:lnTo>
                                      <a:pt x="13" y="286"/>
                                    </a:lnTo>
                                    <a:lnTo>
                                      <a:pt x="19" y="299"/>
                                    </a:lnTo>
                                    <a:lnTo>
                                      <a:pt x="28" y="313"/>
                                    </a:lnTo>
                                    <a:lnTo>
                                      <a:pt x="36" y="326"/>
                                    </a:lnTo>
                                    <a:lnTo>
                                      <a:pt x="47" y="336"/>
                                    </a:lnTo>
                                    <a:lnTo>
                                      <a:pt x="58" y="347"/>
                                    </a:lnTo>
                                    <a:lnTo>
                                      <a:pt x="71" y="357"/>
                                    </a:lnTo>
                                    <a:lnTo>
                                      <a:pt x="84" y="364"/>
                                    </a:lnTo>
                                    <a:lnTo>
                                      <a:pt x="98" y="371"/>
                                    </a:lnTo>
                                    <a:lnTo>
                                      <a:pt x="112" y="377"/>
                                    </a:lnTo>
                                    <a:lnTo>
                                      <a:pt x="128" y="381"/>
                                    </a:lnTo>
                                    <a:lnTo>
                                      <a:pt x="144" y="383"/>
                                    </a:lnTo>
                                    <a:lnTo>
                                      <a:pt x="161" y="384"/>
                                    </a:lnTo>
                                    <a:lnTo>
                                      <a:pt x="308" y="384"/>
                                    </a:lnTo>
                                    <a:lnTo>
                                      <a:pt x="308" y="384"/>
                                    </a:lnTo>
                                    <a:lnTo>
                                      <a:pt x="325" y="383"/>
                                    </a:lnTo>
                                    <a:lnTo>
                                      <a:pt x="341" y="381"/>
                                    </a:lnTo>
                                    <a:lnTo>
                                      <a:pt x="357" y="377"/>
                                    </a:lnTo>
                                    <a:lnTo>
                                      <a:pt x="372" y="371"/>
                                    </a:lnTo>
                                    <a:lnTo>
                                      <a:pt x="385" y="364"/>
                                    </a:lnTo>
                                    <a:lnTo>
                                      <a:pt x="398" y="357"/>
                                    </a:lnTo>
                                    <a:lnTo>
                                      <a:pt x="411" y="347"/>
                                    </a:lnTo>
                                    <a:lnTo>
                                      <a:pt x="422" y="336"/>
                                    </a:lnTo>
                                    <a:lnTo>
                                      <a:pt x="433" y="326"/>
                                    </a:lnTo>
                                    <a:lnTo>
                                      <a:pt x="443" y="313"/>
                                    </a:lnTo>
                                    <a:lnTo>
                                      <a:pt x="450" y="299"/>
                                    </a:lnTo>
                                    <a:lnTo>
                                      <a:pt x="457" y="286"/>
                                    </a:lnTo>
                                    <a:lnTo>
                                      <a:pt x="463" y="271"/>
                                    </a:lnTo>
                                    <a:lnTo>
                                      <a:pt x="467" y="255"/>
                                    </a:lnTo>
                                    <a:lnTo>
                                      <a:pt x="469" y="239"/>
                                    </a:lnTo>
                                    <a:lnTo>
                                      <a:pt x="470" y="223"/>
                                    </a:lnTo>
                                    <a:lnTo>
                                      <a:pt x="470" y="0"/>
                                    </a:lnTo>
                                    <a:lnTo>
                                      <a:pt x="470" y="0"/>
                                    </a:lnTo>
                                    <a:lnTo>
                                      <a:pt x="0" y="0"/>
                                    </a:lnTo>
                                    <a:lnTo>
                                      <a:pt x="0" y="0"/>
                                    </a:lnTo>
                                    <a:lnTo>
                                      <a:pt x="0" y="223"/>
                                    </a:lnTo>
                                    <a:lnTo>
                                      <a:pt x="0" y="223"/>
                                    </a:lnTo>
                                    <a:close/>
                                  </a:path>
                                </a:pathLst>
                              </a:custGeom>
                              <a:solidFill>
                                <a:schemeClr val="bg1">
                                  <a:lumMod val="85000"/>
                                </a:schemeClr>
                              </a:solidFill>
                              <a:ln>
                                <a:noFill/>
                              </a:ln>
                            </wps:spPr>
                            <wps:bodyPr/>
                          </wps:wsp>
                          <wps:wsp>
                            <wps:cNvPr id="171" name="Freeform 7">
                              <a:extLst>
                                <a:ext uri="{FF2B5EF4-FFF2-40B4-BE49-F238E27FC236}">
                                  <a16:creationId xmlns:a16="http://schemas.microsoft.com/office/drawing/2014/main" id="{B3E7A00A-4E2E-4E10-B900-035063E9306B}"/>
                                </a:ext>
                              </a:extLst>
                            </wps:cNvPr>
                            <wps:cNvSpPr>
                              <a:spLocks noEditPoints="1"/>
                            </wps:cNvSpPr>
                            <wps:spPr bwMode="auto">
                              <a:xfrm>
                                <a:off x="331298" y="2421133"/>
                                <a:ext cx="628650" cy="454025"/>
                              </a:xfrm>
                              <a:custGeom>
                                <a:avLst/>
                                <a:gdLst>
                                  <a:gd name="T0" fmla="*/ 2679 w 2769"/>
                                  <a:gd name="T1" fmla="*/ 1043 h 2003"/>
                                  <a:gd name="T2" fmla="*/ 2537 w 2769"/>
                                  <a:gd name="T3" fmla="*/ 660 h 2003"/>
                                  <a:gd name="T4" fmla="*/ 2422 w 2769"/>
                                  <a:gd name="T5" fmla="*/ 319 h 2003"/>
                                  <a:gd name="T6" fmla="*/ 2253 w 2769"/>
                                  <a:gd name="T7" fmla="*/ 205 h 2003"/>
                                  <a:gd name="T8" fmla="*/ 1960 w 2769"/>
                                  <a:gd name="T9" fmla="*/ 84 h 2003"/>
                                  <a:gd name="T10" fmla="*/ 1559 w 2769"/>
                                  <a:gd name="T11" fmla="*/ 8 h 2003"/>
                                  <a:gd name="T12" fmla="*/ 1153 w 2769"/>
                                  <a:gd name="T13" fmla="*/ 13 h 2003"/>
                                  <a:gd name="T14" fmla="*/ 765 w 2769"/>
                                  <a:gd name="T15" fmla="*/ 98 h 2003"/>
                                  <a:gd name="T16" fmla="*/ 488 w 2769"/>
                                  <a:gd name="T17" fmla="*/ 221 h 2003"/>
                                  <a:gd name="T18" fmla="*/ 334 w 2769"/>
                                  <a:gd name="T19" fmla="*/ 331 h 2003"/>
                                  <a:gd name="T20" fmla="*/ 169 w 2769"/>
                                  <a:gd name="T21" fmla="*/ 904 h 2003"/>
                                  <a:gd name="T22" fmla="*/ 81 w 2769"/>
                                  <a:gd name="T23" fmla="*/ 1065 h 2003"/>
                                  <a:gd name="T24" fmla="*/ 26 w 2769"/>
                                  <a:gd name="T25" fmla="*/ 1280 h 2003"/>
                                  <a:gd name="T26" fmla="*/ 2 w 2769"/>
                                  <a:gd name="T27" fmla="*/ 1775 h 2003"/>
                                  <a:gd name="T28" fmla="*/ 26 w 2769"/>
                                  <a:gd name="T29" fmla="*/ 2003 h 2003"/>
                                  <a:gd name="T30" fmla="*/ 2764 w 2769"/>
                                  <a:gd name="T31" fmla="*/ 1825 h 2003"/>
                                  <a:gd name="T32" fmla="*/ 2751 w 2769"/>
                                  <a:gd name="T33" fmla="*/ 1345 h 2003"/>
                                  <a:gd name="T34" fmla="*/ 353 w 2769"/>
                                  <a:gd name="T35" fmla="*/ 697 h 2003"/>
                                  <a:gd name="T36" fmla="*/ 420 w 2769"/>
                                  <a:gd name="T37" fmla="*/ 449 h 2003"/>
                                  <a:gd name="T38" fmla="*/ 530 w 2769"/>
                                  <a:gd name="T39" fmla="*/ 346 h 2003"/>
                                  <a:gd name="T40" fmla="*/ 749 w 2769"/>
                                  <a:gd name="T41" fmla="*/ 229 h 2003"/>
                                  <a:gd name="T42" fmla="*/ 1096 w 2769"/>
                                  <a:gd name="T43" fmla="*/ 139 h 2003"/>
                                  <a:gd name="T44" fmla="*/ 1506 w 2769"/>
                                  <a:gd name="T45" fmla="*/ 123 h 2003"/>
                                  <a:gd name="T46" fmla="*/ 1904 w 2769"/>
                                  <a:gd name="T47" fmla="*/ 190 h 2003"/>
                                  <a:gd name="T48" fmla="*/ 2171 w 2769"/>
                                  <a:gd name="T49" fmla="*/ 302 h 2003"/>
                                  <a:gd name="T50" fmla="*/ 2332 w 2769"/>
                                  <a:gd name="T51" fmla="*/ 426 h 2003"/>
                                  <a:gd name="T52" fmla="*/ 2388 w 2769"/>
                                  <a:gd name="T53" fmla="*/ 567 h 2003"/>
                                  <a:gd name="T54" fmla="*/ 2427 w 2769"/>
                                  <a:gd name="T55" fmla="*/ 843 h 2003"/>
                                  <a:gd name="T56" fmla="*/ 2381 w 2769"/>
                                  <a:gd name="T57" fmla="*/ 890 h 2003"/>
                                  <a:gd name="T58" fmla="*/ 1976 w 2769"/>
                                  <a:gd name="T59" fmla="*/ 848 h 2003"/>
                                  <a:gd name="T60" fmla="*/ 1384 w 2769"/>
                                  <a:gd name="T61" fmla="*/ 821 h 2003"/>
                                  <a:gd name="T62" fmla="*/ 719 w 2769"/>
                                  <a:gd name="T63" fmla="*/ 855 h 2003"/>
                                  <a:gd name="T64" fmla="*/ 379 w 2769"/>
                                  <a:gd name="T65" fmla="*/ 887 h 2003"/>
                                  <a:gd name="T66" fmla="*/ 339 w 2769"/>
                                  <a:gd name="T67" fmla="*/ 834 h 2003"/>
                                  <a:gd name="T68" fmla="*/ 415 w 2769"/>
                                  <a:gd name="T69" fmla="*/ 1616 h 2003"/>
                                  <a:gd name="T70" fmla="*/ 323 w 2769"/>
                                  <a:gd name="T71" fmla="*/ 1555 h 2003"/>
                                  <a:gd name="T72" fmla="*/ 299 w 2769"/>
                                  <a:gd name="T73" fmla="*/ 1459 h 2003"/>
                                  <a:gd name="T74" fmla="*/ 351 w 2769"/>
                                  <a:gd name="T75" fmla="*/ 1362 h 2003"/>
                                  <a:gd name="T76" fmla="*/ 443 w 2769"/>
                                  <a:gd name="T77" fmla="*/ 1328 h 2003"/>
                                  <a:gd name="T78" fmla="*/ 547 w 2769"/>
                                  <a:gd name="T79" fmla="*/ 1370 h 2003"/>
                                  <a:gd name="T80" fmla="*/ 589 w 2769"/>
                                  <a:gd name="T81" fmla="*/ 1474 h 2003"/>
                                  <a:gd name="T82" fmla="*/ 556 w 2769"/>
                                  <a:gd name="T83" fmla="*/ 1566 h 2003"/>
                                  <a:gd name="T84" fmla="*/ 459 w 2769"/>
                                  <a:gd name="T85" fmla="*/ 1618 h 2003"/>
                                  <a:gd name="T86" fmla="*/ 857 w 2769"/>
                                  <a:gd name="T87" fmla="*/ 1571 h 2003"/>
                                  <a:gd name="T88" fmla="*/ 837 w 2769"/>
                                  <a:gd name="T89" fmla="*/ 1503 h 2003"/>
                                  <a:gd name="T90" fmla="*/ 1881 w 2769"/>
                                  <a:gd name="T91" fmla="*/ 1468 h 2003"/>
                                  <a:gd name="T92" fmla="*/ 1937 w 2769"/>
                                  <a:gd name="T93" fmla="*/ 1525 h 2003"/>
                                  <a:gd name="T94" fmla="*/ 1891 w 2769"/>
                                  <a:gd name="T95" fmla="*/ 1580 h 2003"/>
                                  <a:gd name="T96" fmla="*/ 2314 w 2769"/>
                                  <a:gd name="T97" fmla="*/ 1607 h 2003"/>
                                  <a:gd name="T98" fmla="*/ 2237 w 2769"/>
                                  <a:gd name="T99" fmla="*/ 1530 h 2003"/>
                                  <a:gd name="T100" fmla="*/ 2232 w 2769"/>
                                  <a:gd name="T101" fmla="*/ 1430 h 2003"/>
                                  <a:gd name="T102" fmla="*/ 2302 w 2769"/>
                                  <a:gd name="T103" fmla="*/ 1346 h 2003"/>
                                  <a:gd name="T104" fmla="*/ 2401 w 2769"/>
                                  <a:gd name="T105" fmla="*/ 1331 h 2003"/>
                                  <a:gd name="T106" fmla="*/ 2492 w 2769"/>
                                  <a:gd name="T107" fmla="*/ 1392 h 2003"/>
                                  <a:gd name="T108" fmla="*/ 2517 w 2769"/>
                                  <a:gd name="T109" fmla="*/ 1489 h 2003"/>
                                  <a:gd name="T110" fmla="*/ 2464 w 2769"/>
                                  <a:gd name="T111" fmla="*/ 1586 h 2003"/>
                                  <a:gd name="T112" fmla="*/ 2372 w 2769"/>
                                  <a:gd name="T113" fmla="*/ 1619 h 20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2769" h="2003">
                                    <a:moveTo>
                                      <a:pt x="2730" y="1217"/>
                                    </a:moveTo>
                                    <a:lnTo>
                                      <a:pt x="2730" y="1217"/>
                                    </a:lnTo>
                                    <a:lnTo>
                                      <a:pt x="2723" y="1183"/>
                                    </a:lnTo>
                                    <a:lnTo>
                                      <a:pt x="2716" y="1151"/>
                                    </a:lnTo>
                                    <a:lnTo>
                                      <a:pt x="2706" y="1120"/>
                                    </a:lnTo>
                                    <a:lnTo>
                                      <a:pt x="2698" y="1093"/>
                                    </a:lnTo>
                                    <a:lnTo>
                                      <a:pt x="2688" y="1066"/>
                                    </a:lnTo>
                                    <a:lnTo>
                                      <a:pt x="2679" y="1043"/>
                                    </a:lnTo>
                                    <a:lnTo>
                                      <a:pt x="2668" y="1021"/>
                                    </a:lnTo>
                                    <a:lnTo>
                                      <a:pt x="2658" y="1001"/>
                                    </a:lnTo>
                                    <a:lnTo>
                                      <a:pt x="2640" y="966"/>
                                    </a:lnTo>
                                    <a:lnTo>
                                      <a:pt x="2624" y="938"/>
                                    </a:lnTo>
                                    <a:lnTo>
                                      <a:pt x="2610" y="918"/>
                                    </a:lnTo>
                                    <a:lnTo>
                                      <a:pt x="2599" y="904"/>
                                    </a:lnTo>
                                    <a:lnTo>
                                      <a:pt x="2599" y="904"/>
                                    </a:lnTo>
                                    <a:lnTo>
                                      <a:pt x="2537" y="660"/>
                                    </a:lnTo>
                                    <a:lnTo>
                                      <a:pt x="2490" y="478"/>
                                    </a:lnTo>
                                    <a:lnTo>
                                      <a:pt x="2459" y="366"/>
                                    </a:lnTo>
                                    <a:lnTo>
                                      <a:pt x="2459" y="366"/>
                                    </a:lnTo>
                                    <a:lnTo>
                                      <a:pt x="2456" y="358"/>
                                    </a:lnTo>
                                    <a:lnTo>
                                      <a:pt x="2452" y="351"/>
                                    </a:lnTo>
                                    <a:lnTo>
                                      <a:pt x="2444" y="341"/>
                                    </a:lnTo>
                                    <a:lnTo>
                                      <a:pt x="2434" y="331"/>
                                    </a:lnTo>
                                    <a:lnTo>
                                      <a:pt x="2422" y="319"/>
                                    </a:lnTo>
                                    <a:lnTo>
                                      <a:pt x="2409" y="306"/>
                                    </a:lnTo>
                                    <a:lnTo>
                                      <a:pt x="2393" y="294"/>
                                    </a:lnTo>
                                    <a:lnTo>
                                      <a:pt x="2374" y="280"/>
                                    </a:lnTo>
                                    <a:lnTo>
                                      <a:pt x="2354" y="266"/>
                                    </a:lnTo>
                                    <a:lnTo>
                                      <a:pt x="2331" y="251"/>
                                    </a:lnTo>
                                    <a:lnTo>
                                      <a:pt x="2307" y="235"/>
                                    </a:lnTo>
                                    <a:lnTo>
                                      <a:pt x="2281" y="221"/>
                                    </a:lnTo>
                                    <a:lnTo>
                                      <a:pt x="2253" y="205"/>
                                    </a:lnTo>
                                    <a:lnTo>
                                      <a:pt x="2222" y="189"/>
                                    </a:lnTo>
                                    <a:lnTo>
                                      <a:pt x="2191" y="173"/>
                                    </a:lnTo>
                                    <a:lnTo>
                                      <a:pt x="2157" y="157"/>
                                    </a:lnTo>
                                    <a:lnTo>
                                      <a:pt x="2121" y="142"/>
                                    </a:lnTo>
                                    <a:lnTo>
                                      <a:pt x="2083" y="127"/>
                                    </a:lnTo>
                                    <a:lnTo>
                                      <a:pt x="2044" y="113"/>
                                    </a:lnTo>
                                    <a:lnTo>
                                      <a:pt x="2002" y="98"/>
                                    </a:lnTo>
                                    <a:lnTo>
                                      <a:pt x="1960" y="84"/>
                                    </a:lnTo>
                                    <a:lnTo>
                                      <a:pt x="1915" y="71"/>
                                    </a:lnTo>
                                    <a:lnTo>
                                      <a:pt x="1869" y="59"/>
                                    </a:lnTo>
                                    <a:lnTo>
                                      <a:pt x="1821" y="48"/>
                                    </a:lnTo>
                                    <a:lnTo>
                                      <a:pt x="1773" y="38"/>
                                    </a:lnTo>
                                    <a:lnTo>
                                      <a:pt x="1721" y="28"/>
                                    </a:lnTo>
                                    <a:lnTo>
                                      <a:pt x="1669" y="20"/>
                                    </a:lnTo>
                                    <a:lnTo>
                                      <a:pt x="1615" y="13"/>
                                    </a:lnTo>
                                    <a:lnTo>
                                      <a:pt x="1559" y="8"/>
                                    </a:lnTo>
                                    <a:lnTo>
                                      <a:pt x="1503" y="4"/>
                                    </a:lnTo>
                                    <a:lnTo>
                                      <a:pt x="1443" y="2"/>
                                    </a:lnTo>
                                    <a:lnTo>
                                      <a:pt x="1384" y="0"/>
                                    </a:lnTo>
                                    <a:lnTo>
                                      <a:pt x="1384" y="0"/>
                                    </a:lnTo>
                                    <a:lnTo>
                                      <a:pt x="1324" y="2"/>
                                    </a:lnTo>
                                    <a:lnTo>
                                      <a:pt x="1266" y="4"/>
                                    </a:lnTo>
                                    <a:lnTo>
                                      <a:pt x="1209" y="8"/>
                                    </a:lnTo>
                                    <a:lnTo>
                                      <a:pt x="1153" y="13"/>
                                    </a:lnTo>
                                    <a:lnTo>
                                      <a:pt x="1099" y="20"/>
                                    </a:lnTo>
                                    <a:lnTo>
                                      <a:pt x="1047" y="28"/>
                                    </a:lnTo>
                                    <a:lnTo>
                                      <a:pt x="996" y="38"/>
                                    </a:lnTo>
                                    <a:lnTo>
                                      <a:pt x="947" y="48"/>
                                    </a:lnTo>
                                    <a:lnTo>
                                      <a:pt x="899" y="59"/>
                                    </a:lnTo>
                                    <a:lnTo>
                                      <a:pt x="853" y="71"/>
                                    </a:lnTo>
                                    <a:lnTo>
                                      <a:pt x="808" y="84"/>
                                    </a:lnTo>
                                    <a:lnTo>
                                      <a:pt x="765" y="98"/>
                                    </a:lnTo>
                                    <a:lnTo>
                                      <a:pt x="725" y="113"/>
                                    </a:lnTo>
                                    <a:lnTo>
                                      <a:pt x="685" y="127"/>
                                    </a:lnTo>
                                    <a:lnTo>
                                      <a:pt x="647" y="142"/>
                                    </a:lnTo>
                                    <a:lnTo>
                                      <a:pt x="611" y="157"/>
                                    </a:lnTo>
                                    <a:lnTo>
                                      <a:pt x="578" y="173"/>
                                    </a:lnTo>
                                    <a:lnTo>
                                      <a:pt x="546" y="189"/>
                                    </a:lnTo>
                                    <a:lnTo>
                                      <a:pt x="515" y="205"/>
                                    </a:lnTo>
                                    <a:lnTo>
                                      <a:pt x="488" y="221"/>
                                    </a:lnTo>
                                    <a:lnTo>
                                      <a:pt x="461" y="235"/>
                                    </a:lnTo>
                                    <a:lnTo>
                                      <a:pt x="437" y="251"/>
                                    </a:lnTo>
                                    <a:lnTo>
                                      <a:pt x="415" y="266"/>
                                    </a:lnTo>
                                    <a:lnTo>
                                      <a:pt x="393" y="280"/>
                                    </a:lnTo>
                                    <a:lnTo>
                                      <a:pt x="375" y="294"/>
                                    </a:lnTo>
                                    <a:lnTo>
                                      <a:pt x="360" y="306"/>
                                    </a:lnTo>
                                    <a:lnTo>
                                      <a:pt x="346" y="319"/>
                                    </a:lnTo>
                                    <a:lnTo>
                                      <a:pt x="334" y="331"/>
                                    </a:lnTo>
                                    <a:lnTo>
                                      <a:pt x="324" y="341"/>
                                    </a:lnTo>
                                    <a:lnTo>
                                      <a:pt x="316" y="351"/>
                                    </a:lnTo>
                                    <a:lnTo>
                                      <a:pt x="311" y="358"/>
                                    </a:lnTo>
                                    <a:lnTo>
                                      <a:pt x="309" y="366"/>
                                    </a:lnTo>
                                    <a:lnTo>
                                      <a:pt x="309" y="366"/>
                                    </a:lnTo>
                                    <a:lnTo>
                                      <a:pt x="278" y="478"/>
                                    </a:lnTo>
                                    <a:lnTo>
                                      <a:pt x="232" y="660"/>
                                    </a:lnTo>
                                    <a:lnTo>
                                      <a:pt x="169" y="904"/>
                                    </a:lnTo>
                                    <a:lnTo>
                                      <a:pt x="169" y="904"/>
                                    </a:lnTo>
                                    <a:lnTo>
                                      <a:pt x="160" y="916"/>
                                    </a:lnTo>
                                    <a:lnTo>
                                      <a:pt x="146" y="936"/>
                                    </a:lnTo>
                                    <a:lnTo>
                                      <a:pt x="130" y="964"/>
                                    </a:lnTo>
                                    <a:lnTo>
                                      <a:pt x="111" y="999"/>
                                    </a:lnTo>
                                    <a:lnTo>
                                      <a:pt x="101" y="1019"/>
                                    </a:lnTo>
                                    <a:lnTo>
                                      <a:pt x="91" y="1041"/>
                                    </a:lnTo>
                                    <a:lnTo>
                                      <a:pt x="81" y="1065"/>
                                    </a:lnTo>
                                    <a:lnTo>
                                      <a:pt x="72" y="1092"/>
                                    </a:lnTo>
                                    <a:lnTo>
                                      <a:pt x="62" y="1120"/>
                                    </a:lnTo>
                                    <a:lnTo>
                                      <a:pt x="54" y="1151"/>
                                    </a:lnTo>
                                    <a:lnTo>
                                      <a:pt x="45" y="1183"/>
                                    </a:lnTo>
                                    <a:lnTo>
                                      <a:pt x="38" y="1217"/>
                                    </a:lnTo>
                                    <a:lnTo>
                                      <a:pt x="38" y="1217"/>
                                    </a:lnTo>
                                    <a:lnTo>
                                      <a:pt x="31" y="1248"/>
                                    </a:lnTo>
                                    <a:lnTo>
                                      <a:pt x="26" y="1280"/>
                                    </a:lnTo>
                                    <a:lnTo>
                                      <a:pt x="18" y="1345"/>
                                    </a:lnTo>
                                    <a:lnTo>
                                      <a:pt x="10" y="1410"/>
                                    </a:lnTo>
                                    <a:lnTo>
                                      <a:pt x="5" y="1475"/>
                                    </a:lnTo>
                                    <a:lnTo>
                                      <a:pt x="2" y="1539"/>
                                    </a:lnTo>
                                    <a:lnTo>
                                      <a:pt x="0" y="1602"/>
                                    </a:lnTo>
                                    <a:lnTo>
                                      <a:pt x="0" y="1663"/>
                                    </a:lnTo>
                                    <a:lnTo>
                                      <a:pt x="0" y="1720"/>
                                    </a:lnTo>
                                    <a:lnTo>
                                      <a:pt x="2" y="1775"/>
                                    </a:lnTo>
                                    <a:lnTo>
                                      <a:pt x="4" y="1825"/>
                                    </a:lnTo>
                                    <a:lnTo>
                                      <a:pt x="7" y="1871"/>
                                    </a:lnTo>
                                    <a:lnTo>
                                      <a:pt x="10" y="1911"/>
                                    </a:lnTo>
                                    <a:lnTo>
                                      <a:pt x="15" y="1945"/>
                                    </a:lnTo>
                                    <a:lnTo>
                                      <a:pt x="19" y="1972"/>
                                    </a:lnTo>
                                    <a:lnTo>
                                      <a:pt x="23" y="1991"/>
                                    </a:lnTo>
                                    <a:lnTo>
                                      <a:pt x="26" y="2003"/>
                                    </a:lnTo>
                                    <a:lnTo>
                                      <a:pt x="26" y="2003"/>
                                    </a:lnTo>
                                    <a:lnTo>
                                      <a:pt x="2742" y="2003"/>
                                    </a:lnTo>
                                    <a:lnTo>
                                      <a:pt x="2742" y="2003"/>
                                    </a:lnTo>
                                    <a:lnTo>
                                      <a:pt x="2745" y="1991"/>
                                    </a:lnTo>
                                    <a:lnTo>
                                      <a:pt x="2749" y="1972"/>
                                    </a:lnTo>
                                    <a:lnTo>
                                      <a:pt x="2754" y="1945"/>
                                    </a:lnTo>
                                    <a:lnTo>
                                      <a:pt x="2758" y="1911"/>
                                    </a:lnTo>
                                    <a:lnTo>
                                      <a:pt x="2761" y="1871"/>
                                    </a:lnTo>
                                    <a:lnTo>
                                      <a:pt x="2764" y="1825"/>
                                    </a:lnTo>
                                    <a:lnTo>
                                      <a:pt x="2766" y="1775"/>
                                    </a:lnTo>
                                    <a:lnTo>
                                      <a:pt x="2769" y="1720"/>
                                    </a:lnTo>
                                    <a:lnTo>
                                      <a:pt x="2769" y="1663"/>
                                    </a:lnTo>
                                    <a:lnTo>
                                      <a:pt x="2769" y="1602"/>
                                    </a:lnTo>
                                    <a:lnTo>
                                      <a:pt x="2766" y="1539"/>
                                    </a:lnTo>
                                    <a:lnTo>
                                      <a:pt x="2763" y="1475"/>
                                    </a:lnTo>
                                    <a:lnTo>
                                      <a:pt x="2758" y="1410"/>
                                    </a:lnTo>
                                    <a:lnTo>
                                      <a:pt x="2751" y="1345"/>
                                    </a:lnTo>
                                    <a:lnTo>
                                      <a:pt x="2742" y="1280"/>
                                    </a:lnTo>
                                    <a:lnTo>
                                      <a:pt x="2737" y="1248"/>
                                    </a:lnTo>
                                    <a:lnTo>
                                      <a:pt x="2730" y="1217"/>
                                    </a:lnTo>
                                    <a:lnTo>
                                      <a:pt x="2730" y="1217"/>
                                    </a:lnTo>
                                    <a:close/>
                                    <a:moveTo>
                                      <a:pt x="337" y="788"/>
                                    </a:moveTo>
                                    <a:lnTo>
                                      <a:pt x="337" y="788"/>
                                    </a:lnTo>
                                    <a:lnTo>
                                      <a:pt x="346" y="740"/>
                                    </a:lnTo>
                                    <a:lnTo>
                                      <a:pt x="353" y="697"/>
                                    </a:lnTo>
                                    <a:lnTo>
                                      <a:pt x="368" y="624"/>
                                    </a:lnTo>
                                    <a:lnTo>
                                      <a:pt x="381" y="567"/>
                                    </a:lnTo>
                                    <a:lnTo>
                                      <a:pt x="392" y="523"/>
                                    </a:lnTo>
                                    <a:lnTo>
                                      <a:pt x="403" y="492"/>
                                    </a:lnTo>
                                    <a:lnTo>
                                      <a:pt x="411" y="470"/>
                                    </a:lnTo>
                                    <a:lnTo>
                                      <a:pt x="417" y="457"/>
                                    </a:lnTo>
                                    <a:lnTo>
                                      <a:pt x="420" y="449"/>
                                    </a:lnTo>
                                    <a:lnTo>
                                      <a:pt x="420" y="449"/>
                                    </a:lnTo>
                                    <a:lnTo>
                                      <a:pt x="421" y="445"/>
                                    </a:lnTo>
                                    <a:lnTo>
                                      <a:pt x="424" y="440"/>
                                    </a:lnTo>
                                    <a:lnTo>
                                      <a:pt x="436" y="426"/>
                                    </a:lnTo>
                                    <a:lnTo>
                                      <a:pt x="454" y="407"/>
                                    </a:lnTo>
                                    <a:lnTo>
                                      <a:pt x="479" y="385"/>
                                    </a:lnTo>
                                    <a:lnTo>
                                      <a:pt x="495" y="372"/>
                                    </a:lnTo>
                                    <a:lnTo>
                                      <a:pt x="512" y="359"/>
                                    </a:lnTo>
                                    <a:lnTo>
                                      <a:pt x="530" y="346"/>
                                    </a:lnTo>
                                    <a:lnTo>
                                      <a:pt x="551" y="331"/>
                                    </a:lnTo>
                                    <a:lnTo>
                                      <a:pt x="573" y="317"/>
                                    </a:lnTo>
                                    <a:lnTo>
                                      <a:pt x="598" y="302"/>
                                    </a:lnTo>
                                    <a:lnTo>
                                      <a:pt x="624" y="287"/>
                                    </a:lnTo>
                                    <a:lnTo>
                                      <a:pt x="653" y="272"/>
                                    </a:lnTo>
                                    <a:lnTo>
                                      <a:pt x="682" y="258"/>
                                    </a:lnTo>
                                    <a:lnTo>
                                      <a:pt x="715" y="244"/>
                                    </a:lnTo>
                                    <a:lnTo>
                                      <a:pt x="749" y="229"/>
                                    </a:lnTo>
                                    <a:lnTo>
                                      <a:pt x="785" y="215"/>
                                    </a:lnTo>
                                    <a:lnTo>
                                      <a:pt x="823" y="203"/>
                                    </a:lnTo>
                                    <a:lnTo>
                                      <a:pt x="863" y="190"/>
                                    </a:lnTo>
                                    <a:lnTo>
                                      <a:pt x="906" y="178"/>
                                    </a:lnTo>
                                    <a:lnTo>
                                      <a:pt x="950" y="167"/>
                                    </a:lnTo>
                                    <a:lnTo>
                                      <a:pt x="997" y="157"/>
                                    </a:lnTo>
                                    <a:lnTo>
                                      <a:pt x="1045" y="148"/>
                                    </a:lnTo>
                                    <a:lnTo>
                                      <a:pt x="1096" y="139"/>
                                    </a:lnTo>
                                    <a:lnTo>
                                      <a:pt x="1150" y="133"/>
                                    </a:lnTo>
                                    <a:lnTo>
                                      <a:pt x="1205" y="127"/>
                                    </a:lnTo>
                                    <a:lnTo>
                                      <a:pt x="1262" y="123"/>
                                    </a:lnTo>
                                    <a:lnTo>
                                      <a:pt x="1322" y="120"/>
                                    </a:lnTo>
                                    <a:lnTo>
                                      <a:pt x="1384" y="120"/>
                                    </a:lnTo>
                                    <a:lnTo>
                                      <a:pt x="1384" y="120"/>
                                    </a:lnTo>
                                    <a:lnTo>
                                      <a:pt x="1447" y="120"/>
                                    </a:lnTo>
                                    <a:lnTo>
                                      <a:pt x="1506" y="123"/>
                                    </a:lnTo>
                                    <a:lnTo>
                                      <a:pt x="1563" y="127"/>
                                    </a:lnTo>
                                    <a:lnTo>
                                      <a:pt x="1618" y="133"/>
                                    </a:lnTo>
                                    <a:lnTo>
                                      <a:pt x="1671" y="139"/>
                                    </a:lnTo>
                                    <a:lnTo>
                                      <a:pt x="1723" y="148"/>
                                    </a:lnTo>
                                    <a:lnTo>
                                      <a:pt x="1772" y="157"/>
                                    </a:lnTo>
                                    <a:lnTo>
                                      <a:pt x="1818" y="167"/>
                                    </a:lnTo>
                                    <a:lnTo>
                                      <a:pt x="1861" y="178"/>
                                    </a:lnTo>
                                    <a:lnTo>
                                      <a:pt x="1904" y="190"/>
                                    </a:lnTo>
                                    <a:lnTo>
                                      <a:pt x="1945" y="203"/>
                                    </a:lnTo>
                                    <a:lnTo>
                                      <a:pt x="1983" y="215"/>
                                    </a:lnTo>
                                    <a:lnTo>
                                      <a:pt x="2019" y="229"/>
                                    </a:lnTo>
                                    <a:lnTo>
                                      <a:pt x="2053" y="244"/>
                                    </a:lnTo>
                                    <a:lnTo>
                                      <a:pt x="2085" y="258"/>
                                    </a:lnTo>
                                    <a:lnTo>
                                      <a:pt x="2116" y="272"/>
                                    </a:lnTo>
                                    <a:lnTo>
                                      <a:pt x="2144" y="287"/>
                                    </a:lnTo>
                                    <a:lnTo>
                                      <a:pt x="2171" y="302"/>
                                    </a:lnTo>
                                    <a:lnTo>
                                      <a:pt x="2195" y="317"/>
                                    </a:lnTo>
                                    <a:lnTo>
                                      <a:pt x="2217" y="331"/>
                                    </a:lnTo>
                                    <a:lnTo>
                                      <a:pt x="2238" y="346"/>
                                    </a:lnTo>
                                    <a:lnTo>
                                      <a:pt x="2256" y="359"/>
                                    </a:lnTo>
                                    <a:lnTo>
                                      <a:pt x="2273" y="372"/>
                                    </a:lnTo>
                                    <a:lnTo>
                                      <a:pt x="2289" y="385"/>
                                    </a:lnTo>
                                    <a:lnTo>
                                      <a:pt x="2314" y="407"/>
                                    </a:lnTo>
                                    <a:lnTo>
                                      <a:pt x="2332" y="426"/>
                                    </a:lnTo>
                                    <a:lnTo>
                                      <a:pt x="2344" y="440"/>
                                    </a:lnTo>
                                    <a:lnTo>
                                      <a:pt x="2347" y="445"/>
                                    </a:lnTo>
                                    <a:lnTo>
                                      <a:pt x="2348" y="449"/>
                                    </a:lnTo>
                                    <a:lnTo>
                                      <a:pt x="2348" y="449"/>
                                    </a:lnTo>
                                    <a:lnTo>
                                      <a:pt x="2357" y="470"/>
                                    </a:lnTo>
                                    <a:lnTo>
                                      <a:pt x="2365" y="492"/>
                                    </a:lnTo>
                                    <a:lnTo>
                                      <a:pt x="2376" y="523"/>
                                    </a:lnTo>
                                    <a:lnTo>
                                      <a:pt x="2388" y="567"/>
                                    </a:lnTo>
                                    <a:lnTo>
                                      <a:pt x="2400" y="624"/>
                                    </a:lnTo>
                                    <a:lnTo>
                                      <a:pt x="2415" y="697"/>
                                    </a:lnTo>
                                    <a:lnTo>
                                      <a:pt x="2431" y="788"/>
                                    </a:lnTo>
                                    <a:lnTo>
                                      <a:pt x="2431" y="788"/>
                                    </a:lnTo>
                                    <a:lnTo>
                                      <a:pt x="2432" y="802"/>
                                    </a:lnTo>
                                    <a:lnTo>
                                      <a:pt x="2431" y="818"/>
                                    </a:lnTo>
                                    <a:lnTo>
                                      <a:pt x="2429" y="834"/>
                                    </a:lnTo>
                                    <a:lnTo>
                                      <a:pt x="2427" y="843"/>
                                    </a:lnTo>
                                    <a:lnTo>
                                      <a:pt x="2424" y="851"/>
                                    </a:lnTo>
                                    <a:lnTo>
                                      <a:pt x="2419" y="859"/>
                                    </a:lnTo>
                                    <a:lnTo>
                                      <a:pt x="2415" y="866"/>
                                    </a:lnTo>
                                    <a:lnTo>
                                      <a:pt x="2411" y="873"/>
                                    </a:lnTo>
                                    <a:lnTo>
                                      <a:pt x="2404" y="879"/>
                                    </a:lnTo>
                                    <a:lnTo>
                                      <a:pt x="2398" y="883"/>
                                    </a:lnTo>
                                    <a:lnTo>
                                      <a:pt x="2390" y="887"/>
                                    </a:lnTo>
                                    <a:lnTo>
                                      <a:pt x="2381" y="890"/>
                                    </a:lnTo>
                                    <a:lnTo>
                                      <a:pt x="2372" y="891"/>
                                    </a:lnTo>
                                    <a:lnTo>
                                      <a:pt x="2372" y="891"/>
                                    </a:lnTo>
                                    <a:lnTo>
                                      <a:pt x="2372" y="891"/>
                                    </a:lnTo>
                                    <a:lnTo>
                                      <a:pt x="2372" y="891"/>
                                    </a:lnTo>
                                    <a:lnTo>
                                      <a:pt x="2278" y="879"/>
                                    </a:lnTo>
                                    <a:lnTo>
                                      <a:pt x="2178" y="867"/>
                                    </a:lnTo>
                                    <a:lnTo>
                                      <a:pt x="2049" y="855"/>
                                    </a:lnTo>
                                    <a:lnTo>
                                      <a:pt x="1976" y="848"/>
                                    </a:lnTo>
                                    <a:lnTo>
                                      <a:pt x="1899" y="842"/>
                                    </a:lnTo>
                                    <a:lnTo>
                                      <a:pt x="1817" y="837"/>
                                    </a:lnTo>
                                    <a:lnTo>
                                      <a:pt x="1733" y="831"/>
                                    </a:lnTo>
                                    <a:lnTo>
                                      <a:pt x="1648" y="827"/>
                                    </a:lnTo>
                                    <a:lnTo>
                                      <a:pt x="1560" y="823"/>
                                    </a:lnTo>
                                    <a:lnTo>
                                      <a:pt x="1472" y="821"/>
                                    </a:lnTo>
                                    <a:lnTo>
                                      <a:pt x="1384" y="821"/>
                                    </a:lnTo>
                                    <a:lnTo>
                                      <a:pt x="1384" y="821"/>
                                    </a:lnTo>
                                    <a:lnTo>
                                      <a:pt x="1296" y="821"/>
                                    </a:lnTo>
                                    <a:lnTo>
                                      <a:pt x="1208" y="823"/>
                                    </a:lnTo>
                                    <a:lnTo>
                                      <a:pt x="1121" y="827"/>
                                    </a:lnTo>
                                    <a:lnTo>
                                      <a:pt x="1035" y="831"/>
                                    </a:lnTo>
                                    <a:lnTo>
                                      <a:pt x="950" y="837"/>
                                    </a:lnTo>
                                    <a:lnTo>
                                      <a:pt x="870" y="842"/>
                                    </a:lnTo>
                                    <a:lnTo>
                                      <a:pt x="792" y="848"/>
                                    </a:lnTo>
                                    <a:lnTo>
                                      <a:pt x="719" y="855"/>
                                    </a:lnTo>
                                    <a:lnTo>
                                      <a:pt x="590" y="867"/>
                                    </a:lnTo>
                                    <a:lnTo>
                                      <a:pt x="490" y="879"/>
                                    </a:lnTo>
                                    <a:lnTo>
                                      <a:pt x="397" y="891"/>
                                    </a:lnTo>
                                    <a:lnTo>
                                      <a:pt x="397" y="891"/>
                                    </a:lnTo>
                                    <a:lnTo>
                                      <a:pt x="397" y="891"/>
                                    </a:lnTo>
                                    <a:lnTo>
                                      <a:pt x="397" y="891"/>
                                    </a:lnTo>
                                    <a:lnTo>
                                      <a:pt x="387" y="890"/>
                                    </a:lnTo>
                                    <a:lnTo>
                                      <a:pt x="379" y="887"/>
                                    </a:lnTo>
                                    <a:lnTo>
                                      <a:pt x="370" y="883"/>
                                    </a:lnTo>
                                    <a:lnTo>
                                      <a:pt x="364" y="879"/>
                                    </a:lnTo>
                                    <a:lnTo>
                                      <a:pt x="357" y="873"/>
                                    </a:lnTo>
                                    <a:lnTo>
                                      <a:pt x="353" y="866"/>
                                    </a:lnTo>
                                    <a:lnTo>
                                      <a:pt x="349" y="859"/>
                                    </a:lnTo>
                                    <a:lnTo>
                                      <a:pt x="345" y="851"/>
                                    </a:lnTo>
                                    <a:lnTo>
                                      <a:pt x="342" y="843"/>
                                    </a:lnTo>
                                    <a:lnTo>
                                      <a:pt x="339" y="834"/>
                                    </a:lnTo>
                                    <a:lnTo>
                                      <a:pt x="337" y="818"/>
                                    </a:lnTo>
                                    <a:lnTo>
                                      <a:pt x="336" y="802"/>
                                    </a:lnTo>
                                    <a:lnTo>
                                      <a:pt x="337" y="788"/>
                                    </a:lnTo>
                                    <a:lnTo>
                                      <a:pt x="337" y="788"/>
                                    </a:lnTo>
                                    <a:close/>
                                    <a:moveTo>
                                      <a:pt x="443" y="1619"/>
                                    </a:moveTo>
                                    <a:lnTo>
                                      <a:pt x="443" y="1619"/>
                                    </a:lnTo>
                                    <a:lnTo>
                                      <a:pt x="428" y="1618"/>
                                    </a:lnTo>
                                    <a:lnTo>
                                      <a:pt x="415" y="1616"/>
                                    </a:lnTo>
                                    <a:lnTo>
                                      <a:pt x="401" y="1612"/>
                                    </a:lnTo>
                                    <a:lnTo>
                                      <a:pt x="387" y="1607"/>
                                    </a:lnTo>
                                    <a:lnTo>
                                      <a:pt x="374" y="1602"/>
                                    </a:lnTo>
                                    <a:lnTo>
                                      <a:pt x="363" y="1594"/>
                                    </a:lnTo>
                                    <a:lnTo>
                                      <a:pt x="351" y="1586"/>
                                    </a:lnTo>
                                    <a:lnTo>
                                      <a:pt x="341" y="1576"/>
                                    </a:lnTo>
                                    <a:lnTo>
                                      <a:pt x="331" y="1566"/>
                                    </a:lnTo>
                                    <a:lnTo>
                                      <a:pt x="323" y="1555"/>
                                    </a:lnTo>
                                    <a:lnTo>
                                      <a:pt x="315" y="1543"/>
                                    </a:lnTo>
                                    <a:lnTo>
                                      <a:pt x="310" y="1530"/>
                                    </a:lnTo>
                                    <a:lnTo>
                                      <a:pt x="305" y="1517"/>
                                    </a:lnTo>
                                    <a:lnTo>
                                      <a:pt x="301" y="1502"/>
                                    </a:lnTo>
                                    <a:lnTo>
                                      <a:pt x="299" y="1489"/>
                                    </a:lnTo>
                                    <a:lnTo>
                                      <a:pt x="298" y="1474"/>
                                    </a:lnTo>
                                    <a:lnTo>
                                      <a:pt x="298" y="1474"/>
                                    </a:lnTo>
                                    <a:lnTo>
                                      <a:pt x="299" y="1459"/>
                                    </a:lnTo>
                                    <a:lnTo>
                                      <a:pt x="301" y="1444"/>
                                    </a:lnTo>
                                    <a:lnTo>
                                      <a:pt x="305" y="1430"/>
                                    </a:lnTo>
                                    <a:lnTo>
                                      <a:pt x="310" y="1417"/>
                                    </a:lnTo>
                                    <a:lnTo>
                                      <a:pt x="315" y="1404"/>
                                    </a:lnTo>
                                    <a:lnTo>
                                      <a:pt x="323" y="1392"/>
                                    </a:lnTo>
                                    <a:lnTo>
                                      <a:pt x="331" y="1381"/>
                                    </a:lnTo>
                                    <a:lnTo>
                                      <a:pt x="341" y="1370"/>
                                    </a:lnTo>
                                    <a:lnTo>
                                      <a:pt x="351" y="1362"/>
                                    </a:lnTo>
                                    <a:lnTo>
                                      <a:pt x="363" y="1353"/>
                                    </a:lnTo>
                                    <a:lnTo>
                                      <a:pt x="374" y="1346"/>
                                    </a:lnTo>
                                    <a:lnTo>
                                      <a:pt x="387" y="1339"/>
                                    </a:lnTo>
                                    <a:lnTo>
                                      <a:pt x="401" y="1334"/>
                                    </a:lnTo>
                                    <a:lnTo>
                                      <a:pt x="415" y="1331"/>
                                    </a:lnTo>
                                    <a:lnTo>
                                      <a:pt x="428" y="1329"/>
                                    </a:lnTo>
                                    <a:lnTo>
                                      <a:pt x="443" y="1328"/>
                                    </a:lnTo>
                                    <a:lnTo>
                                      <a:pt x="443" y="1328"/>
                                    </a:lnTo>
                                    <a:lnTo>
                                      <a:pt x="459" y="1329"/>
                                    </a:lnTo>
                                    <a:lnTo>
                                      <a:pt x="473" y="1331"/>
                                    </a:lnTo>
                                    <a:lnTo>
                                      <a:pt x="487" y="1334"/>
                                    </a:lnTo>
                                    <a:lnTo>
                                      <a:pt x="500" y="1339"/>
                                    </a:lnTo>
                                    <a:lnTo>
                                      <a:pt x="513" y="1346"/>
                                    </a:lnTo>
                                    <a:lnTo>
                                      <a:pt x="525" y="1353"/>
                                    </a:lnTo>
                                    <a:lnTo>
                                      <a:pt x="536" y="1362"/>
                                    </a:lnTo>
                                    <a:lnTo>
                                      <a:pt x="547" y="1370"/>
                                    </a:lnTo>
                                    <a:lnTo>
                                      <a:pt x="556" y="1381"/>
                                    </a:lnTo>
                                    <a:lnTo>
                                      <a:pt x="565" y="1392"/>
                                    </a:lnTo>
                                    <a:lnTo>
                                      <a:pt x="571" y="1404"/>
                                    </a:lnTo>
                                    <a:lnTo>
                                      <a:pt x="578" y="1417"/>
                                    </a:lnTo>
                                    <a:lnTo>
                                      <a:pt x="583" y="1430"/>
                                    </a:lnTo>
                                    <a:lnTo>
                                      <a:pt x="586" y="1444"/>
                                    </a:lnTo>
                                    <a:lnTo>
                                      <a:pt x="588" y="1459"/>
                                    </a:lnTo>
                                    <a:lnTo>
                                      <a:pt x="589" y="1474"/>
                                    </a:lnTo>
                                    <a:lnTo>
                                      <a:pt x="589" y="1474"/>
                                    </a:lnTo>
                                    <a:lnTo>
                                      <a:pt x="588" y="1489"/>
                                    </a:lnTo>
                                    <a:lnTo>
                                      <a:pt x="586" y="1502"/>
                                    </a:lnTo>
                                    <a:lnTo>
                                      <a:pt x="583" y="1517"/>
                                    </a:lnTo>
                                    <a:lnTo>
                                      <a:pt x="578" y="1530"/>
                                    </a:lnTo>
                                    <a:lnTo>
                                      <a:pt x="571" y="1543"/>
                                    </a:lnTo>
                                    <a:lnTo>
                                      <a:pt x="565" y="1555"/>
                                    </a:lnTo>
                                    <a:lnTo>
                                      <a:pt x="556" y="1566"/>
                                    </a:lnTo>
                                    <a:lnTo>
                                      <a:pt x="547" y="1576"/>
                                    </a:lnTo>
                                    <a:lnTo>
                                      <a:pt x="536" y="1586"/>
                                    </a:lnTo>
                                    <a:lnTo>
                                      <a:pt x="525" y="1594"/>
                                    </a:lnTo>
                                    <a:lnTo>
                                      <a:pt x="513" y="1602"/>
                                    </a:lnTo>
                                    <a:lnTo>
                                      <a:pt x="500" y="1607"/>
                                    </a:lnTo>
                                    <a:lnTo>
                                      <a:pt x="487" y="1612"/>
                                    </a:lnTo>
                                    <a:lnTo>
                                      <a:pt x="473" y="1616"/>
                                    </a:lnTo>
                                    <a:lnTo>
                                      <a:pt x="459" y="1618"/>
                                    </a:lnTo>
                                    <a:lnTo>
                                      <a:pt x="443" y="1619"/>
                                    </a:lnTo>
                                    <a:lnTo>
                                      <a:pt x="443" y="1619"/>
                                    </a:lnTo>
                                    <a:close/>
                                    <a:moveTo>
                                      <a:pt x="1881" y="1581"/>
                                    </a:moveTo>
                                    <a:lnTo>
                                      <a:pt x="888" y="1581"/>
                                    </a:lnTo>
                                    <a:lnTo>
                                      <a:pt x="888" y="1581"/>
                                    </a:lnTo>
                                    <a:lnTo>
                                      <a:pt x="877" y="1580"/>
                                    </a:lnTo>
                                    <a:lnTo>
                                      <a:pt x="867" y="1576"/>
                                    </a:lnTo>
                                    <a:lnTo>
                                      <a:pt x="857" y="1571"/>
                                    </a:lnTo>
                                    <a:lnTo>
                                      <a:pt x="849" y="1565"/>
                                    </a:lnTo>
                                    <a:lnTo>
                                      <a:pt x="841" y="1556"/>
                                    </a:lnTo>
                                    <a:lnTo>
                                      <a:pt x="837" y="1547"/>
                                    </a:lnTo>
                                    <a:lnTo>
                                      <a:pt x="833" y="1536"/>
                                    </a:lnTo>
                                    <a:lnTo>
                                      <a:pt x="832" y="1525"/>
                                    </a:lnTo>
                                    <a:lnTo>
                                      <a:pt x="832" y="1525"/>
                                    </a:lnTo>
                                    <a:lnTo>
                                      <a:pt x="833" y="1514"/>
                                    </a:lnTo>
                                    <a:lnTo>
                                      <a:pt x="837" y="1503"/>
                                    </a:lnTo>
                                    <a:lnTo>
                                      <a:pt x="841" y="1494"/>
                                    </a:lnTo>
                                    <a:lnTo>
                                      <a:pt x="849" y="1485"/>
                                    </a:lnTo>
                                    <a:lnTo>
                                      <a:pt x="857" y="1478"/>
                                    </a:lnTo>
                                    <a:lnTo>
                                      <a:pt x="867" y="1473"/>
                                    </a:lnTo>
                                    <a:lnTo>
                                      <a:pt x="877" y="1469"/>
                                    </a:lnTo>
                                    <a:lnTo>
                                      <a:pt x="888" y="1468"/>
                                    </a:lnTo>
                                    <a:lnTo>
                                      <a:pt x="1881" y="1468"/>
                                    </a:lnTo>
                                    <a:lnTo>
                                      <a:pt x="1881" y="1468"/>
                                    </a:lnTo>
                                    <a:lnTo>
                                      <a:pt x="1891" y="1469"/>
                                    </a:lnTo>
                                    <a:lnTo>
                                      <a:pt x="1902" y="1473"/>
                                    </a:lnTo>
                                    <a:lnTo>
                                      <a:pt x="1911" y="1478"/>
                                    </a:lnTo>
                                    <a:lnTo>
                                      <a:pt x="1920" y="1485"/>
                                    </a:lnTo>
                                    <a:lnTo>
                                      <a:pt x="1927" y="1494"/>
                                    </a:lnTo>
                                    <a:lnTo>
                                      <a:pt x="1931" y="1503"/>
                                    </a:lnTo>
                                    <a:lnTo>
                                      <a:pt x="1936" y="1514"/>
                                    </a:lnTo>
                                    <a:lnTo>
                                      <a:pt x="1937" y="1525"/>
                                    </a:lnTo>
                                    <a:lnTo>
                                      <a:pt x="1937" y="1525"/>
                                    </a:lnTo>
                                    <a:lnTo>
                                      <a:pt x="1936" y="1536"/>
                                    </a:lnTo>
                                    <a:lnTo>
                                      <a:pt x="1931" y="1547"/>
                                    </a:lnTo>
                                    <a:lnTo>
                                      <a:pt x="1927" y="1556"/>
                                    </a:lnTo>
                                    <a:lnTo>
                                      <a:pt x="1920" y="1565"/>
                                    </a:lnTo>
                                    <a:lnTo>
                                      <a:pt x="1911" y="1571"/>
                                    </a:lnTo>
                                    <a:lnTo>
                                      <a:pt x="1902" y="1576"/>
                                    </a:lnTo>
                                    <a:lnTo>
                                      <a:pt x="1891" y="1580"/>
                                    </a:lnTo>
                                    <a:lnTo>
                                      <a:pt x="1881" y="1581"/>
                                    </a:lnTo>
                                    <a:lnTo>
                                      <a:pt x="1881" y="1581"/>
                                    </a:lnTo>
                                    <a:close/>
                                    <a:moveTo>
                                      <a:pt x="2372" y="1619"/>
                                    </a:moveTo>
                                    <a:lnTo>
                                      <a:pt x="2372" y="1619"/>
                                    </a:lnTo>
                                    <a:lnTo>
                                      <a:pt x="2357" y="1618"/>
                                    </a:lnTo>
                                    <a:lnTo>
                                      <a:pt x="2342" y="1616"/>
                                    </a:lnTo>
                                    <a:lnTo>
                                      <a:pt x="2328" y="1612"/>
                                    </a:lnTo>
                                    <a:lnTo>
                                      <a:pt x="2314" y="1607"/>
                                    </a:lnTo>
                                    <a:lnTo>
                                      <a:pt x="2302" y="1602"/>
                                    </a:lnTo>
                                    <a:lnTo>
                                      <a:pt x="2290" y="1594"/>
                                    </a:lnTo>
                                    <a:lnTo>
                                      <a:pt x="2278" y="1586"/>
                                    </a:lnTo>
                                    <a:lnTo>
                                      <a:pt x="2269" y="1576"/>
                                    </a:lnTo>
                                    <a:lnTo>
                                      <a:pt x="2259" y="1566"/>
                                    </a:lnTo>
                                    <a:lnTo>
                                      <a:pt x="2251" y="1555"/>
                                    </a:lnTo>
                                    <a:lnTo>
                                      <a:pt x="2244" y="1543"/>
                                    </a:lnTo>
                                    <a:lnTo>
                                      <a:pt x="2237" y="1530"/>
                                    </a:lnTo>
                                    <a:lnTo>
                                      <a:pt x="2232" y="1517"/>
                                    </a:lnTo>
                                    <a:lnTo>
                                      <a:pt x="2229" y="1502"/>
                                    </a:lnTo>
                                    <a:lnTo>
                                      <a:pt x="2227" y="1489"/>
                                    </a:lnTo>
                                    <a:lnTo>
                                      <a:pt x="2226" y="1474"/>
                                    </a:lnTo>
                                    <a:lnTo>
                                      <a:pt x="2226" y="1474"/>
                                    </a:lnTo>
                                    <a:lnTo>
                                      <a:pt x="2227" y="1459"/>
                                    </a:lnTo>
                                    <a:lnTo>
                                      <a:pt x="2229" y="1444"/>
                                    </a:lnTo>
                                    <a:lnTo>
                                      <a:pt x="2232" y="1430"/>
                                    </a:lnTo>
                                    <a:lnTo>
                                      <a:pt x="2237" y="1417"/>
                                    </a:lnTo>
                                    <a:lnTo>
                                      <a:pt x="2244" y="1404"/>
                                    </a:lnTo>
                                    <a:lnTo>
                                      <a:pt x="2251" y="1392"/>
                                    </a:lnTo>
                                    <a:lnTo>
                                      <a:pt x="2259" y="1381"/>
                                    </a:lnTo>
                                    <a:lnTo>
                                      <a:pt x="2269" y="1370"/>
                                    </a:lnTo>
                                    <a:lnTo>
                                      <a:pt x="2278" y="1362"/>
                                    </a:lnTo>
                                    <a:lnTo>
                                      <a:pt x="2290" y="1353"/>
                                    </a:lnTo>
                                    <a:lnTo>
                                      <a:pt x="2302" y="1346"/>
                                    </a:lnTo>
                                    <a:lnTo>
                                      <a:pt x="2314" y="1339"/>
                                    </a:lnTo>
                                    <a:lnTo>
                                      <a:pt x="2328" y="1334"/>
                                    </a:lnTo>
                                    <a:lnTo>
                                      <a:pt x="2342" y="1331"/>
                                    </a:lnTo>
                                    <a:lnTo>
                                      <a:pt x="2357" y="1329"/>
                                    </a:lnTo>
                                    <a:lnTo>
                                      <a:pt x="2372" y="1328"/>
                                    </a:lnTo>
                                    <a:lnTo>
                                      <a:pt x="2372" y="1328"/>
                                    </a:lnTo>
                                    <a:lnTo>
                                      <a:pt x="2386" y="1329"/>
                                    </a:lnTo>
                                    <a:lnTo>
                                      <a:pt x="2401" y="1331"/>
                                    </a:lnTo>
                                    <a:lnTo>
                                      <a:pt x="2415" y="1334"/>
                                    </a:lnTo>
                                    <a:lnTo>
                                      <a:pt x="2428" y="1339"/>
                                    </a:lnTo>
                                    <a:lnTo>
                                      <a:pt x="2440" y="1346"/>
                                    </a:lnTo>
                                    <a:lnTo>
                                      <a:pt x="2453" y="1353"/>
                                    </a:lnTo>
                                    <a:lnTo>
                                      <a:pt x="2464" y="1362"/>
                                    </a:lnTo>
                                    <a:lnTo>
                                      <a:pt x="2474" y="1370"/>
                                    </a:lnTo>
                                    <a:lnTo>
                                      <a:pt x="2484" y="1381"/>
                                    </a:lnTo>
                                    <a:lnTo>
                                      <a:pt x="2492" y="1392"/>
                                    </a:lnTo>
                                    <a:lnTo>
                                      <a:pt x="2500" y="1404"/>
                                    </a:lnTo>
                                    <a:lnTo>
                                      <a:pt x="2506" y="1417"/>
                                    </a:lnTo>
                                    <a:lnTo>
                                      <a:pt x="2510" y="1430"/>
                                    </a:lnTo>
                                    <a:lnTo>
                                      <a:pt x="2515" y="1444"/>
                                    </a:lnTo>
                                    <a:lnTo>
                                      <a:pt x="2517" y="1459"/>
                                    </a:lnTo>
                                    <a:lnTo>
                                      <a:pt x="2517" y="1474"/>
                                    </a:lnTo>
                                    <a:lnTo>
                                      <a:pt x="2517" y="1474"/>
                                    </a:lnTo>
                                    <a:lnTo>
                                      <a:pt x="2517" y="1489"/>
                                    </a:lnTo>
                                    <a:lnTo>
                                      <a:pt x="2515" y="1502"/>
                                    </a:lnTo>
                                    <a:lnTo>
                                      <a:pt x="2510" y="1517"/>
                                    </a:lnTo>
                                    <a:lnTo>
                                      <a:pt x="2506" y="1530"/>
                                    </a:lnTo>
                                    <a:lnTo>
                                      <a:pt x="2500" y="1543"/>
                                    </a:lnTo>
                                    <a:lnTo>
                                      <a:pt x="2492" y="1555"/>
                                    </a:lnTo>
                                    <a:lnTo>
                                      <a:pt x="2484" y="1566"/>
                                    </a:lnTo>
                                    <a:lnTo>
                                      <a:pt x="2474" y="1576"/>
                                    </a:lnTo>
                                    <a:lnTo>
                                      <a:pt x="2464" y="1586"/>
                                    </a:lnTo>
                                    <a:lnTo>
                                      <a:pt x="2453" y="1594"/>
                                    </a:lnTo>
                                    <a:lnTo>
                                      <a:pt x="2440" y="1602"/>
                                    </a:lnTo>
                                    <a:lnTo>
                                      <a:pt x="2428" y="1607"/>
                                    </a:lnTo>
                                    <a:lnTo>
                                      <a:pt x="2415" y="1612"/>
                                    </a:lnTo>
                                    <a:lnTo>
                                      <a:pt x="2401" y="1616"/>
                                    </a:lnTo>
                                    <a:lnTo>
                                      <a:pt x="2386" y="1618"/>
                                    </a:lnTo>
                                    <a:lnTo>
                                      <a:pt x="2372" y="1619"/>
                                    </a:lnTo>
                                    <a:lnTo>
                                      <a:pt x="2372" y="1619"/>
                                    </a:lnTo>
                                    <a:close/>
                                  </a:path>
                                </a:pathLst>
                              </a:custGeom>
                              <a:solidFill>
                                <a:srgbClr val="F47320"/>
                              </a:solidFill>
                              <a:ln>
                                <a:noFill/>
                              </a:ln>
                            </wps:spPr>
                            <wps:bodyPr/>
                          </wps:wsp>
                        </wpg:grpSp>
                      </wpg:grpSp>
                    </wpg:wgp>
                  </a:graphicData>
                </a:graphic>
                <wp14:sizeRelH relativeFrom="margin">
                  <wp14:pctWidth>0</wp14:pctWidth>
                </wp14:sizeRelH>
                <wp14:sizeRelV relativeFrom="margin">
                  <wp14:pctHeight>0</wp14:pctHeight>
                </wp14:sizeRelV>
              </wp:anchor>
            </w:drawing>
          </mc:Choice>
          <mc:Fallback>
            <w:pict>
              <v:group w14:anchorId="7A0C56D6" id="Grupa 95" o:spid="_x0000_s1027" style="position:absolute;margin-left:-13.9pt;margin-top:16.3pt;width:476.5pt;height:183.3pt;z-index:251658242;mso-width-relative:margin;mso-height-relative:margin" coordsize="63634,29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">
                <v:group id="Grupa 130" o:spid="_x0000_s1028" style="position:absolute;left:15049;top:3619;width:14026;height:25627" coordsize="14026,25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group id="Grupa 131" o:spid="_x0000_s1029" style="position:absolute;left:4000;top:18383;width:6125;height:7244" coordorigin="24917,25539" coordsize="5857,6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o:lock v:ext="edit" aspectratio="t"/>
                    <v:shape id="Freeform 42" o:spid="_x0000_s1030" style="position:absolute;left:24917;top:25539;width:5858;height:5858;visibility:visible;mso-wrap-style:square;v-text-anchor:top" coordsize="2584,2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" path="m2435,l150,,135,,120,3,105,6,91,12,79,18,66,25,54,34,44,43,34,54,26,66,18,78,12,91,7,105,4,120,,134r,15l,2577r2584,l2584,149r,-15l2581,120r-3,-15l2572,91r-6,-13l2559,66r-9,-12l2541,43r-11,-9l2518,25r-12,-7l2493,12,2479,6,2464,3,2450,r-15,xm511,2252r,l499,2252r-13,-2l475,2247r-11,-4l453,2237r-10,-5l434,2225r-8,-8l417,2209r-6,-10l405,2190r-6,-11l395,2168r-2,-12l391,2144r-1,-12l391,2120r2,-13l395,2096r4,-11l405,2074r6,-9l417,2055r9,-8l434,2038r9,-6l453,2026r11,-6l475,2016r11,-2l499,2012r12,-1l523,2012r12,2l547,2016r11,4l568,2026r10,6l588,2038r8,9l604,2055r7,10l616,2074r6,11l626,2096r3,11l631,2120r,12l631,2144r-2,12l626,2168r-4,11l616,2190r-5,9l604,2209r-8,8l588,2225r-10,7l568,2237r-10,6l547,2247r-12,3l523,2252r-12,xm2074,2252r,l2061,2252r-12,-2l2038,2247r-12,-4l2017,2237r-11,-5l1997,2225r-9,-8l1981,2209r-8,-10l1968,2190r-5,-11l1958,2168r-3,-12l1954,2144r-1,-12l1954,2120r1,-13l1958,2096r5,-11l1968,2074r5,-9l1981,2055r7,-8l1997,2038r9,-6l2017,2026r9,-6l2038,2016r11,-2l2061,2012r13,-1l2087,2012r11,2l2110,2016r10,4l2131,2026r11,6l2150,2038r9,9l2167,2055r6,10l2180,2074r5,11l2189,2096r3,11l2193,2120r2,12l2193,2144r-1,12l2189,2168r-4,11l2180,2190r-7,9l2167,2209r-8,8l2150,2225r-8,7l2131,2237r-11,6l2110,2247r-12,3l2087,2252r-13,xm2405,1486r,l2404,1499r-2,11l2400,1522r-4,11l2390,1543r-6,10l2378,1562r-9,9l2361,1578r-9,8l2342,1592r-11,4l2320,1600r-11,4l2297,1606r-11,l300,1606r-13,l276,1604r-12,-4l253,1596r-10,-4l232,1586r-8,-8l215,1571r-8,-9l200,1553r-6,-10l189,1533r-3,-11l182,1510r-2,-11l179,1486r,-1186l180,287r2,-12l186,264r3,-11l194,242r6,-10l207,223r8,-8l224,206r8,-6l243,194r10,-6l264,184r12,-2l287,180r13,-1l2286,179r11,1l2309,182r11,2l2331,188r11,6l2352,200r9,6l2369,215r9,8l2384,232r6,10l2396,253r4,11l2402,275r2,12l2405,300r,1186xe" fillcolor="#ffc000 [3207]" stroked="f">
                      <v:path arrowok="t" o:connecttype="custom" o:connectlocs="1572802015,0;920380176,211440145;396129840,634269061;81559191,1233298324;0,2147483646;2147483646,1573917339;2147483646,916137880;2147483646,399369891;2147483646,70480048;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085437925,2147483646;2120384577,2147483646;2147483646,2147483646;2147483646,2147483646;2147483646,2137706806;2147483646,2102466782;2147483646,2147483646;2147483646,2147483646;2147483646,2147483646;2147483646,2147483646" o:connectangles="0,0,0,0,0,0,0,0,0,0,0,0,0,0,0,0,0,0,0,0,0,0,0,0,0,0,0,0,0,0,0,0,0,0,0,0,0,0,0,0,0,0,0,0,0,0,0,0,0,0,0,0,0,0,0,0,0,0,0,0,0,0,0" textboxrect="0,0,2584,2577"/>
                      <o:lock v:ext="edit" aspectratio="t" verticies="t"/>
                    </v:shape>
                    <v:shape id="Freeform 43" o:spid="_x0000_s1031" style="position:absolute;left:29692;top:31641;width:1083;height:772;visibility:visible;mso-wrap-style:square;v-text-anchor:top" coordsize="476,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" path="m,l,257r,l,266r2,9l4,284r3,8l10,299r5,8l20,313r6,7l33,326r6,4l46,335r8,4l62,342r9,2l79,345r10,1l387,346r,l397,345r8,-1l414,342r8,-3l429,335r8,-5l444,326r7,-6l456,313r5,-6l465,299r5,-7l473,284r2,-9l476,266r,-9l476,,,xe" fillcolor="#d8d8d8 [2732]" stroked="f">
                      <v:path arrowok="t" o:connecttype="custom" o:connectlocs="0,0;0,57338;0,57338;0,59346;455,61354;910,63362;1592,65146;2275,66708;3412,68493;4550,69832;5914,71393;7507,72732;8872,73624;10464,74740;12284,75632;14104,76302;16151,76748;17971,76971;20245,77194;88034,77194;88034,77194;90308,76971;92128,76748;94175,76302;95995,75632;97588,74740;99407,73624;101000,72732;102592,71393;103729,69832;104867,68493;105777,66708;106914,65146;107597,63362;108052,61354;108279,59346;108279,57338;108279,0;0,0" o:connectangles="0,0,0,0,0,0,0,0,0,0,0,0,0,0,0,0,0,0,0,0,0,0,0,0,0,0,0,0,0,0,0,0,0,0,0,0,0,0,0"/>
                    </v:shape>
                    <v:shape id="Freeform 44" o:spid="_x0000_s1032" style="position:absolute;left:24917;top:31641;width:1083;height:772;visibility:visible;mso-wrap-style:square;v-text-anchor:top" coordsize="477,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" path="m,l,257r,l,266r1,9l4,284r3,8l11,299r4,8l21,313r5,7l32,326r8,4l47,335r7,4l63,342r8,2l80,345r9,1l388,346r,l397,345r9,-1l414,342r9,-3l430,335r8,-5l445,326r6,-6l457,313r5,-6l466,299r4,-7l472,284r3,-9l477,266r,-9l477,,,xe" fillcolor="#d8d8d8 [2732]" stroked="f">
                      <v:path arrowok="t" o:connecttype="custom" o:connectlocs="0,0;0,57338;0,57338;0,59346;227,61354;908,63362;1589,65146;2497,66708;3405,68493;4767,69832;5902,71393;7264,72732;9080,73624;10669,74740;12258,75632;14301,76302;16117,76748;18160,76971;20203,77194;88076,77194;88076,77194;90119,76971;92162,76748;93978,76302;96021,75632;97610,74740;99426,73624;101015,72732;102377,71393;103739,69832;104874,68493;105782,66708;106690,65146;107144,63362;107825,61354;108279,59346;108279,57338;108279,0;0,0" o:connectangles="0,0,0,0,0,0,0,0,0,0,0,0,0,0,0,0,0,0,0,0,0,0,0,0,0,0,0,0,0,0,0,0,0,0,0,0,0,0,0"/>
                    </v:shape>
                    <v:shape id="Freeform 45" o:spid="_x0000_s1033" style="position:absolute;left:28296;top:28034;width:1270;height:937;visibility:visible;mso-wrap-style:square;v-text-anchor:top" coordsize="56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" path="m557,109r,l557,103r-1,-6l554,92r-2,-5l544,76,534,66,521,56,507,48,490,39,471,32,451,24,430,18,407,13,383,8,358,4,333,2,307,,281,,254,,228,2,202,4,178,8r-24,5l131,18r-22,6l89,32,70,39,54,48,39,56,27,66,17,76,10,87,7,92,6,97r-2,6l4,109,2,131,1,158,,194r,44l1,290r3,59l9,414r544,l557,349r3,-59l561,238r,-44l560,158r-1,-27l557,109xe" fillcolor="#f47320" stroked="f">
                      <v:path arrowok="t" o:connecttype="custom" o:connectlocs="2147483646,1262201004;2147483646,1262201004;2147483646,1192744234;2147483646,1123236107;2147483646,1065346943;2147483646,1007457553;2147483646,880060263;2147483646,764281709;2147483646,648452025;2147483646,555808685;2147483646,451597738;2147483646,370573135;2147483646,277930021;2147483646,208421894;2147483646,150532504;2147483646,92643340;2147483646,46321557;2147483646,23135213;2147483646,0;2147483646,0;2147483646,0;2147483646,0;2147483646,23135213;2147483646,46321557;2065112137,92643340;1786678786,150532504;1519827111,208421894;1264609405,277930021;1032555955,370573135;812135797,451597738;626513638,555808685;452473608,648452025;313231125,764281709;197204513,880060263;116026838,1007457553;81229064,1065346943;69595547,1123236107;46431291,1192744234;46431291,1262201004;46431291,1262201004;23215645,1516944455;11582128,1829628653;0,2147483646;0,2147483646;11582128,2147483646;46431291,2147483646;104393321,2147483646;2147483646,2147483646;2147483646,2147483646;2147483646,2147483646;2147483646,2147483646;2147483646,2147483646;2147483646,2147483646;2147483646,1829628653;2147483646,1516944455;2147483646,1262201004;2147483646,1262201004" o:connectangles="0,0,0,0,0,0,0,0,0,0,0,0,0,0,0,0,0,0,0,0,0,0,0,0,0,0,0,0,0,0,0,0,0,0,0,0,0,0,0,0,0,0,0,0,0,0,0,0,0,0,0,0,0,0,0,0,0" textboxrect="0,0,561,414"/>
                    </v:shape>
                    <v:shape id="Freeform 46" o:spid="_x0000_s1034" style="position:absolute;left:28409;top:26819;width:984;height:984;visibility:visible;mso-wrap-style:square;v-text-anchor:top" coordsize="436,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" path="m,218r,l1,241r3,22l9,284r8,19l26,322r11,18l50,357r13,16l79,387r17,12l114,410r19,9l152,427r21,5l196,435r22,1l240,435r21,-3l282,427r20,-8l322,410r18,-11l356,387r15,-14l386,357r12,-17l409,322r9,-19l425,284r6,-21l435,241r1,-23l435,196r-4,-22l425,154r-7,-20l409,115,398,97,386,80,371,64,356,50,340,37,322,27,302,17,282,11,261,5,240,1,218,,196,1,173,5r-21,6l133,17,114,27,96,37,79,50,63,64,50,80,37,97,26,115r-9,19l9,154,4,174,1,196,,218xe" fillcolor="#f47320" stroked="f">
                      <v:path arrowok="t" o:connecttype="custom" o:connectlocs="0,2147483646;46017751,2147483646;195588309,2147483646;425677289,2147483646;724767161,2147483646;1104426699,2147483646;1530052744,2147483646;1990230705,2147483646;2147483646,2147483646;2147483646,2147483646;2147483646,2147483646;2147483646,2147483646;2147483646,2147483646;2147483646,2147483646;2147483646,2147483646;2147483646,2147483646;2147483646,2147483646;2147483646,2147483646;2147483646,2001748010;2147483646,1541570049;2147483646,1115892986;2147483646,736284466;2147483646,425677289;2147483646,195588309;2147483646,57535056;2147483646,0;2147483646,11517079;1748624871,126536173;1311481069,310607177;908838390,575196829;575196829,920355696;299090097,1322998374;103552807,1771659256;11517079,2147483646;0,2147483646" o:connectangles="0,0,0,0,0,0,0,0,0,0,0,0,0,0,0,0,0,0,0,0,0,0,0,0,0,0,0,0,0,0,0,0,0,0,0" textboxrect="0,0,436,436"/>
                    </v:shape>
                  </v:group>
                  <v:shape id="pole tekstowe 103" o:spid="_x0000_s1035" type="#_x0000_t202" style="position:absolute;width:14026;height:1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" filled="f" stroked="f">
                    <v:textbox>
                      <w:txbxContent>
                        <w:p w14:paraId="527F4D61" w14:textId="77777777" w:rsidR="00D22FE8" w:rsidRDefault="00D22FE8" w:rsidP="00F25738">
                          <w:pPr>
                            <w:pStyle w:val="NormalnyWeb"/>
                            <w:spacing w:after="0"/>
                            <w:jc w:val="center"/>
                          </w:pPr>
                          <w:r>
                            <w:rPr>
                              <w:rFonts w:asciiTheme="minorHAnsi" w:hAnsi="Calibri" w:cstheme="minorBidi"/>
                              <w:b/>
                              <w:bCs/>
                              <w:color w:val="FFC000" w:themeColor="accent4"/>
                              <w:kern w:val="24"/>
                              <w:sz w:val="32"/>
                              <w:szCs w:val="32"/>
                            </w:rPr>
                            <w:t>30,1%</w:t>
                          </w:r>
                        </w:p>
                        <w:p w14:paraId="78C85914" w14:textId="77777777" w:rsidR="00D22FE8" w:rsidRPr="00095124" w:rsidRDefault="00D22FE8" w:rsidP="00F25738">
                          <w:pPr>
                            <w:pStyle w:val="NormalnyWeb"/>
                            <w:spacing w:after="0"/>
                            <w:jc w:val="center"/>
                            <w:rPr>
                              <w:color w:val="767171" w:themeColor="background2" w:themeShade="80"/>
                            </w:rPr>
                          </w:pPr>
                          <w:r w:rsidRPr="00095124">
                            <w:rPr>
                              <w:rFonts w:ascii="Arial" w:hAnsi="Arial" w:cs="Arial"/>
                              <w:b/>
                              <w:bCs/>
                              <w:color w:val="767171" w:themeColor="background2" w:themeShade="80"/>
                              <w:kern w:val="24"/>
                              <w:sz w:val="32"/>
                              <w:szCs w:val="32"/>
                            </w:rPr>
                            <w:t>19,6%</w:t>
                          </w:r>
                        </w:p>
                        <w:p w14:paraId="390E421C" w14:textId="77777777" w:rsidR="00D22FE8" w:rsidRDefault="00D22FE8" w:rsidP="00F25738">
                          <w:pPr>
                            <w:pStyle w:val="NormalnyWeb"/>
                            <w:spacing w:after="0"/>
                            <w:jc w:val="center"/>
                          </w:pPr>
                          <w:r>
                            <w:rPr>
                              <w:rFonts w:ascii="Arial" w:hAnsi="Arial" w:cs="Arial"/>
                              <w:b/>
                              <w:bCs/>
                              <w:color w:val="F47320"/>
                              <w:kern w:val="24"/>
                              <w:sz w:val="32"/>
                              <w:szCs w:val="32"/>
                            </w:rPr>
                            <w:t>15,5%</w:t>
                          </w:r>
                          <w:r>
                            <w:rPr>
                              <w:rFonts w:asciiTheme="minorHAnsi" w:hAnsi="Calibri" w:cstheme="minorBidi"/>
                              <w:b/>
                              <w:bCs/>
                              <w:color w:val="000000" w:themeColor="text1"/>
                              <w:kern w:val="24"/>
                              <w:sz w:val="32"/>
                              <w:szCs w:val="32"/>
                            </w:rPr>
                            <w:t xml:space="preserve"> </w:t>
                          </w:r>
                        </w:p>
                      </w:txbxContent>
                    </v:textbox>
                  </v:shape>
                </v:group>
                <v:group id="Grupa 143" o:spid="_x0000_s1036" style="position:absolute;left:42291;top:9239;width:11005;height:19643" coordsize="11005,19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group id="Grupa 144" o:spid="_x0000_s1037" style="position:absolute;left:3333;top:15621;width:4206;height:4022;flip:x" coordorigin="59753,28820" coordsize="6397,5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">
                    <o:lock v:ext="edit" aspectratio="t"/>
                    <v:shape id="Freeform 15" o:spid="_x0000_s1038" style="position:absolute;left:61486;top:29487;width:2895;height:3278;visibility:visible;mso-wrap-style:square;v-text-anchor:top" coordsize="364,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" path="m20,114r,l106,111r,l116,110r7,-2l129,103r5,-7l134,96,156,57,167,39,180,21r,l187,12r9,-6l204,2,212,r8,1l229,4r8,5l245,15r,l272,40r26,27l323,93r24,28l347,121r9,12l359,141r3,6l363,153r1,6l364,165r-1,6l362,177r-3,5l357,188r-5,6l342,203r-12,10l330,213r-43,26l243,262r,l236,268r-6,5l227,281r-1,8l226,289r1,46l226,382r,l226,389r-1,6l222,401r-2,5l215,409r-6,3l202,413r-10,1l192,414r-8,-1l179,412r-5,-4l170,403r-2,-7l166,389r-2,-9l164,369r,l166,304r1,-65l167,239r1,-6l170,226r4,-6l179,217r,l218,193r40,-26l258,167,195,101r,l180,125r-14,22l166,147r-5,4l156,156r-5,3l146,160r,l120,161r-36,l24,161r,l19,161r-5,-2l9,157,6,154,3,150,2,145,1,141,,136r,l1,131r1,-5l3,122r3,-2l8,118r4,-2l20,114r,xe" fillcolor="#8496b0 [1951]" stroked="f">
                      <v:path arrowok="t" o:connecttype="custom" o:connectlocs="15904,90276;84293,87901;97812,85525;106559,76022;124054,45138;143140,16630;148706,9503;162225,1584;174948,792;188467,7127;194829,11878;236975,53057;275941,95820;283098,105323;287870,116409;289460,125912;288665,135415;285484,144126;279917,153628;262423,168674;228228,189264;193238,207477;182901,216188;179720,228859;180515,265286;179720,302505;178924,312800;174948,321511;166201,326262;152682,327846;146320,327054;138368,323095;133597,313592;130416,300921;130416,292211;132802,189264;133597,184512;138368,174218;142344,171842;205167,132247;155068,79982;143140,98987;132006,116409;124054,123536;116102,126704;95426,127496;19085,127496;15109,127496;7157,124328;2386,118785;795,111658;0,107698;1590,99779;4771,95028;9543,91860;15904,90276" o:connectangles="0,0,0,0,0,0,0,0,0,0,0,0,0,0,0,0,0,0,0,0,0,0,0,0,0,0,0,0,0,0,0,0,0,0,0,0,0,0,0,0,0,0,0,0,0,0,0,0,0,0,0,0,0,0,0,0"/>
                    </v:shape>
                    <v:shape id="Freeform 16" o:spid="_x0000_s1039" style="position:absolute;left:62076;top:28820;width:867;height:877;visibility:visible;mso-wrap-style:square;v-text-anchor:top" coordsize="11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" path="m57,110r,l45,109r-9,-2l26,102,17,96,10,89,5,80,2,69,,58r,l,47,3,37,8,27r6,-9l22,11,31,5,42,1,53,r,l63,,73,4,83,9r8,6l99,23r6,9l108,43r3,11l111,54r-2,10l107,74r-5,10l95,92r-7,8l78,104r-10,4l57,110r,xe" fillcolor="#8496b0 [1951]" stroked="f">
                      <v:path arrowok="t" o:connecttype="custom" o:connectlocs="44497,87680;44497,87680;35130,86883;28104,85289;20297,81303;13271,76521;7807,70941;3903,63767;1561,54999;0,46231;0,46231;0,37463;2342,29492;6245,21521;10929,14348;17174,8768;24200,3985;32788,797;41375,0;41375,0;49181,0;56988,3188;64795,7174;71040,11956;77285,18333;81969,25507;84311,34275;86653,43043;86653,43043;85092,51014;83530,58985;79627,66956;74162,73332;68698,79709;60891,82897;53085,86086;44497,87680;44497,87680" o:connectangles="0,0,0,0,0,0,0,0,0,0,0,0,0,0,0,0,0,0,0,0,0,0,0,0,0,0,0,0,0,0,0,0,0,0,0,0,0,0"/>
                    </v:shape>
                    <v:shape id="Freeform 17" o:spid="_x0000_s1040" style="position:absolute;left:59753;top:30915;width:6398;height:3509;visibility:visible;mso-wrap-style:square;v-text-anchor:top" coordsize="805,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" path="m794,229r,l788,216r-7,-13l774,190,764,180,754,170,743,160r-12,-7l719,146r-13,-6l692,135r-13,-3l665,130r-15,-1l635,130r-14,1l606,135r-3,1l600,136r-2,-3l597,130,581,95,564,60,560,49,532,64,503,80,430,280,241,73r124,l367,40r-113,l248,40,260,,226,r-2,5l185,129r-1,4l167,132r-16,-1l135,132r-14,3l106,140r-13,4l80,150r-13,8l57,167r-11,9l36,187r-9,11l20,210r-7,13l8,236,3,250,1,264,,279r,14l1,307r2,14l7,335r5,13l18,360r7,12l34,383r8,11l53,404r11,8l76,421r12,7l103,433r13,4l130,441r14,1l158,442r15,-1l186,440r13,-4l213,431r12,-6l237,418r12,-7l260,401r10,-10l279,381r9,-13l295,355r5,-13l305,328r3,-13l310,302r1,-13l310,275r-2,-14l305,247r-5,-18l293,213,283,199,273,186,261,173,248,161r-16,-9l216,143r11,-35l230,112,358,253r45,50l408,307r5,3l420,313r6,2l445,315r51,l497,321r5,14l507,349r7,12l522,373r8,11l540,395r11,10l562,413r12,8l586,427r13,4l612,435r14,4l640,440r15,l669,439r19,-4l706,429r15,-7l736,413r14,-11l763,391r11,-13l783,364r7,-15l797,333r4,-17l804,299r1,-17l804,264r-4,-18l794,229xm270,327r,l265,338r-6,11l253,359r-8,9l237,377r-8,7l219,390r-11,6l198,400r-11,4l176,406r-12,2l153,408r-12,-1l129,406r-11,-4l106,398,95,393r-9,-6l76,379r-9,-8l60,362r-7,-9l48,343,43,333,38,322,36,312,35,299,34,287r1,-11l36,264r4,-12l43,240r5,-11l54,219r6,-8l67,203r9,-8l84,188r9,-5l103,177r9,-4l122,170r10,-3l143,166r9,l163,166r10,1l164,195r-24,77l139,279r,7l140,291r3,5l146,298r5,3l156,301r5,l164,297r4,-5l176,268r9,-26l204,182r1,-5l215,182r10,6l233,194r8,7l248,210r7,8l261,228r5,10l270,247r3,11l275,269r1,11l276,292r-1,11l273,315r-3,12xm494,284r,l479,284r-16,l539,85r30,65l552,164r-15,13l524,192r-10,15l506,224r-6,18l495,263r-1,21xm583,183r,l628,284r-99,l529,270r2,-13l535,242r6,-13l549,216r10,-12l570,193r13,-10xm759,335r,l755,343r-5,8l744,359r-6,7l731,373r-7,6l717,385r-9,5l700,394r-9,4l681,401r-8,3l663,405r-9,1l644,406r-10,-1l623,402r-9,-2l604,398r-9,-5l587,389r-7,-6l565,372,553,359r-8,-14l537,331r-5,-15l582,316r72,-1l658,315r7,-2l668,310r1,-2l671,305r,-3l669,295r-7,-17l655,259,614,170r11,-4l638,164r14,l667,165r16,4l698,173r16,9l721,187r8,6l736,200r6,7l748,215r6,8l758,232r3,8l765,250r2,8l769,268r1,10l770,287r,10l769,307r-3,8l764,325r-5,10xe" fillcolor="#92d050" stroked="f">
                      <v:path arrowok="t" o:connecttype="custom" o:connectlocs="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0" textboxrect="0,0,805,442"/>
                      <o:lock v:ext="edit" verticies="t"/>
                    </v:shape>
                  </v:group>
                  <v:shape id="pole tekstowe 104" o:spid="_x0000_s1041" type="#_x0000_t202" style="position:absolute;width:11005;height:1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" filled="f" stroked="f">
                    <v:textbox>
                      <w:txbxContent>
                        <w:p w14:paraId="730B1119" w14:textId="77777777" w:rsidR="00D22FE8" w:rsidRDefault="00D22FE8" w:rsidP="00F25738">
                          <w:pPr>
                            <w:pStyle w:val="NormalnyWeb"/>
                            <w:spacing w:after="0"/>
                            <w:jc w:val="center"/>
                          </w:pPr>
                          <w:r>
                            <w:rPr>
                              <w:rFonts w:asciiTheme="minorHAnsi" w:hAnsi="Calibri" w:cstheme="minorBidi"/>
                              <w:b/>
                              <w:bCs/>
                              <w:color w:val="FFC000" w:themeColor="accent4"/>
                              <w:kern w:val="24"/>
                              <w:sz w:val="32"/>
                              <w:szCs w:val="32"/>
                            </w:rPr>
                            <w:t>2,0%</w:t>
                          </w:r>
                        </w:p>
                        <w:p w14:paraId="0A9BDFA0" w14:textId="77777777" w:rsidR="00D22FE8" w:rsidRPr="00095124" w:rsidRDefault="00D22FE8" w:rsidP="00F25738">
                          <w:pPr>
                            <w:pStyle w:val="NormalnyWeb"/>
                            <w:spacing w:after="0"/>
                            <w:jc w:val="center"/>
                            <w:rPr>
                              <w:color w:val="767171" w:themeColor="background2" w:themeShade="80"/>
                            </w:rPr>
                          </w:pPr>
                          <w:r w:rsidRPr="00095124">
                            <w:rPr>
                              <w:rFonts w:ascii="Arial" w:hAnsi="Arial" w:cs="Arial"/>
                              <w:b/>
                              <w:bCs/>
                              <w:color w:val="767171" w:themeColor="background2" w:themeShade="80"/>
                              <w:kern w:val="24"/>
                              <w:sz w:val="32"/>
                              <w:szCs w:val="32"/>
                            </w:rPr>
                            <w:t>2,5%</w:t>
                          </w:r>
                        </w:p>
                        <w:p w14:paraId="18DEB433" w14:textId="77777777" w:rsidR="00D22FE8" w:rsidRDefault="00D22FE8" w:rsidP="00F25738">
                          <w:pPr>
                            <w:pStyle w:val="NormalnyWeb"/>
                            <w:spacing w:after="0"/>
                            <w:jc w:val="center"/>
                          </w:pPr>
                          <w:r>
                            <w:rPr>
                              <w:rFonts w:ascii="Arial" w:hAnsi="Arial" w:cs="Arial"/>
                              <w:b/>
                              <w:bCs/>
                              <w:color w:val="F47320"/>
                              <w:kern w:val="24"/>
                              <w:sz w:val="32"/>
                              <w:szCs w:val="32"/>
                            </w:rPr>
                            <w:t>0,3%</w:t>
                          </w:r>
                        </w:p>
                        <w:p w14:paraId="32B3CF69" w14:textId="77777777" w:rsidR="00D22FE8" w:rsidRDefault="00D22FE8" w:rsidP="00F25738">
                          <w:pPr>
                            <w:pStyle w:val="NormalnyWeb"/>
                            <w:spacing w:after="0"/>
                            <w:jc w:val="center"/>
                          </w:pPr>
                          <w:r>
                            <w:rPr>
                              <w:rFonts w:asciiTheme="minorHAnsi" w:hAnsi="Calibri" w:cstheme="minorBidi"/>
                              <w:color w:val="000000" w:themeColor="text1"/>
                              <w:kern w:val="24"/>
                              <w:sz w:val="21"/>
                              <w:szCs w:val="21"/>
                            </w:rPr>
                            <w:t>rower</w:t>
                          </w:r>
                        </w:p>
                      </w:txbxContent>
                    </v:textbox>
                  </v:shape>
                </v:group>
                <v:group id="Grupa 150" o:spid="_x0000_s1042" style="position:absolute;left:31146;top:5143;width:11370;height:23778" coordorigin="" coordsize="11369,23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shape id="pole tekstowe 111" o:spid="_x0000_s1043" type="#_x0000_t202" style="position:absolute;width:11369;height:1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" filled="f" stroked="f">
                    <v:textbox>
                      <w:txbxContent>
                        <w:p w14:paraId="3728C28A" w14:textId="77777777" w:rsidR="00D22FE8" w:rsidRDefault="00D22FE8" w:rsidP="00F25738">
                          <w:pPr>
                            <w:pStyle w:val="NormalnyWeb"/>
                            <w:spacing w:after="0"/>
                            <w:jc w:val="center"/>
                          </w:pPr>
                          <w:r>
                            <w:rPr>
                              <w:rFonts w:asciiTheme="minorHAnsi" w:hAnsi="Calibri" w:cstheme="minorBidi"/>
                              <w:b/>
                              <w:bCs/>
                              <w:color w:val="FFC000" w:themeColor="accent4"/>
                              <w:kern w:val="24"/>
                              <w:sz w:val="32"/>
                              <w:szCs w:val="32"/>
                            </w:rPr>
                            <w:t>25,3%</w:t>
                          </w:r>
                        </w:p>
                        <w:p w14:paraId="31BC0858" w14:textId="77777777" w:rsidR="00D22FE8" w:rsidRPr="00095124" w:rsidRDefault="00D22FE8" w:rsidP="00F25738">
                          <w:pPr>
                            <w:pStyle w:val="NormalnyWeb"/>
                            <w:spacing w:after="0"/>
                            <w:jc w:val="center"/>
                            <w:rPr>
                              <w:color w:val="767171" w:themeColor="background2" w:themeShade="80"/>
                            </w:rPr>
                          </w:pPr>
                          <w:r w:rsidRPr="00095124">
                            <w:rPr>
                              <w:rFonts w:asciiTheme="minorHAnsi" w:hAnsi="Calibri" w:cstheme="minorBidi"/>
                              <w:b/>
                              <w:bCs/>
                              <w:color w:val="767171" w:themeColor="background2" w:themeShade="80"/>
                              <w:kern w:val="24"/>
                              <w:sz w:val="32"/>
                              <w:szCs w:val="32"/>
                            </w:rPr>
                            <w:t>21,4%</w:t>
                          </w:r>
                        </w:p>
                        <w:p w14:paraId="1598D424" w14:textId="77777777" w:rsidR="00D22FE8" w:rsidRDefault="00D22FE8" w:rsidP="00F25738">
                          <w:pPr>
                            <w:pStyle w:val="NormalnyWeb"/>
                            <w:spacing w:after="0"/>
                            <w:jc w:val="center"/>
                          </w:pPr>
                          <w:r>
                            <w:rPr>
                              <w:rFonts w:asciiTheme="minorHAnsi" w:hAnsi="Calibri" w:cstheme="minorBidi"/>
                              <w:b/>
                              <w:bCs/>
                              <w:color w:val="F47320"/>
                              <w:kern w:val="24"/>
                              <w:sz w:val="32"/>
                              <w:szCs w:val="32"/>
                            </w:rPr>
                            <w:t>50,3%</w:t>
                          </w:r>
                        </w:p>
                        <w:p w14:paraId="230F1716" w14:textId="77777777" w:rsidR="00D22FE8" w:rsidRDefault="00D22FE8" w:rsidP="00F25738">
                          <w:pPr>
                            <w:pStyle w:val="NormalnyWeb"/>
                            <w:spacing w:after="0"/>
                            <w:jc w:val="center"/>
                          </w:pPr>
                          <w:r>
                            <w:rPr>
                              <w:rFonts w:asciiTheme="minorHAnsi" w:hAnsi="Calibri" w:cstheme="minorBidi"/>
                              <w:color w:val="000000" w:themeColor="text1"/>
                              <w:kern w:val="24"/>
                              <w:sz w:val="21"/>
                              <w:szCs w:val="21"/>
                            </w:rPr>
                            <w:t>pieszo</w:t>
                          </w:r>
                        </w:p>
                      </w:txbxContent>
                    </v:textbox>
                  </v:shape>
                  <v:group id="Grupa 152" o:spid="_x0000_s1044" style="position:absolute;left:4381;top:18764;width:2035;height:5013" coordorigin="46591,27788" coordsize="3109,6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o:lock v:ext="edit" aspectratio="t"/>
                    <v:shape id="Freeform 41" o:spid="_x0000_s1045" style="position:absolute;left:46725;top:31841;width:1192;height:2356;visibility:visible;mso-wrap-style:square;v-text-anchor:top" coordsize="500,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" path="m294,l8,786r,l4,800,,814r,16l,844r,16l4,874r4,14l14,902r6,12l28,926r10,12l48,948r12,10l72,966r12,8l100,980r,l126,986r26,2l152,988r22,l196,982r22,-8l238,962r16,-14l270,930r14,-18l294,890,500,324r,l498,322,294,xe" filled="f" stroked="f">
                      <v:path arrowok="t" o:connecttype="custom" o:connectlocs="70101,0;1908,187412;1908,187412;954,190751;0,194089;0,197904;0,201242;0,205057;954,208395;1908,211733;3338,215071;4769,217933;6676,220794;9061,223655;11445,226039;14306,228424;17168,230331;20029,232239;23844,233669;23844,233669;30043,235100;36243,235577;36243,235577;41489,235577;46734,234146;51980,232239;56749,229378;60564,226039;64379,221748;67717,217456;70101,212210;119220,77254;119220,77254;118743,76777;70101,0" o:connectangles="0,0,0,0,0,0,0,0,0,0,0,0,0,0,0,0,0,0,0,0,0,0,0,0,0,0,0,0,0,0,0,0,0,0,0"/>
                    </v:shape>
                    <v:shape id="Freeform 42" o:spid="_x0000_s1046" style="position:absolute;left:47874;top:27788;width:1450;height:1450;visibility:visible;mso-wrap-style:square;v-text-anchor:top" coordsize="608,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" path="m304,608r,l336,606r30,-4l394,594r28,-10l448,572r26,-16l498,538r20,-20l538,498r18,-24l572,448r12,-26l594,394r8,-28l606,334r2,-30l608,304r-2,-32l602,242r-8,-28l584,186,572,158,556,134,538,110,518,88,498,70,474,52,448,36,422,24,394,14,366,6,336,2,304,r,l272,2,242,6r-28,8l186,24,158,36,134,52,110,70,88,88,70,110,52,134,36,158,24,186,14,214,6,242,2,272,,304r,l2,334r4,32l14,394r10,28l36,448r16,26l70,498r18,20l110,538r24,18l158,572r28,12l214,594r28,8l272,606r32,2l304,608xe" filled="f" stroked="f">
                      <v:path arrowok="t" o:connecttype="custom" o:connectlocs="72486,144970;87269,143539;100621,139248;113020,132571;123511,123511;132572,113019;139248,100621;143540,87268;144971,72485;144494,64855;141633,51026;136387,37673;128280,26228;118743,16691;106821,8584;93945,3338;80116,477;72486,0;57702,1431;44350,5723;31951,12399;20983,20983;12399,31951;5723,44349;1431,57702;0,72485;477,79638;3338,93944;8584,106820;16691,118742;26228,128279;37673,136386;51026,141632;64855,144493;72486,144970" o:connectangles="0,0,0,0,0,0,0,0,0,0,0,0,0,0,0,0,0,0,0,0,0,0,0,0,0,0,0,0,0,0,0,0,0,0,0"/>
                    </v:shape>
                    <v:shape id="Freeform 43" o:spid="_x0000_s1047" style="position:absolute;left:46591;top:29443;width:2661;height:4754;visibility:visible;mso-wrap-style:square;v-text-anchor:top" coordsize="1116,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" path="m1048,1330l824,974,984,294r,l990,276r2,-20l992,236r-2,-22l984,192r-8,-22l966,148,954,128,940,108,922,88,902,70,878,54,852,38,824,26,794,16,760,8r,l716,2,674,,634,2,596,4r-34,6l532,18,508,28r-16,8l126,300,6,678r,l2,690,,702r,24l4,748r8,22l26,790r16,16l62,820r10,6l84,830r,l102,834r18,2l120,836r20,-2l158,830r18,-8l192,814r14,-12l218,786r10,-16l236,752,332,450r86,-62l418,388,364,724r,l360,754r,16l360,788r4,18l372,826r10,22l396,872r,l594,1180r162,256l814,1864r,l816,1878r4,12l824,1904r6,12l838,1928r8,10l864,1958r22,16l910,1984r12,6l936,1992r14,2l964,1994r,l984,1994r,l1000,1990r14,-4l1028,1980r12,-6l1054,1966r10,-10l1074,1946r10,-10l1092,1924r8,-14l1106,1898r4,-14l1114,1868r2,-14l1116,1838r-2,-16l1048,1330xe" filled="f" stroked="f">
                      <v:path arrowok="t" o:connecttype="custom" o:connectlocs="196474,232239;234624,70101;236532,61040;236055,51026;232717,40535;227471,30520;219841,20983;209350,12876;196474,6199;181214,1908;170722,477;151170,477;134003,2384;121127,6676;30043,71532;1431,161662;0,167384;954,178352;6199,188367;14783,195520;20029,197904;24321,198858;28613,199335;37673,197904;45780,194089;51980,187413;56272,179306;99668,92514;86792,172630;85838,179783;85838,187890;88699,196950;94422,207919;141633,281358;194089,444450;194566,447788;196474,453988;199812,459710;206011,466863;216980,473063;223179,474970;229855,475447;234624,475447;238439,474493;245115,472109;251315,468771;256084,464002;260375,458756;263714,452557;265621,445404;266098,438251;249884,317124" o:connectangles="0,0,0,0,0,0,0,0,0,0,0,0,0,0,0,0,0,0,0,0,0,0,0,0,0,0,0,0,0,0,0,0,0,0,0,0,0,0,0,0,0,0,0,0,0,0,0,0,0,0,0,0"/>
                    </v:shape>
                    <v:shape id="Freeform 44" o:spid="_x0000_s1048" style="position:absolute;left:48871;top:30849;width:829;height:577;visibility:visible;mso-wrap-style:square;v-text-anchor:top" coordsize="348,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" path="m342,84r,l336,66,326,50,314,36,302,24,286,14,270,8,252,2,232,,86,,58,,,242r228,l228,242r12,l252,240r22,-8l296,220r18,-14l328,188r10,-20l346,144r2,-12l348,120r,l346,102,342,84r,xe" filled="f" stroked="f">
                      <v:path arrowok="t" o:connecttype="custom" o:connectlocs="81546,20029;81546,20029;80116,15737;77731,11922;74870,8584;72009,5723;68194,3338;64379,1908;60087,477;55318,0;20506,0;13830,0;0,57702;54364,57702;54364,57702;57226,57702;60087,57225;65332,55318;70578,52456;74870,49118;78208,44826;80593,40058;82500,34335;82977,31474;82977,28613;82977,28613;82500,24321;81546,20029;81546,20029" o:connectangles="0,0,0,0,0,0,0,0,0,0,0,0,0,0,0,0,0,0,0,0,0,0,0,0,0,0,0,0,0"/>
                    </v:shape>
                  </v:group>
                </v:group>
                <v:group id="Grupa 157" o:spid="_x0000_s1049" style="position:absolute;left:52482;top:10667;width:11152;height:17983" coordorigin="" coordsize="11151,17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shape id="pole tekstowe 105" o:spid="_x0000_s1050" type="#_x0000_t202" style="position:absolute;width:11151;height:1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" filled="f" stroked="f">
                    <v:textbox>
                      <w:txbxContent>
                        <w:p w14:paraId="14F56EB4" w14:textId="77777777" w:rsidR="00D22FE8" w:rsidRDefault="00D22FE8" w:rsidP="00F25738">
                          <w:pPr>
                            <w:pStyle w:val="NormalnyWeb"/>
                            <w:spacing w:after="0"/>
                            <w:jc w:val="center"/>
                          </w:pPr>
                          <w:r>
                            <w:rPr>
                              <w:rFonts w:asciiTheme="minorHAnsi" w:hAnsi="Calibri" w:cstheme="minorBidi"/>
                              <w:b/>
                              <w:bCs/>
                              <w:color w:val="FFC000" w:themeColor="accent4"/>
                              <w:kern w:val="24"/>
                              <w:sz w:val="32"/>
                              <w:szCs w:val="32"/>
                            </w:rPr>
                            <w:t>0,4%</w:t>
                          </w:r>
                        </w:p>
                        <w:p w14:paraId="26A49C59" w14:textId="77777777" w:rsidR="00D22FE8" w:rsidRPr="00095124" w:rsidRDefault="00D22FE8" w:rsidP="00F25738">
                          <w:pPr>
                            <w:pStyle w:val="NormalnyWeb"/>
                            <w:spacing w:after="0"/>
                            <w:jc w:val="center"/>
                            <w:rPr>
                              <w:color w:val="767171" w:themeColor="background2" w:themeShade="80"/>
                            </w:rPr>
                          </w:pPr>
                          <w:r w:rsidRPr="00095124">
                            <w:rPr>
                              <w:rFonts w:ascii="Arial" w:hAnsi="Arial" w:cs="Arial"/>
                              <w:b/>
                              <w:bCs/>
                              <w:color w:val="767171" w:themeColor="background2" w:themeShade="80"/>
                              <w:kern w:val="24"/>
                              <w:sz w:val="32"/>
                              <w:szCs w:val="32"/>
                            </w:rPr>
                            <w:t>1,4%</w:t>
                          </w:r>
                        </w:p>
                        <w:p w14:paraId="140EDB93" w14:textId="77777777" w:rsidR="00D22FE8" w:rsidRDefault="00D22FE8" w:rsidP="00F25738">
                          <w:pPr>
                            <w:pStyle w:val="NormalnyWeb"/>
                            <w:spacing w:after="0"/>
                            <w:jc w:val="center"/>
                          </w:pPr>
                          <w:r>
                            <w:rPr>
                              <w:rFonts w:ascii="Arial" w:hAnsi="Arial" w:cs="Arial"/>
                              <w:b/>
                              <w:bCs/>
                              <w:color w:val="F47320"/>
                              <w:kern w:val="24"/>
                              <w:sz w:val="32"/>
                              <w:szCs w:val="32"/>
                            </w:rPr>
                            <w:t>0,9%</w:t>
                          </w:r>
                          <w:r>
                            <w:rPr>
                              <w:rFonts w:asciiTheme="minorHAnsi" w:hAnsi="Calibri" w:cstheme="minorBidi"/>
                              <w:color w:val="000000" w:themeColor="text1"/>
                              <w:kern w:val="24"/>
                              <w:sz w:val="32"/>
                              <w:szCs w:val="32"/>
                            </w:rPr>
                            <w:br/>
                          </w:r>
                          <w:r>
                            <w:rPr>
                              <w:rFonts w:asciiTheme="minorHAnsi" w:hAnsi="Calibri" w:cstheme="minorBidi"/>
                              <w:color w:val="000000" w:themeColor="text1"/>
                              <w:kern w:val="24"/>
                              <w:sz w:val="21"/>
                              <w:szCs w:val="21"/>
                            </w:rPr>
                            <w:t>inaczej</w:t>
                          </w:r>
                        </w:p>
                      </w:txbxContent>
                    </v:textbox>
                  </v:shape>
                  <v:group id="Grupa 159" o:spid="_x0000_s1051" style="position:absolute;left:4191;top:14859;width:2742;height:3123" coordorigin="74213,29604" coordsize="7032,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o:lock v:ext="edit" aspectratio="t"/>
                    <v:rect id="Rectangle 29" o:spid="_x0000_s1052" style="position:absolute;left:77468;top:32144;width:539;height: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" fillcolor="#0094cf" stroked="f"/>
                    <v:shape id="Freeform 30" o:spid="_x0000_s1053" style="position:absolute;left:77468;top:29604;width:539;height:682;visibility:visible;mso-wrap-style:square;v-text-anchor:top" coordsize="23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" path="m239,300r,-180l239,120r,-13l237,95,234,84,230,73,225,63,219,52r-7,-9l205,35r-9,-8l187,20,177,14,166,9,156,5,144,2,133,,120,r,l107,,95,2,84,5,73,9,63,14,53,20r-9,7l35,35r-7,8l20,52,14,63,10,73,6,84,2,95,,107r,13l,300r239,xe" fillcolor="#0094cf" stroked="f">
                      <v:path arrowok="t" o:connecttype="custom" o:connectlocs="53975,68263;53975,27305;53975,27305;53975,24347;53523,21617;52846,19114;51942,16611;50813,14335;49458,11832;47877,9784;46297,7964;44264,6144;42231,4551;39973,3186;37489,2048;35231,1138;32521,455;30036,0;27100,0;27100,0;24165,0;21454,455;18970,1138;16486,2048;14228,3186;11969,4551;9937,6144;7904,7964;6323,9784;4517,11832;3162,14335;2258,16611;1355,19114;452,21617;0,24347;0,27305;0,68263;53975,68263" o:connectangles="0,0,0,0,0,0,0,0,0,0,0,0,0,0,0,0,0,0,0,0,0,0,0,0,0,0,0,0,0,0,0,0,0,0,0,0,0,0"/>
                    </v:shape>
                    <v:shape id="Freeform 31" o:spid="_x0000_s1054" style="position:absolute;left:77468;top:34620;width:539;height:857;visibility:visible;mso-wrap-style:square;v-text-anchor:top" coordsize="23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" path="m120,377r,l180,378r59,2l239,,,,,380r,l60,378r60,-1l120,377xe" fillcolor="#0094cf" stroked="f">
                      <v:path arrowok="t" o:connecttype="custom" o:connectlocs="27100,85048;27100,85048;40651,85274;53975,85725;53975,0;0,0;0,85725;0,85725;13550,85274;27100,85048;27100,85048" o:connectangles="0,0,0,0,0,0,0,0,0,0,0"/>
                    </v:shape>
                    <v:shape id="Freeform 32" o:spid="_x0000_s1055" style="position:absolute;left:76118;top:29874;width:5128;height:2682;visibility:visible;mso-wrap-style:square;v-text-anchor:top" coordsize="2261,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" path="m1444,27r,l1427,16,1411,8,1397,3,1383,r-13,l1359,3r-11,4l1338,13r-7,8l1325,31r-5,11l1317,55r-1,14l1317,84r3,17l1325,118r50,171l,289,,897r1375,l1325,1068r,l1320,1085r-3,17l1316,1117r1,14l1320,1145r5,10l1331,1166r7,7l1348,1179r11,5l1370,1186r13,l1397,1184r14,-6l1427,1170r17,-11l1444,1159r62,-43l1610,1043,1887,851,2261,593r,l1887,335,1610,143,1506,70,1444,27r,xe" fillcolor="#004b88" stroked="f">
                      <v:path arrowok="t" o:connecttype="custom" o:connectlocs="327479,6108;327479,6108;323624,3619;319995,1810;316820,679;313645,0;310697,0;308202,679;305707,1583;303440,2941;301852,4750;300491,7013;299357,9501;298677,12442;298450,15609;298677,19002;299357,22847;300491,26693;311831,65375;0,65375;0,202913;311831,202913;300491,241595;300491,241595;299357,245441;298677,249286;298450,252679;298677,255846;299357,259013;300491,261275;301852,263764;303440,265347;305707,266705;308202,267836;310697,268288;313645,268288;316820,267836;319995,266478;323624,264669;327479,262180;327479,262180;341540,252453;365125,235940;427945,192507;512763,134144;512763,134144;427945,75781;365125,32348;341540,15835;327479,6108;327479,6108" o:connectangles="0,0,0,0,0,0,0,0,0,0,0,0,0,0,0,0,0,0,0,0,0,0,0,0,0,0,0,0,0,0,0,0,0,0,0,0,0,0,0,0,0,0,0,0,0,0,0,0,0,0,0"/>
                    </v:shape>
                    <v:shape id="Freeform 33" o:spid="_x0000_s1056" style="position:absolute;left:74213;top:32350;width:5144;height:2683;visibility:visible;mso-wrap-style:square;v-text-anchor:top" coordsize="2262,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" path="m817,27r,l834,16,850,8,865,3,879,r13,l903,2r11,4l923,12r8,9l937,30r4,12l944,55r1,13l944,84r-3,16l937,117,886,289r1376,l2262,897r-1376,l937,1069r,l941,1086r3,15l945,1117r-1,14l941,1144r-4,11l931,1165r-8,8l914,1180r-11,4l892,1186r-13,l865,1183r-15,-5l834,1170r-17,-11l817,1159r-61,-43l651,1043,375,852,,592r,l375,334,651,143,756,70,817,27r,xe" fillcolor="#004b88" stroked="f">
                      <v:path arrowok="t" o:connecttype="custom" o:connectlocs="185775,6108;185775,6108;189641,3619;193279,1810;196690,679;199873,0;202829,0;205331,452;207832,1357;209878,2715;211698,4750;213062,6786;213971,9501;214654,12442;214881,15382;214654,19002;213971,22621;213062,26467;201465,65375;514350,65375;514350,202913;201465,202913;213062,241821;213062,241821;213971,245667;214654,249060;214881,252679;214654,255846;213971,258787;213062,261275;211698,263538;209878,265347;207832,266931;205331,267836;202829,268288;199873,268288;196690,267609;193279,266478;189641,264669;185775,262180;185775,262180;171905,252453;148029,235940;85270,192733;0,133918;0,133918;85270,75555;148029,32348;171905,15835;185775,6108;185775,6108" o:connectangles="0,0,0,0,0,0,0,0,0,0,0,0,0,0,0,0,0,0,0,0,0,0,0,0,0,0,0,0,0,0,0,0,0,0,0,0,0,0,0,0,0,0,0,0,0,0,0,0,0,0,0"/>
                    </v:shape>
                    <v:shape id="Freeform 34" o:spid="_x0000_s1057" style="position:absolute;left:74944;top:35716;width:5572;height:984;visibility:visible;mso-wrap-style:square;v-text-anchor:top" coordsize="2456,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" path="m,438r,l,432r2,-6l3,419r3,-7l14,399,25,383,39,368,55,351,74,334,96,317r25,-18l148,281r30,-19l210,244r34,-18l281,208r38,-18l360,172r42,-18l447,137r46,-16l541,105,591,91,643,76,695,63,749,50,806,39,863,29r58,-8l980,13r61,-6l1102,3r62,-2l1228,r,l1291,1r63,2l1415,7r61,6l1535,21r58,8l1650,39r56,11l1760,63r53,13l1864,91r51,14l1962,121r47,16l2053,154r43,18l2137,190r38,18l2212,226r34,18l2278,262r29,19l2335,299r24,18l2382,334r19,17l2416,368r14,15l2442,399r7,13l2452,419r1,7l2456,432r,6l,438xe" fillcolor="#999" stroked="f">
                      <v:path arrowok="t" o:connecttype="custom" o:connectlocs="0,98425;454,95728;1361,92582;5672,86066;12478,78875;21780,71235;33578,63145;47644,54830;63753,46741;81676,38651;101415,30786;122741,23595;145883,17078;169932,11236;195796,6517;222341,2921;250020,674;278607,0;292900,225;321033,1573;348258,4719;374349,8764;399306,14157;422901,20449;445135,27190;465781,34606;484839,42696;501855,50786;516829,58875;529761,67190;540424,75055;548138,82695;554037,89661;556305,94155;557213,97077;0,98425" o:connectangles="0,0,0,0,0,0,0,0,0,0,0,0,0,0,0,0,0,0,0,0,0,0,0,0,0,0,0,0,0,0,0,0,0,0,0,0"/>
                    </v:shape>
                  </v:group>
                </v:group>
                <v:group id="Grupa 166" o:spid="_x0000_s1058" style="position:absolute;width:14482;height:29614" coordsize="14482,29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shape id="pole tekstowe 102" o:spid="_x0000_s1059" type="#_x0000_t202" style="position:absolute;width:14482;height:1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" filled="f" stroked="f">
                    <v:textbox>
                      <w:txbxContent>
                        <w:p w14:paraId="190A56B2" w14:textId="77777777" w:rsidR="00D22FE8" w:rsidRDefault="00D22FE8" w:rsidP="00F25738">
                          <w:pPr>
                            <w:pStyle w:val="NormalnyWeb"/>
                            <w:spacing w:after="0"/>
                            <w:jc w:val="center"/>
                          </w:pPr>
                          <w:r>
                            <w:rPr>
                              <w:rFonts w:asciiTheme="minorHAnsi" w:hAnsi="Calibri" w:cstheme="minorBidi"/>
                              <w:b/>
                              <w:bCs/>
                              <w:color w:val="FFC000" w:themeColor="accent4"/>
                              <w:kern w:val="24"/>
                              <w:sz w:val="32"/>
                              <w:szCs w:val="32"/>
                            </w:rPr>
                            <w:t>42,2%</w:t>
                          </w:r>
                        </w:p>
                        <w:p w14:paraId="3CAC984C" w14:textId="77777777" w:rsidR="00D22FE8" w:rsidRDefault="00D22FE8" w:rsidP="00F25738">
                          <w:pPr>
                            <w:pStyle w:val="NormalnyWeb"/>
                            <w:spacing w:after="0"/>
                            <w:jc w:val="center"/>
                          </w:pPr>
                          <w:r w:rsidRPr="00095124">
                            <w:rPr>
                              <w:rFonts w:ascii="Arial" w:hAnsi="Arial" w:cs="Arial"/>
                              <w:b/>
                              <w:bCs/>
                              <w:color w:val="767171" w:themeColor="background2" w:themeShade="80"/>
                              <w:kern w:val="24"/>
                              <w:sz w:val="32"/>
                              <w:szCs w:val="32"/>
                            </w:rPr>
                            <w:t>55,2%</w:t>
                          </w:r>
                        </w:p>
                        <w:p w14:paraId="445B66D6" w14:textId="77777777" w:rsidR="00D22FE8" w:rsidRDefault="00D22FE8" w:rsidP="00F25738">
                          <w:pPr>
                            <w:pStyle w:val="NormalnyWeb"/>
                            <w:spacing w:after="0"/>
                            <w:jc w:val="center"/>
                          </w:pPr>
                          <w:r>
                            <w:rPr>
                              <w:rFonts w:ascii="Arial" w:hAnsi="Arial" w:cs="Arial"/>
                              <w:b/>
                              <w:bCs/>
                              <w:color w:val="F47320"/>
                              <w:kern w:val="24"/>
                              <w:sz w:val="32"/>
                              <w:szCs w:val="32"/>
                            </w:rPr>
                            <w:t>32,9%</w:t>
                          </w:r>
                        </w:p>
                      </w:txbxContent>
                    </v:textbox>
                  </v:shape>
                  <v:group id="Grupa 168" o:spid="_x0000_s1060" style="position:absolute;left:2571;top:20859;width:8865;height:8755" coordorigin="3312,24211" coordsize="6286,5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o:lock v:ext="edit" aspectratio="t"/>
                    <v:shape id="Freeform 5" o:spid="_x0000_s1061" style="position:absolute;left:3376;top:28957;width:1064;height:874;visibility:visible;mso-wrap-style:square;v-text-anchor:top" coordsize="470,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" path="m,223r,l1,239r2,16l8,271r5,15l20,299r8,14l37,326r11,10l59,347r13,10l85,364r14,7l113,377r16,4l145,383r17,1l309,384r,l326,383r16,-2l358,377r15,-6l387,364r12,-7l412,347r12,-11l434,326r9,-13l451,299r6,-13l464,271r3,-16l470,239r,-16l470,223,470,r,l,,,223xe" fillcolor="#d8d8d8 [2732]" stroked="f">
                      <v:path arrowok="t" o:connecttype="custom" o:connectlocs="0,50705;0,50705;226,54343;679,57981;1810,61619;2942,65030;4526,67986;6337,71169;8373,74125;10863,76399;13352,78900;16294,81174;19236,82765;22404,84357;25572,85721;29193,86631;32814,87086;36661,87313;69928,87313;69928,87313;73775,87086;77396,86631;81017,85721;84411,84357;87580,82765;90295,81174;93237,78900;95953,76399;98216,74125;100253,71169;102063,67986;103421,65030;105005,61619;105684,57981;106363,54343;106363,50705;106363,50705;106363,0;106363,0;0,0;0,50705" o:connectangles="0,0,0,0,0,0,0,0,0,0,0,0,0,0,0,0,0,0,0,0,0,0,0,0,0,0,0,0,0,0,0,0,0,0,0,0,0,0,0,0,0"/>
                    </v:shape>
                    <v:shape id="Freeform 6" o:spid="_x0000_s1062" style="position:absolute;left:8472;top:28957;width:1063;height:874;visibility:visible;mso-wrap-style:square;v-text-anchor:top" coordsize="470,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" path="m,223r,l,239r3,16l6,271r7,15l19,299r9,14l36,326r11,10l58,347r13,10l84,364r14,7l112,377r16,4l144,383r17,1l308,384r,l325,383r16,-2l357,377r15,-6l385,364r13,-7l411,347r11,-11l433,326r10,-13l450,299r7,-13l463,271r4,-16l469,239r1,-16l470,r,l,,,,,223r,xe" fillcolor="#d8d8d8 [2732]" stroked="f">
                      <v:path arrowok="t" o:connecttype="custom" o:connectlocs="0,50705;0,50705;0,54343;679,57981;1358,61619;2942,65030;4300,67986;6337,71169;8147,74125;10636,76399;13126,78900;16068,81174;19010,82765;22178,84357;25346,85721;28967,86631;32588,87086;36435,87313;69702,87313;69702,87313;73549,87086;77170,86631;80791,85721;84185,84357;87127,82765;90069,81174;93011,78900;95500,76399;97990,74125;100253,71169;101837,67986;103421,65030;104779,61619;105684,57981;106137,54343;106363,50705;106363,0;106363,0;0,0;0,0;0,50705;0,50705" o:connectangles="0,0,0,0,0,0,0,0,0,0,0,0,0,0,0,0,0,0,0,0,0,0,0,0,0,0,0,0,0,0,0,0,0,0,0,0,0,0,0,0,0,0"/>
                    </v:shape>
                    <v:shape id="Freeform 7" o:spid="_x0000_s1063" style="position:absolute;left:3312;top:24211;width:6287;height:4540;visibility:visible;mso-wrap-style:square;v-text-anchor:top" coordsize="27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" path="m2730,1217r,l2723,1183r-7,-32l2706,1120r-8,-27l2688,1066r-9,-23l2668,1021r-10,-20l2640,966r-16,-28l2610,918r-11,-14l2599,904,2537,660,2490,478,2459,366r,l2456,358r-4,-7l2444,341r-10,-10l2422,319r-13,-13l2393,294r-19,-14l2354,266r-23,-15l2307,235r-26,-14l2253,205r-31,-16l2191,173r-34,-16l2121,142r-38,-15l2044,113,2002,98,1960,84,1915,71,1869,59,1821,48,1773,38,1721,28r-52,-8l1615,13,1559,8,1503,4,1443,2,1384,r,l1324,2r-58,2l1209,8r-56,5l1099,20r-52,8l996,38,947,48,899,59,853,71,808,84,765,98r-40,15l685,127r-38,15l611,157r-33,16l546,189r-31,16l488,221r-27,14l437,251r-22,15l393,280r-18,14l360,306r-14,13l334,331r-10,10l316,351r-5,7l309,366r,l278,478,232,660,169,904r,l160,916r-14,20l130,964r-19,35l101,1019r-10,22l81,1065r-9,27l62,1120r-8,31l45,1183r-7,34l38,1217r-7,31l26,1280r-8,65l10,1410r-5,65l2,1539,,1602r,61l,1720r2,55l4,1825r3,46l10,1911r5,34l19,1972r4,19l26,2003r,l2742,2003r,l2745,1991r4,-19l2754,1945r4,-34l2761,1871r3,-46l2766,1775r3,-55l2769,1663r,-61l2766,1539r-3,-64l2758,1410r-7,-65l2742,1280r-5,-32l2730,1217r,xm337,788r,l346,740r7,-43l368,624r13,-57l392,523r11,-31l411,470r6,-13l420,449r,l421,445r3,-5l436,426r18,-19l479,385r16,-13l512,359r18,-13l551,331r22,-14l598,302r26,-15l653,272r29,-14l715,244r34,-15l785,215r38,-12l863,190r43,-12l950,167r47,-10l1045,148r51,-9l1150,133r55,-6l1262,123r60,-3l1384,120r,l1447,120r59,3l1563,127r55,6l1671,139r52,9l1772,157r46,10l1861,178r43,12l1945,203r38,12l2019,229r34,15l2085,258r31,14l2144,287r27,15l2195,317r22,14l2238,346r18,13l2273,372r16,13l2314,407r18,19l2344,440r3,5l2348,449r,l2357,470r8,22l2376,523r12,44l2400,624r15,73l2431,788r,l2432,802r-1,16l2429,834r-2,9l2424,851r-5,8l2415,866r-4,7l2404,879r-6,4l2390,887r-9,3l2372,891r,l2372,891r,l2278,879,2178,867,2049,855r-73,-7l1899,842r-82,-5l1733,831r-85,-4l1560,823r-88,-2l1384,821r,l1296,821r-88,2l1121,827r-86,4l950,837r-80,5l792,848r-73,7l590,867,490,879r-93,12l397,891r,l397,891r-10,-1l379,887r-9,-4l364,879r-7,-6l353,866r-4,-7l345,851r-3,-8l339,834r-2,-16l336,802r1,-14l337,788xm443,1619r,l428,1618r-13,-2l401,1612r-14,-5l374,1602r-11,-8l351,1586r-10,-10l331,1566r-8,-11l315,1543r-5,-13l305,1517r-4,-15l299,1489r-1,-15l298,1474r1,-15l301,1444r4,-14l310,1417r5,-13l323,1392r8,-11l341,1370r10,-8l363,1353r11,-7l387,1339r14,-5l415,1331r13,-2l443,1328r,l459,1329r14,2l487,1334r13,5l513,1346r12,7l536,1362r11,8l556,1381r9,11l571,1404r7,13l583,1430r3,14l588,1459r1,15l589,1474r-1,15l586,1502r-3,15l578,1530r-7,13l565,1555r-9,11l547,1576r-11,10l525,1594r-12,8l500,1607r-13,5l473,1616r-14,2l443,1619r,xm1881,1581r-993,l888,1581r-11,-1l867,1576r-10,-5l849,1565r-8,-9l837,1547r-4,-11l832,1525r,l833,1514r4,-11l841,1494r8,-9l857,1478r10,-5l877,1469r11,-1l1881,1468r,l1891,1469r11,4l1911,1478r9,7l1927,1494r4,9l1936,1514r1,11l1937,1525r-1,11l1931,1547r-4,9l1920,1565r-9,6l1902,1576r-11,4l1881,1581r,xm2372,1619r,l2357,1618r-15,-2l2328,1612r-14,-5l2302,1602r-12,-8l2278,1586r-9,-10l2259,1566r-8,-11l2244,1543r-7,-13l2232,1517r-3,-15l2227,1489r-1,-15l2226,1474r1,-15l2229,1444r3,-14l2237,1417r7,-13l2251,1392r8,-11l2269,1370r9,-8l2290,1353r12,-7l2314,1339r14,-5l2342,1331r15,-2l2372,1328r,l2386,1329r15,2l2415,1334r13,5l2440,1346r13,7l2464,1362r10,8l2484,1381r8,11l2500,1404r6,13l2510,1430r5,14l2517,1459r,15l2517,1474r,15l2515,1502r-5,15l2506,1530r-6,13l2492,1555r-8,11l2474,1576r-10,10l2453,1594r-13,8l2428,1607r-13,5l2401,1616r-15,2l2372,1619r,xe" fillcolor="#f47320" stroked="f">
                      <v:path arrowok="t" o:connecttype="custom" o:connectlocs="608217,236419;575979,149604;549870,72309;511502,46468;444982,19040;353942,1813;261767,2947;173679,22214;110791,50095;75828,75029;38368,204912;18390,241406;5903,290141;454,402344;5903,454025;627515,413677;624563,304875;80142,157991;95353,101776;120327,78429;170047,51908;248826,31507;341909,27881;432268,43068;492885,68455;529437,96562;542151,128523;551005,191085;540562,201739;448614,192218;314211,186098;163236,193805;86045,201058;76964,189045;94218,366303;73331,352476;67882,330715;79688,308728;100575,301021;124186,310541;133722,334115;126229,354969;104207,366756;194566,356102;190025,340689;427046,332755;439760,345676;429316,358143;525351,364263;507869,346809;506734,324142;522626,305101;545102,301701;565762,315528;571438,337515;559405,359503;538519,366983" o:connectangles="0,0,0,0,0,0,0,0,0,0,0,0,0,0,0,0,0,0,0,0,0,0,0,0,0,0,0,0,0,0,0,0,0,0,0,0,0,0,0,0,0,0,0,0,0,0,0,0,0,0,0,0,0,0,0,0,0"/>
                      <o:lock v:ext="edit" verticies="t"/>
                    </v:shape>
                  </v:group>
                </v:group>
                <w10:wrap type="square"/>
              </v:group>
            </w:pict>
          </mc:Fallback>
        </mc:AlternateContent>
      </w:r>
      <w:r w:rsidRPr="00E4405D">
        <w:rPr>
          <w:sz w:val="22"/>
          <w:szCs w:val="22"/>
        </w:rPr>
        <w:t>. Zachowania komunikacyjne mieszkańców MOF Olsztyna</w:t>
      </w:r>
      <w:bookmarkEnd w:id="309"/>
    </w:p>
    <w:p w14:paraId="0EB9A6B2" w14:textId="77777777" w:rsidR="00F25738" w:rsidRDefault="00F25738" w:rsidP="00F25738">
      <w:pPr>
        <w:tabs>
          <w:tab w:val="left" w:pos="5954"/>
        </w:tabs>
        <w:spacing w:after="120"/>
        <w:jc w:val="both"/>
        <w:rPr>
          <w:rFonts w:cstheme="minorHAnsi"/>
        </w:rPr>
      </w:pPr>
    </w:p>
    <w:p w14:paraId="033CA647" w14:textId="77777777" w:rsidR="00F25738" w:rsidRDefault="00F25738" w:rsidP="00F25738">
      <w:pPr>
        <w:tabs>
          <w:tab w:val="left" w:pos="5954"/>
        </w:tabs>
        <w:spacing w:after="120"/>
        <w:jc w:val="both"/>
        <w:rPr>
          <w:rFonts w:cstheme="minorHAnsi"/>
        </w:rPr>
      </w:pPr>
      <w:r w:rsidRPr="00ED4EDD">
        <w:rPr>
          <w:rFonts w:cstheme="minorHAnsi"/>
        </w:rPr>
        <w:t xml:space="preserve">Samochód to częsty wybór w dni powszednie, ale niemal co trzeci przejazd odbywa się komunikacją publiczną, a jedna czwarta wszystkich to podróże piesze, co jest dość wysokim wynikiem i świadczy </w:t>
      </w:r>
      <w:r>
        <w:rPr>
          <w:rFonts w:cstheme="minorHAnsi"/>
        </w:rPr>
        <w:br/>
      </w:r>
      <w:r w:rsidRPr="00ED4EDD">
        <w:rPr>
          <w:rFonts w:cstheme="minorHAnsi"/>
        </w:rPr>
        <w:t>o tym, że dystan</w:t>
      </w:r>
      <w:r>
        <w:rPr>
          <w:rFonts w:cstheme="minorHAnsi"/>
        </w:rPr>
        <w:t xml:space="preserve">se do </w:t>
      </w:r>
      <w:r w:rsidRPr="00ED4EDD">
        <w:rPr>
          <w:rFonts w:cstheme="minorHAnsi"/>
        </w:rPr>
        <w:t xml:space="preserve">pokonania w Olsztynie są niewielkie. W soboty </w:t>
      </w:r>
      <w:r>
        <w:rPr>
          <w:rFonts w:cstheme="minorHAnsi"/>
        </w:rPr>
        <w:t>mieszkańcy zdecydowan</w:t>
      </w:r>
      <w:r w:rsidRPr="00ED4EDD">
        <w:rPr>
          <w:rFonts w:cstheme="minorHAnsi"/>
        </w:rPr>
        <w:t>ie przesiada</w:t>
      </w:r>
      <w:r>
        <w:rPr>
          <w:rFonts w:cstheme="minorHAnsi"/>
        </w:rPr>
        <w:t>ją</w:t>
      </w:r>
      <w:r w:rsidRPr="00ED4EDD">
        <w:rPr>
          <w:rFonts w:cstheme="minorHAnsi"/>
        </w:rPr>
        <w:t xml:space="preserve"> się do samochodów, natomiast w niedziele</w:t>
      </w:r>
      <w:r>
        <w:rPr>
          <w:rFonts w:cstheme="minorHAnsi"/>
        </w:rPr>
        <w:t xml:space="preserve"> ponad połowa podróży odbywana jest pieszo.</w:t>
      </w:r>
      <w:r w:rsidRPr="00ED4EDD">
        <w:rPr>
          <w:rFonts w:cstheme="minorHAnsi"/>
        </w:rPr>
        <w:t xml:space="preserve"> </w:t>
      </w:r>
      <w:r w:rsidRPr="00ED4EDD">
        <w:rPr>
          <w:rFonts w:cstheme="minorHAnsi"/>
        </w:rPr>
        <w:lastRenderedPageBreak/>
        <w:t>Wciąż niewiele osób przemieszcza się po Olsztynie rowerem, ale badania prowadzone były późną jesienią, co mogło dać wynik niższy niż w bardziej sprzyjających cyklistom porach roku.</w:t>
      </w:r>
      <w:r>
        <w:rPr>
          <w:rFonts w:cstheme="minorHAnsi"/>
        </w:rPr>
        <w:t xml:space="preserve"> </w:t>
      </w:r>
    </w:p>
    <w:p w14:paraId="48C39A54" w14:textId="383869BF" w:rsidR="00F25738" w:rsidRDefault="00F25738" w:rsidP="00F25738">
      <w:pPr>
        <w:tabs>
          <w:tab w:val="left" w:pos="2268"/>
        </w:tabs>
        <w:spacing w:after="120"/>
        <w:jc w:val="both"/>
        <w:rPr>
          <w:rFonts w:cstheme="minorHAnsi"/>
        </w:rPr>
      </w:pPr>
      <w:r w:rsidRPr="00ED4EDD">
        <w:rPr>
          <w:rFonts w:cstheme="minorHAnsi"/>
        </w:rPr>
        <w:t>System ścieżek rowerowych w Olsztynie wciąż się rozwija. Obecnie jest ich w Olsztynie 10</w:t>
      </w:r>
      <w:r>
        <w:rPr>
          <w:rFonts w:cstheme="minorHAnsi"/>
        </w:rPr>
        <w:t>1</w:t>
      </w:r>
      <w:r w:rsidRPr="00ED4EDD">
        <w:rPr>
          <w:rFonts w:cstheme="minorHAnsi"/>
        </w:rPr>
        <w:t xml:space="preserve"> km. Luki są systematycznie uzupełniane i buduje się nowe ścieżki. </w:t>
      </w:r>
      <w:r>
        <w:rPr>
          <w:rFonts w:cstheme="minorHAnsi"/>
        </w:rPr>
        <w:t>W</w:t>
      </w:r>
      <w:r w:rsidRPr="00ED4EDD">
        <w:rPr>
          <w:rFonts w:cstheme="minorHAnsi"/>
        </w:rPr>
        <w:t xml:space="preserve"> lipcu 2018 </w:t>
      </w:r>
      <w:r>
        <w:rPr>
          <w:rFonts w:cstheme="minorHAnsi"/>
        </w:rPr>
        <w:t>roku</w:t>
      </w:r>
      <w:r w:rsidRPr="00ED4EDD">
        <w:rPr>
          <w:rFonts w:cstheme="minorHAnsi"/>
        </w:rPr>
        <w:t xml:space="preserve"> w Olsztynie wystartow</w:t>
      </w:r>
      <w:r>
        <w:rPr>
          <w:rFonts w:cstheme="minorHAnsi"/>
        </w:rPr>
        <w:t>ał</w:t>
      </w:r>
      <w:r w:rsidRPr="00ED4EDD">
        <w:rPr>
          <w:rFonts w:cstheme="minorHAnsi"/>
        </w:rPr>
        <w:t xml:space="preserve"> </w:t>
      </w:r>
      <w:r>
        <w:rPr>
          <w:rFonts w:cstheme="minorHAnsi"/>
        </w:rPr>
        <w:t xml:space="preserve">pilotaż </w:t>
      </w:r>
      <w:r w:rsidRPr="00ED4EDD">
        <w:rPr>
          <w:rFonts w:cstheme="minorHAnsi"/>
        </w:rPr>
        <w:t>system</w:t>
      </w:r>
      <w:r>
        <w:rPr>
          <w:rFonts w:cstheme="minorHAnsi"/>
        </w:rPr>
        <w:t>u</w:t>
      </w:r>
      <w:r w:rsidRPr="00ED4EDD">
        <w:rPr>
          <w:rFonts w:cstheme="minorHAnsi"/>
        </w:rPr>
        <w:t xml:space="preserve"> </w:t>
      </w:r>
      <w:r>
        <w:rPr>
          <w:rFonts w:cstheme="minorHAnsi"/>
        </w:rPr>
        <w:t>Olsztyńskiego Roweru Miejskiego (ORM), umożliwiający wypożyczenie rowerów rozlokowanych w różnych punktach miasta (</w:t>
      </w:r>
      <w:r w:rsidRPr="003D68EA">
        <w:rPr>
          <w:rFonts w:cstheme="minorHAnsi"/>
        </w:rPr>
        <w:t>240</w:t>
      </w:r>
      <w:r w:rsidRPr="003D68EA">
        <w:t xml:space="preserve"> rowerów w 33 strefach, w tym 7 tzw. wirtualnych – stan w czerwcu 2019 roku). Rowery dzięki zastosowaniu lokalizacji GPS i specjalny</w:t>
      </w:r>
      <w:r>
        <w:t>m</w:t>
      </w:r>
      <w:r w:rsidRPr="003D68EA">
        <w:t xml:space="preserve"> zabezpiecze</w:t>
      </w:r>
      <w:r>
        <w:t>niom</w:t>
      </w:r>
      <w:r w:rsidRPr="003D68EA">
        <w:t xml:space="preserve"> można było również wypożyczać oraz pozostawi</w:t>
      </w:r>
      <w:r>
        <w:t>a</w:t>
      </w:r>
      <w:r w:rsidRPr="003D68EA">
        <w:t xml:space="preserve">ć w dowolnym punkcie na terenie Olsztyna. </w:t>
      </w:r>
      <w:r>
        <w:t>Ponadto</w:t>
      </w:r>
      <w:r w:rsidRPr="00ED4EDD">
        <w:rPr>
          <w:rFonts w:cstheme="minorHAnsi"/>
        </w:rPr>
        <w:t xml:space="preserve"> planowan</w:t>
      </w:r>
      <w:r>
        <w:rPr>
          <w:rFonts w:cstheme="minorHAnsi"/>
        </w:rPr>
        <w:t xml:space="preserve">a jest budowa </w:t>
      </w:r>
      <w:r w:rsidRPr="00ED4EDD">
        <w:rPr>
          <w:rFonts w:cstheme="minorHAnsi"/>
        </w:rPr>
        <w:t>parking</w:t>
      </w:r>
      <w:r>
        <w:rPr>
          <w:rFonts w:cstheme="minorHAnsi"/>
        </w:rPr>
        <w:t>ów</w:t>
      </w:r>
      <w:r w:rsidRPr="00ED4EDD">
        <w:rPr>
          <w:rFonts w:cstheme="minorHAnsi"/>
        </w:rPr>
        <w:t xml:space="preserve"> B&amp;R (pierwszy wybudowano na krańcówce tramwajowej przy </w:t>
      </w:r>
      <w:r>
        <w:rPr>
          <w:rFonts w:cstheme="minorHAnsi"/>
        </w:rPr>
        <w:br/>
      </w:r>
      <w:r w:rsidRPr="00ED4EDD">
        <w:rPr>
          <w:rFonts w:cstheme="minorHAnsi"/>
        </w:rPr>
        <w:t xml:space="preserve">ul. Kanta przy okazji budowy sieci tramwajowej w </w:t>
      </w:r>
      <w:r>
        <w:rPr>
          <w:rFonts w:cstheme="minorHAnsi"/>
        </w:rPr>
        <w:t>roku 2015</w:t>
      </w:r>
      <w:r w:rsidRPr="00ED4EDD">
        <w:rPr>
          <w:rFonts w:cstheme="minorHAnsi"/>
        </w:rPr>
        <w:t>).</w:t>
      </w:r>
    </w:p>
    <w:p w14:paraId="13046CA0" w14:textId="77777777" w:rsidR="00F25738" w:rsidRPr="00ED4EDD" w:rsidRDefault="00F25738" w:rsidP="00F25738">
      <w:pPr>
        <w:tabs>
          <w:tab w:val="left" w:pos="2268"/>
        </w:tabs>
        <w:spacing w:after="120"/>
        <w:jc w:val="both"/>
        <w:rPr>
          <w:rFonts w:cstheme="minorHAnsi"/>
        </w:rPr>
      </w:pPr>
      <w:r w:rsidRPr="00ED4EDD">
        <w:rPr>
          <w:rFonts w:cstheme="minorHAnsi"/>
        </w:rPr>
        <w:t>Choć infrastruktura dla pieszych i rowerzystów wciąż ulega poprawie</w:t>
      </w:r>
      <w:r>
        <w:rPr>
          <w:rFonts w:cstheme="minorHAnsi"/>
        </w:rPr>
        <w:t xml:space="preserve"> (tak w Olsztynie, jak i w gminach MOF)</w:t>
      </w:r>
      <w:r w:rsidRPr="00ED4EDD">
        <w:rPr>
          <w:rFonts w:cstheme="minorHAnsi"/>
        </w:rPr>
        <w:t xml:space="preserve">, wciąż istnieją problemy do rozwiązania, np. luki w infrastrukturze pieszej, szczególnie na obszarze gmin MOF poza Olsztynem. </w:t>
      </w:r>
      <w:r>
        <w:rPr>
          <w:rFonts w:cstheme="minorHAnsi"/>
        </w:rPr>
        <w:t xml:space="preserve">Wśród barier </w:t>
      </w:r>
      <w:r w:rsidRPr="00ED4EDD">
        <w:rPr>
          <w:rFonts w:cstheme="minorHAnsi"/>
        </w:rPr>
        <w:t>podróży niezmotoryzowanych</w:t>
      </w:r>
      <w:r>
        <w:rPr>
          <w:rFonts w:cstheme="minorHAnsi"/>
        </w:rPr>
        <w:t xml:space="preserve"> można wymienić m.in.</w:t>
      </w:r>
      <w:r w:rsidRPr="00ED4EDD">
        <w:rPr>
          <w:rFonts w:cstheme="minorHAnsi"/>
        </w:rPr>
        <w:t>: zły stan nawierzchni chodników i ścieżek rowerowych, samochody na nich parkujące, sygnalizacja świetlna preferująca indywidualny transport samochodowy itd.</w:t>
      </w:r>
    </w:p>
    <w:p w14:paraId="2BC7F404" w14:textId="5A25981B" w:rsidR="00F25738" w:rsidRDefault="00F25738" w:rsidP="00F25738">
      <w:pPr>
        <w:tabs>
          <w:tab w:val="left" w:pos="2268"/>
        </w:tabs>
        <w:spacing w:after="120"/>
        <w:jc w:val="both"/>
        <w:rPr>
          <w:rFonts w:cstheme="minorHAnsi"/>
        </w:rPr>
      </w:pPr>
      <w:r>
        <w:rPr>
          <w:rFonts w:cstheme="minorHAnsi"/>
        </w:rPr>
        <w:t>W 2019 roku wykonana została aktualizacja „Koncepcji</w:t>
      </w:r>
      <w:r w:rsidRPr="00A2566D">
        <w:rPr>
          <w:rFonts w:cstheme="minorHAnsi"/>
        </w:rPr>
        <w:t xml:space="preserve"> rozwoju dróg rowerowych w Olsztynie </w:t>
      </w:r>
      <w:r>
        <w:rPr>
          <w:rFonts w:cstheme="minorHAnsi"/>
        </w:rPr>
        <w:br/>
      </w:r>
      <w:r w:rsidRPr="00A2566D">
        <w:rPr>
          <w:rFonts w:cstheme="minorHAnsi"/>
        </w:rPr>
        <w:t>z rozszerzeniem na</w:t>
      </w:r>
      <w:r>
        <w:rPr>
          <w:rFonts w:cstheme="minorHAnsi"/>
        </w:rPr>
        <w:t xml:space="preserve"> </w:t>
      </w:r>
      <w:r w:rsidRPr="00A2566D">
        <w:rPr>
          <w:rFonts w:cstheme="minorHAnsi"/>
        </w:rPr>
        <w:t>Miejski Obszar Funkcjonalny Olsztyna</w:t>
      </w:r>
      <w:r>
        <w:rPr>
          <w:rFonts w:cstheme="minorHAnsi"/>
        </w:rPr>
        <w:t xml:space="preserve"> </w:t>
      </w:r>
      <w:r w:rsidRPr="00A2566D">
        <w:rPr>
          <w:rFonts w:cstheme="minorHAnsi"/>
        </w:rPr>
        <w:t xml:space="preserve">w zakresie powiązań komunikacyjnych </w:t>
      </w:r>
      <w:r>
        <w:rPr>
          <w:rFonts w:cstheme="minorHAnsi"/>
        </w:rPr>
        <w:br/>
      </w:r>
      <w:r w:rsidRPr="00A2566D">
        <w:rPr>
          <w:rFonts w:cstheme="minorHAnsi"/>
        </w:rPr>
        <w:t>z miastem rdzeniem</w:t>
      </w:r>
      <w:r>
        <w:rPr>
          <w:rFonts w:cstheme="minorHAnsi"/>
        </w:rPr>
        <w:t>”</w:t>
      </w:r>
      <w:r>
        <w:rPr>
          <w:rStyle w:val="Odwoanieprzypisudolnego"/>
          <w:rFonts w:cstheme="minorHAnsi"/>
        </w:rPr>
        <w:footnoteReference w:id="118"/>
      </w:r>
      <w:r>
        <w:rPr>
          <w:rFonts w:cstheme="minorHAnsi"/>
        </w:rPr>
        <w:t>, w wyniku której powstała mapa docelowej sieci dróg rowerowych łączących Olsztyn z sąsiednimi gminami i zapewniających spójny system tras rowerowych także w samym mieście.</w:t>
      </w:r>
    </w:p>
    <w:p w14:paraId="6F49309A" w14:textId="1E0E3386" w:rsidR="00E96324" w:rsidRPr="00263CC0" w:rsidRDefault="00E96324" w:rsidP="00E96324">
      <w:pPr>
        <w:pStyle w:val="Legenda"/>
        <w:rPr>
          <w:rFonts w:cstheme="minorHAnsi"/>
          <w:sz w:val="22"/>
          <w:szCs w:val="22"/>
        </w:rPr>
      </w:pPr>
      <w:bookmarkStart w:id="310" w:name="_Toc73516193"/>
      <w:r w:rsidRPr="00263CC0">
        <w:rPr>
          <w:sz w:val="22"/>
          <w:szCs w:val="22"/>
        </w:rPr>
        <w:t xml:space="preserve">Rysunek </w:t>
      </w:r>
      <w:r w:rsidRPr="00263CC0">
        <w:rPr>
          <w:sz w:val="22"/>
          <w:szCs w:val="22"/>
        </w:rPr>
        <w:fldChar w:fldCharType="begin"/>
      </w:r>
      <w:r w:rsidRPr="00263CC0">
        <w:rPr>
          <w:sz w:val="22"/>
          <w:szCs w:val="22"/>
        </w:rPr>
        <w:instrText xml:space="preserve"> SEQ Rysunek \* ARABIC </w:instrText>
      </w:r>
      <w:r w:rsidRPr="00263CC0">
        <w:rPr>
          <w:sz w:val="22"/>
          <w:szCs w:val="22"/>
        </w:rPr>
        <w:fldChar w:fldCharType="separate"/>
      </w:r>
      <w:r w:rsidR="00AD58C3">
        <w:rPr>
          <w:noProof/>
          <w:sz w:val="22"/>
          <w:szCs w:val="22"/>
        </w:rPr>
        <w:t>28</w:t>
      </w:r>
      <w:r w:rsidRPr="00263CC0">
        <w:rPr>
          <w:sz w:val="22"/>
          <w:szCs w:val="22"/>
        </w:rPr>
        <w:fldChar w:fldCharType="end"/>
      </w:r>
      <w:r w:rsidRPr="00263CC0">
        <w:rPr>
          <w:sz w:val="22"/>
          <w:szCs w:val="22"/>
        </w:rPr>
        <w:t>. S</w:t>
      </w:r>
      <w:r w:rsidRPr="00263CC0">
        <w:rPr>
          <w:rFonts w:cstheme="minorHAnsi"/>
          <w:sz w:val="22"/>
          <w:szCs w:val="22"/>
        </w:rPr>
        <w:t>ieć dróg rowerowych łączących Olsztyn oraz gminy MOF</w:t>
      </w:r>
      <w:bookmarkEnd w:id="310"/>
    </w:p>
    <w:p w14:paraId="30E918A4" w14:textId="77777777" w:rsidR="00F25738" w:rsidRDefault="00F25738" w:rsidP="00F25738">
      <w:pPr>
        <w:tabs>
          <w:tab w:val="left" w:pos="2268"/>
        </w:tabs>
        <w:spacing w:after="0"/>
        <w:jc w:val="both"/>
        <w:rPr>
          <w:rFonts w:cstheme="minorHAnsi"/>
        </w:rPr>
      </w:pPr>
      <w:r>
        <w:rPr>
          <w:rFonts w:cstheme="minorHAnsi"/>
          <w:noProof/>
          <w:lang w:eastAsia="pl-PL"/>
        </w:rPr>
        <w:drawing>
          <wp:inline distT="0" distB="0" distL="0" distR="0" wp14:anchorId="417808F0" wp14:editId="02928F50">
            <wp:extent cx="5391302" cy="3825398"/>
            <wp:effectExtent l="0" t="0" r="0" b="3810"/>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Koncepcja rowerowa 2019.png"/>
                    <pic:cNvPicPr/>
                  </pic:nvPicPr>
                  <pic:blipFill>
                    <a:blip r:embed="rId149">
                      <a:extLst>
                        <a:ext uri="{28A0092B-C50C-407E-A947-70E740481C1C}">
                          <a14:useLocalDpi xmlns:a14="http://schemas.microsoft.com/office/drawing/2010/main" val="0"/>
                        </a:ext>
                      </a:extLst>
                    </a:blip>
                    <a:stretch>
                      <a:fillRect/>
                    </a:stretch>
                  </pic:blipFill>
                  <pic:spPr>
                    <a:xfrm>
                      <a:off x="0" y="0"/>
                      <a:ext cx="5404879" cy="3835031"/>
                    </a:xfrm>
                    <a:prstGeom prst="rect">
                      <a:avLst/>
                    </a:prstGeom>
                  </pic:spPr>
                </pic:pic>
              </a:graphicData>
            </a:graphic>
          </wp:inline>
        </w:drawing>
      </w:r>
    </w:p>
    <w:p w14:paraId="79632796" w14:textId="77777777" w:rsidR="00F25738" w:rsidRDefault="00F25738" w:rsidP="00F25738">
      <w:pPr>
        <w:tabs>
          <w:tab w:val="left" w:pos="2268"/>
        </w:tabs>
        <w:spacing w:after="0" w:line="240" w:lineRule="auto"/>
        <w:jc w:val="center"/>
        <w:rPr>
          <w:rFonts w:cstheme="minorHAnsi"/>
          <w:i/>
          <w:sz w:val="20"/>
          <w:szCs w:val="20"/>
        </w:rPr>
      </w:pPr>
      <w:r>
        <w:rPr>
          <w:i/>
          <w:sz w:val="20"/>
          <w:szCs w:val="20"/>
        </w:rPr>
        <w:t>ź</w:t>
      </w:r>
      <w:r w:rsidRPr="0063291A">
        <w:rPr>
          <w:i/>
          <w:sz w:val="20"/>
          <w:szCs w:val="20"/>
        </w:rPr>
        <w:t xml:space="preserve">ródło: </w:t>
      </w:r>
      <w:r w:rsidRPr="0063291A">
        <w:rPr>
          <w:rFonts w:cstheme="minorHAnsi"/>
          <w:i/>
          <w:sz w:val="20"/>
          <w:szCs w:val="20"/>
        </w:rPr>
        <w:t>Koncepcja rozwoju dróg rowerowych w Olsztynie z rozszerzeniem na M</w:t>
      </w:r>
      <w:r>
        <w:rPr>
          <w:rFonts w:cstheme="minorHAnsi"/>
          <w:i/>
          <w:sz w:val="20"/>
          <w:szCs w:val="20"/>
        </w:rPr>
        <w:t xml:space="preserve">OF </w:t>
      </w:r>
      <w:r w:rsidRPr="0063291A">
        <w:rPr>
          <w:rFonts w:cstheme="minorHAnsi"/>
          <w:i/>
          <w:sz w:val="20"/>
          <w:szCs w:val="20"/>
        </w:rPr>
        <w:t xml:space="preserve">Olsztyna </w:t>
      </w:r>
    </w:p>
    <w:p w14:paraId="6BF2A7CA" w14:textId="77777777" w:rsidR="00F25738" w:rsidRDefault="00F25738" w:rsidP="00F25738">
      <w:pPr>
        <w:tabs>
          <w:tab w:val="left" w:pos="2268"/>
        </w:tabs>
        <w:spacing w:after="0" w:line="240" w:lineRule="auto"/>
        <w:jc w:val="center"/>
        <w:rPr>
          <w:rFonts w:cstheme="minorHAnsi"/>
          <w:i/>
          <w:sz w:val="20"/>
          <w:szCs w:val="20"/>
        </w:rPr>
      </w:pPr>
      <w:r w:rsidRPr="0063291A">
        <w:rPr>
          <w:rFonts w:cstheme="minorHAnsi"/>
          <w:i/>
          <w:sz w:val="20"/>
          <w:szCs w:val="20"/>
        </w:rPr>
        <w:t>w zakresie powiązań komunikacyjnych z miastem rdzeniem</w:t>
      </w:r>
      <w:r>
        <w:rPr>
          <w:rFonts w:cstheme="minorHAnsi"/>
          <w:i/>
          <w:sz w:val="20"/>
          <w:szCs w:val="20"/>
        </w:rPr>
        <w:t xml:space="preserve"> (załącznik nr 7)</w:t>
      </w:r>
    </w:p>
    <w:bookmarkEnd w:id="308"/>
    <w:p w14:paraId="29653E93" w14:textId="77777777" w:rsidR="00A136BC" w:rsidRDefault="00A136BC" w:rsidP="00F25738">
      <w:pPr>
        <w:tabs>
          <w:tab w:val="left" w:pos="2268"/>
        </w:tabs>
        <w:spacing w:after="0" w:line="240" w:lineRule="auto"/>
        <w:jc w:val="center"/>
        <w:rPr>
          <w:rFonts w:cstheme="minorHAnsi"/>
          <w:i/>
          <w:sz w:val="20"/>
          <w:szCs w:val="20"/>
        </w:rPr>
      </w:pPr>
    </w:p>
    <w:p w14:paraId="4C827B71" w14:textId="77777777" w:rsidR="00F25738" w:rsidRDefault="00F25738" w:rsidP="00F25738">
      <w:pPr>
        <w:spacing w:after="120"/>
        <w:jc w:val="both"/>
      </w:pPr>
      <w:r w:rsidRPr="00945272">
        <w:rPr>
          <w:rFonts w:cs="Times New Roman"/>
        </w:rPr>
        <w:t>W Olsztynie istnieje ok. 22 000 miejsc parkingowych</w:t>
      </w:r>
      <w:r w:rsidRPr="00945272">
        <w:rPr>
          <w:rStyle w:val="Odwoanieprzypisudolnego"/>
          <w:rFonts w:cs="Times New Roman"/>
        </w:rPr>
        <w:footnoteReference w:id="119"/>
      </w:r>
      <w:r w:rsidRPr="00945272">
        <w:rPr>
          <w:rFonts w:cs="Times New Roman"/>
        </w:rPr>
        <w:t xml:space="preserve">. W 1994 r. powstała Strefa Płatnego Parkowania </w:t>
      </w:r>
      <w:r>
        <w:rPr>
          <w:rFonts w:cs="Times New Roman"/>
        </w:rPr>
        <w:t xml:space="preserve">(SPP) </w:t>
      </w:r>
      <w:r w:rsidRPr="00945272">
        <w:rPr>
          <w:rFonts w:cs="Times New Roman"/>
        </w:rPr>
        <w:t xml:space="preserve">i obecnie w jej obrębie znajduje się ok. 2 600 miejsc parkingowych. W </w:t>
      </w:r>
      <w:r>
        <w:rPr>
          <w:rFonts w:cs="Times New Roman"/>
        </w:rPr>
        <w:t xml:space="preserve">od 1 lutego 2020 roku </w:t>
      </w:r>
      <w:r w:rsidRPr="00945272">
        <w:rPr>
          <w:rFonts w:cs="Times New Roman"/>
        </w:rPr>
        <w:t xml:space="preserve"> olsztyńsk</w:t>
      </w:r>
      <w:r>
        <w:rPr>
          <w:rFonts w:cs="Times New Roman"/>
        </w:rPr>
        <w:t>ą</w:t>
      </w:r>
      <w:r w:rsidRPr="00945272">
        <w:rPr>
          <w:rFonts w:cs="Times New Roman"/>
        </w:rPr>
        <w:t xml:space="preserve"> SPP podzielon</w:t>
      </w:r>
      <w:r>
        <w:rPr>
          <w:rFonts w:cs="Times New Roman"/>
        </w:rPr>
        <w:t>o</w:t>
      </w:r>
      <w:r w:rsidRPr="00945272">
        <w:rPr>
          <w:rFonts w:cs="Times New Roman"/>
        </w:rPr>
        <w:t xml:space="preserve"> na </w:t>
      </w:r>
      <w:r>
        <w:rPr>
          <w:rFonts w:cs="Times New Roman"/>
        </w:rPr>
        <w:t>2</w:t>
      </w:r>
      <w:r w:rsidRPr="00945272">
        <w:rPr>
          <w:rFonts w:cs="Times New Roman"/>
        </w:rPr>
        <w:t xml:space="preserve"> </w:t>
      </w:r>
      <w:r>
        <w:rPr>
          <w:rFonts w:cs="Times New Roman"/>
        </w:rPr>
        <w:t>podstrefy cenowe: C (czerwoną) oraz</w:t>
      </w:r>
      <w:r w:rsidRPr="00945272">
        <w:rPr>
          <w:rFonts w:cs="Times New Roman"/>
        </w:rPr>
        <w:t xml:space="preserve"> T (zielon</w:t>
      </w:r>
      <w:r>
        <w:rPr>
          <w:rFonts w:cs="Times New Roman"/>
        </w:rPr>
        <w:t>ą</w:t>
      </w:r>
      <w:r w:rsidRPr="00945272">
        <w:rPr>
          <w:rFonts w:cs="Times New Roman"/>
        </w:rPr>
        <w:t>)</w:t>
      </w:r>
      <w:r>
        <w:rPr>
          <w:rFonts w:cs="Times New Roman"/>
        </w:rPr>
        <w:t>,</w:t>
      </w:r>
      <w:r w:rsidRPr="00945272">
        <w:rPr>
          <w:rFonts w:cs="Times New Roman"/>
        </w:rPr>
        <w:t xml:space="preserve"> charakteryzujące się zróżnicowanymi stawkami opłat jednorazowych</w:t>
      </w:r>
      <w:r>
        <w:rPr>
          <w:rFonts w:cs="Times New Roman"/>
        </w:rPr>
        <w:t>, uzależnionymi od czasu postoju pojazdu</w:t>
      </w:r>
      <w:r w:rsidRPr="00945272">
        <w:rPr>
          <w:rFonts w:cs="Times New Roman"/>
        </w:rPr>
        <w:t>. Teren SPP wyp</w:t>
      </w:r>
      <w:r>
        <w:rPr>
          <w:rFonts w:cs="Times New Roman"/>
        </w:rPr>
        <w:t xml:space="preserve">osażony jest w 112 parkomatów, </w:t>
      </w:r>
      <w:r w:rsidRPr="00945272">
        <w:rPr>
          <w:rFonts w:cs="Times New Roman"/>
        </w:rPr>
        <w:t>w których można dokonać zakupu biletu jednorazowego przy użyciu bilonu lub z wykorzystaniem Olsztyńskiej Karty Miejskiej. Średnie dzienne napełnienie miejsc postojowych kształtowało się w 2019 r.  na poziomie ok. 80%.</w:t>
      </w:r>
      <w:r w:rsidRPr="002F73AF">
        <w:t xml:space="preserve"> </w:t>
      </w:r>
      <w:r>
        <w:rPr>
          <w:rStyle w:val="Odwoanieprzypisudolnego"/>
        </w:rPr>
        <w:footnoteReference w:id="120"/>
      </w:r>
      <w:r>
        <w:t xml:space="preserve"> </w:t>
      </w:r>
    </w:p>
    <w:p w14:paraId="0BF768A4" w14:textId="5C809945" w:rsidR="00E32A3D" w:rsidRDefault="00E32A3D" w:rsidP="00E32A3D">
      <w:pPr>
        <w:spacing w:after="120"/>
        <w:jc w:val="both"/>
        <w:rPr>
          <w:rFonts w:cstheme="minorHAnsi"/>
        </w:rPr>
      </w:pPr>
      <w:r w:rsidRPr="00E32A3D">
        <w:rPr>
          <w:rFonts w:cstheme="minorHAnsi"/>
        </w:rPr>
        <w:t>SPP obejmuje całe Śródmieście, część Zatorza i osiedla Kętrzyńskiego oraz niewielkie fragmenty osiedla Kościuszki, Pogrodzie, Grunwaldzkie i Wojska Polskiego.</w:t>
      </w:r>
    </w:p>
    <w:p w14:paraId="7BC6E987" w14:textId="77777777" w:rsidR="00B41F45" w:rsidRDefault="00B41F45" w:rsidP="009F04BB">
      <w:pPr>
        <w:pStyle w:val="Legenda"/>
        <w:rPr>
          <w:sz w:val="22"/>
          <w:szCs w:val="22"/>
          <w:lang w:val="pl-PL"/>
        </w:rPr>
      </w:pPr>
      <w:bookmarkStart w:id="311" w:name="_Toc73516194"/>
    </w:p>
    <w:p w14:paraId="010D2699" w14:textId="309915D3" w:rsidR="009F04BB" w:rsidRPr="009F04BB" w:rsidRDefault="009F04BB" w:rsidP="009F04BB">
      <w:pPr>
        <w:pStyle w:val="Legenda"/>
        <w:rPr>
          <w:sz w:val="22"/>
          <w:szCs w:val="22"/>
          <w:lang w:val="pl-PL"/>
        </w:rPr>
      </w:pPr>
      <w:r w:rsidRPr="009F04BB">
        <w:rPr>
          <w:sz w:val="22"/>
          <w:szCs w:val="22"/>
          <w:lang w:val="pl-PL"/>
        </w:rPr>
        <w:t xml:space="preserve">Rysunek </w:t>
      </w:r>
      <w:r w:rsidRPr="009F04BB">
        <w:rPr>
          <w:sz w:val="22"/>
          <w:szCs w:val="22"/>
        </w:rPr>
        <w:fldChar w:fldCharType="begin"/>
      </w:r>
      <w:r w:rsidRPr="009F04BB">
        <w:rPr>
          <w:sz w:val="22"/>
          <w:szCs w:val="22"/>
          <w:lang w:val="pl-PL"/>
        </w:rPr>
        <w:instrText xml:space="preserve"> SEQ Rysunek \* ARABIC </w:instrText>
      </w:r>
      <w:r w:rsidRPr="009F04BB">
        <w:rPr>
          <w:sz w:val="22"/>
          <w:szCs w:val="22"/>
        </w:rPr>
        <w:fldChar w:fldCharType="separate"/>
      </w:r>
      <w:r w:rsidR="00AD58C3">
        <w:rPr>
          <w:noProof/>
          <w:sz w:val="22"/>
          <w:szCs w:val="22"/>
          <w:lang w:val="pl-PL"/>
        </w:rPr>
        <w:t>29</w:t>
      </w:r>
      <w:r w:rsidRPr="009F04BB">
        <w:rPr>
          <w:sz w:val="22"/>
          <w:szCs w:val="22"/>
        </w:rPr>
        <w:fldChar w:fldCharType="end"/>
      </w:r>
      <w:r w:rsidRPr="009F04BB">
        <w:rPr>
          <w:sz w:val="22"/>
          <w:szCs w:val="22"/>
          <w:lang w:val="pl-PL"/>
        </w:rPr>
        <w:t>. Mapa SPP obowiązuj</w:t>
      </w:r>
      <w:r w:rsidR="004C4C03">
        <w:rPr>
          <w:sz w:val="22"/>
          <w:szCs w:val="22"/>
          <w:lang w:val="pl-PL"/>
        </w:rPr>
        <w:t>ą</w:t>
      </w:r>
      <w:r w:rsidRPr="009F04BB">
        <w:rPr>
          <w:sz w:val="22"/>
          <w:szCs w:val="22"/>
          <w:lang w:val="pl-PL"/>
        </w:rPr>
        <w:t>ca od 1 lipca 2020 r.</w:t>
      </w:r>
      <w:bookmarkEnd w:id="311"/>
    </w:p>
    <w:p w14:paraId="274FF08F" w14:textId="77777777" w:rsidR="00F17970" w:rsidRDefault="00E32A3D" w:rsidP="00F17970">
      <w:pPr>
        <w:keepNext/>
        <w:spacing w:after="120"/>
        <w:jc w:val="center"/>
      </w:pPr>
      <w:r w:rsidRPr="00E32A3D">
        <w:rPr>
          <w:rFonts w:cstheme="minorHAnsi"/>
          <w:noProof/>
          <w:lang w:eastAsia="pl-PL"/>
        </w:rPr>
        <w:drawing>
          <wp:inline distT="0" distB="0" distL="0" distR="0" wp14:anchorId="5F49EB97" wp14:editId="0EFA4EA2">
            <wp:extent cx="5549858" cy="5012995"/>
            <wp:effectExtent l="0" t="0" r="0" b="0"/>
            <wp:docPr id="218" name="Obraz 218" descr="https://www.zdzit.olsztyn.eu/pliki/US/MAPA_do_za%C5%82_nr_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dzit.olsztyn.eu/pliki/US/MAPA_do_za%C5%82_nr_1a.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553169" cy="5015986"/>
                    </a:xfrm>
                    <a:prstGeom prst="rect">
                      <a:avLst/>
                    </a:prstGeom>
                    <a:noFill/>
                    <a:ln>
                      <a:noFill/>
                    </a:ln>
                  </pic:spPr>
                </pic:pic>
              </a:graphicData>
            </a:graphic>
          </wp:inline>
        </w:drawing>
      </w:r>
    </w:p>
    <w:p w14:paraId="2817BC23" w14:textId="149D8134" w:rsidR="00E32A3D" w:rsidRPr="00F17970" w:rsidRDefault="009F04BB" w:rsidP="00F17970">
      <w:pPr>
        <w:pStyle w:val="Legenda"/>
        <w:jc w:val="center"/>
        <w:rPr>
          <w:rFonts w:cstheme="minorHAnsi"/>
          <w:sz w:val="20"/>
          <w:lang w:val="pl-PL"/>
        </w:rPr>
      </w:pPr>
      <w:r>
        <w:rPr>
          <w:sz w:val="20"/>
          <w:lang w:val="pl-PL"/>
        </w:rPr>
        <w:t>ź</w:t>
      </w:r>
      <w:r w:rsidR="00F17970" w:rsidRPr="00F17970">
        <w:rPr>
          <w:sz w:val="20"/>
          <w:lang w:val="pl-PL"/>
        </w:rPr>
        <w:t>ródło: https://www.zdzit.olsztyn.eu/pl/strefa-parkowania/o-strefie</w:t>
      </w:r>
    </w:p>
    <w:p w14:paraId="2C59624D" w14:textId="77777777" w:rsidR="00F17970" w:rsidRDefault="00F17970" w:rsidP="00F17970">
      <w:pPr>
        <w:tabs>
          <w:tab w:val="left" w:pos="2268"/>
        </w:tabs>
        <w:jc w:val="both"/>
        <w:rPr>
          <w:rFonts w:cstheme="minorHAnsi"/>
        </w:rPr>
      </w:pPr>
    </w:p>
    <w:p w14:paraId="6A9CCD0B" w14:textId="2236D36B" w:rsidR="00E32A3D" w:rsidRDefault="00F25738" w:rsidP="00F17970">
      <w:pPr>
        <w:tabs>
          <w:tab w:val="left" w:pos="2268"/>
        </w:tabs>
        <w:jc w:val="both"/>
        <w:rPr>
          <w:rFonts w:cstheme="minorHAnsi"/>
        </w:rPr>
      </w:pPr>
      <w:r w:rsidRPr="00ED4EDD">
        <w:rPr>
          <w:rFonts w:cstheme="minorHAnsi"/>
        </w:rPr>
        <w:lastRenderedPageBreak/>
        <w:t>Problemy z parkowaniem w Olsztynie i jego MOF dotyczą głównie centrum miasta i obszarów wokół instytucji publicznych (urzędów, szpitali, szkół itd.). Duże osiedla mieszkaniowe również cierpią na brak parkingów, ponieważ zostały w większości zaprojektowane przed boomem motoryzacyjnym. Ponadto w MOF Olsztyna nadal brak funkcjonujących parkingów typu P&amp;R.</w:t>
      </w:r>
    </w:p>
    <w:p w14:paraId="1954CBCA" w14:textId="1B36EED4" w:rsidR="00111F42" w:rsidRPr="00111F42" w:rsidRDefault="00111F42" w:rsidP="00111F42">
      <w:pPr>
        <w:tabs>
          <w:tab w:val="left" w:pos="2268"/>
        </w:tabs>
        <w:jc w:val="both"/>
        <w:rPr>
          <w:rFonts w:cstheme="minorHAnsi"/>
        </w:rPr>
      </w:pPr>
      <w:r w:rsidRPr="00111F42">
        <w:rPr>
          <w:rFonts w:cstheme="minorHAnsi"/>
        </w:rPr>
        <w:t xml:space="preserve">Analizy z 2018 r. wykazały potencjalne lokalizacje dla parkingów P+R w Olsztynie i okolicach. </w:t>
      </w:r>
      <w:r w:rsidR="004C4C03">
        <w:rPr>
          <w:rFonts w:cstheme="minorHAnsi"/>
        </w:rPr>
        <w:br/>
      </w:r>
      <w:r w:rsidRPr="00111F42">
        <w:rPr>
          <w:rFonts w:cstheme="minorHAnsi"/>
        </w:rPr>
        <w:t>W opracowaniu wyznaczono 7 priorytetowych parkingów rekomendowanych do realizacji na terenie miasta. Ich lokalizacje to:</w:t>
      </w:r>
    </w:p>
    <w:p w14:paraId="651ABB74" w14:textId="77777777" w:rsidR="00111F42" w:rsidRPr="00111F42" w:rsidRDefault="00111F42" w:rsidP="00111F42">
      <w:pPr>
        <w:numPr>
          <w:ilvl w:val="0"/>
          <w:numId w:val="42"/>
        </w:numPr>
        <w:tabs>
          <w:tab w:val="left" w:pos="2268"/>
        </w:tabs>
        <w:jc w:val="both"/>
        <w:rPr>
          <w:rFonts w:cstheme="minorHAnsi"/>
        </w:rPr>
      </w:pPr>
      <w:r w:rsidRPr="00111F42">
        <w:rPr>
          <w:rFonts w:cstheme="minorHAnsi"/>
        </w:rPr>
        <w:t>„pętla autobusowa Jagiellońska-Ogrody,</w:t>
      </w:r>
    </w:p>
    <w:p w14:paraId="4D963E63" w14:textId="77777777" w:rsidR="00111F42" w:rsidRPr="00111F42" w:rsidRDefault="00111F42" w:rsidP="00111F42">
      <w:pPr>
        <w:numPr>
          <w:ilvl w:val="0"/>
          <w:numId w:val="42"/>
        </w:numPr>
        <w:tabs>
          <w:tab w:val="left" w:pos="2268"/>
        </w:tabs>
        <w:jc w:val="both"/>
        <w:rPr>
          <w:rFonts w:cstheme="minorHAnsi"/>
        </w:rPr>
      </w:pPr>
      <w:r w:rsidRPr="00111F42">
        <w:rPr>
          <w:rFonts w:cstheme="minorHAnsi"/>
        </w:rPr>
        <w:t>przystanek kolejowy Dajtki,</w:t>
      </w:r>
    </w:p>
    <w:p w14:paraId="17E42F5D" w14:textId="77777777" w:rsidR="00111F42" w:rsidRPr="00111F42" w:rsidRDefault="00111F42" w:rsidP="00111F42">
      <w:pPr>
        <w:numPr>
          <w:ilvl w:val="0"/>
          <w:numId w:val="42"/>
        </w:numPr>
        <w:tabs>
          <w:tab w:val="left" w:pos="2268"/>
        </w:tabs>
        <w:jc w:val="both"/>
        <w:rPr>
          <w:rFonts w:cstheme="minorHAnsi"/>
        </w:rPr>
      </w:pPr>
      <w:r w:rsidRPr="00111F42">
        <w:rPr>
          <w:rFonts w:cstheme="minorHAnsi"/>
        </w:rPr>
        <w:t>Kanta przystanek krańcowy tramwaju,</w:t>
      </w:r>
    </w:p>
    <w:p w14:paraId="27F9BCA2" w14:textId="77777777" w:rsidR="00111F42" w:rsidRPr="00111F42" w:rsidRDefault="00111F42" w:rsidP="00111F42">
      <w:pPr>
        <w:numPr>
          <w:ilvl w:val="0"/>
          <w:numId w:val="42"/>
        </w:numPr>
        <w:tabs>
          <w:tab w:val="left" w:pos="2268"/>
        </w:tabs>
        <w:jc w:val="both"/>
        <w:rPr>
          <w:rFonts w:cstheme="minorHAnsi"/>
        </w:rPr>
      </w:pPr>
      <w:r w:rsidRPr="00111F42">
        <w:rPr>
          <w:rFonts w:cstheme="minorHAnsi"/>
        </w:rPr>
        <w:t>przy stacji kolejowej / pętli autobusowej Gutkowo,</w:t>
      </w:r>
    </w:p>
    <w:p w14:paraId="32C64F05" w14:textId="77777777" w:rsidR="00111F42" w:rsidRPr="00111F42" w:rsidRDefault="00111F42" w:rsidP="00111F42">
      <w:pPr>
        <w:numPr>
          <w:ilvl w:val="0"/>
          <w:numId w:val="42"/>
        </w:numPr>
        <w:tabs>
          <w:tab w:val="left" w:pos="2268"/>
        </w:tabs>
        <w:jc w:val="both"/>
        <w:rPr>
          <w:rFonts w:cstheme="minorHAnsi"/>
        </w:rPr>
      </w:pPr>
      <w:r w:rsidRPr="00111F42">
        <w:rPr>
          <w:rFonts w:cstheme="minorHAnsi"/>
        </w:rPr>
        <w:t>ul. Kłosowa / Pętla autobusowa Dajtki,</w:t>
      </w:r>
    </w:p>
    <w:p w14:paraId="7CD2472F" w14:textId="77777777" w:rsidR="00111F42" w:rsidRPr="00111F42" w:rsidRDefault="00111F42" w:rsidP="00111F42">
      <w:pPr>
        <w:numPr>
          <w:ilvl w:val="0"/>
          <w:numId w:val="42"/>
        </w:numPr>
        <w:tabs>
          <w:tab w:val="left" w:pos="2268"/>
        </w:tabs>
        <w:jc w:val="both"/>
        <w:rPr>
          <w:rFonts w:cstheme="minorHAnsi"/>
        </w:rPr>
      </w:pPr>
      <w:r w:rsidRPr="00111F42">
        <w:rPr>
          <w:rFonts w:cstheme="minorHAnsi"/>
        </w:rPr>
        <w:t>Tęczowy Las,</w:t>
      </w:r>
    </w:p>
    <w:p w14:paraId="2A01C425" w14:textId="6784F1B2" w:rsidR="00111F42" w:rsidRDefault="00111F42" w:rsidP="00111F42">
      <w:pPr>
        <w:numPr>
          <w:ilvl w:val="0"/>
          <w:numId w:val="42"/>
        </w:numPr>
        <w:tabs>
          <w:tab w:val="left" w:pos="2268"/>
        </w:tabs>
        <w:jc w:val="both"/>
        <w:rPr>
          <w:rFonts w:cstheme="minorHAnsi"/>
        </w:rPr>
      </w:pPr>
      <w:r w:rsidRPr="00111F42">
        <w:rPr>
          <w:rFonts w:cstheme="minorHAnsi"/>
        </w:rPr>
        <w:t>ul. Cementowa.”</w:t>
      </w:r>
      <w:r>
        <w:rPr>
          <w:rStyle w:val="Odwoanieprzypisudolnego"/>
          <w:rFonts w:cstheme="minorHAnsi"/>
        </w:rPr>
        <w:footnoteReference w:id="121"/>
      </w:r>
    </w:p>
    <w:p w14:paraId="0DB27EED" w14:textId="77777777" w:rsidR="009A7930" w:rsidRDefault="009A7930">
      <w:pPr>
        <w:rPr>
          <w:rFonts w:ascii="Calibri" w:eastAsia="Calibri" w:hAnsi="Calibri" w:cs="Mangal"/>
          <w:i/>
          <w:iCs/>
          <w:color w:val="00000A"/>
          <w:kern w:val="1"/>
          <w:sz w:val="20"/>
          <w:szCs w:val="24"/>
        </w:rPr>
      </w:pPr>
      <w:r>
        <w:rPr>
          <w:sz w:val="20"/>
        </w:rPr>
        <w:br w:type="page"/>
      </w:r>
    </w:p>
    <w:p w14:paraId="72393691" w14:textId="73AE094B" w:rsidR="009A7930" w:rsidRPr="009A7930" w:rsidRDefault="009A7930" w:rsidP="009A7930">
      <w:pPr>
        <w:pStyle w:val="Legenda"/>
        <w:rPr>
          <w:rFonts w:asciiTheme="minorHAnsi" w:eastAsiaTheme="minorHAnsi" w:hAnsiTheme="minorHAnsi" w:cstheme="minorHAnsi"/>
          <w:i w:val="0"/>
          <w:iCs w:val="0"/>
          <w:color w:val="auto"/>
          <w:kern w:val="0"/>
          <w:sz w:val="22"/>
          <w:szCs w:val="22"/>
          <w:lang w:val="pl-PL"/>
        </w:rPr>
      </w:pPr>
      <w:bookmarkStart w:id="312" w:name="_Toc73516195"/>
      <w:r w:rsidRPr="009A7930">
        <w:rPr>
          <w:sz w:val="22"/>
          <w:szCs w:val="22"/>
          <w:lang w:val="pl-PL"/>
        </w:rPr>
        <w:lastRenderedPageBreak/>
        <w:t xml:space="preserve">Rysunek </w:t>
      </w:r>
      <w:r w:rsidRPr="009A7930">
        <w:rPr>
          <w:sz w:val="22"/>
          <w:szCs w:val="22"/>
        </w:rPr>
        <w:fldChar w:fldCharType="begin"/>
      </w:r>
      <w:r w:rsidRPr="009A7930">
        <w:rPr>
          <w:sz w:val="22"/>
          <w:szCs w:val="22"/>
          <w:lang w:val="pl-PL"/>
        </w:rPr>
        <w:instrText xml:space="preserve"> SEQ Rysunek \* ARABIC </w:instrText>
      </w:r>
      <w:r w:rsidRPr="009A7930">
        <w:rPr>
          <w:sz w:val="22"/>
          <w:szCs w:val="22"/>
        </w:rPr>
        <w:fldChar w:fldCharType="separate"/>
      </w:r>
      <w:r w:rsidR="00AD58C3">
        <w:rPr>
          <w:noProof/>
          <w:sz w:val="22"/>
          <w:szCs w:val="22"/>
          <w:lang w:val="pl-PL"/>
        </w:rPr>
        <w:t>30</w:t>
      </w:r>
      <w:r w:rsidRPr="009A7930">
        <w:rPr>
          <w:sz w:val="22"/>
          <w:szCs w:val="22"/>
        </w:rPr>
        <w:fldChar w:fldCharType="end"/>
      </w:r>
      <w:r w:rsidRPr="009A7930">
        <w:rPr>
          <w:sz w:val="22"/>
          <w:szCs w:val="22"/>
          <w:lang w:val="pl-PL"/>
        </w:rPr>
        <w:t>. Rekomendowane priorytetowe lokalizacje parkingów P+R</w:t>
      </w:r>
      <w:bookmarkEnd w:id="312"/>
      <w:r w:rsidRPr="009A7930">
        <w:rPr>
          <w:rFonts w:asciiTheme="minorHAnsi" w:eastAsiaTheme="minorHAnsi" w:hAnsiTheme="minorHAnsi" w:cstheme="minorHAnsi"/>
          <w:i w:val="0"/>
          <w:iCs w:val="0"/>
          <w:color w:val="auto"/>
          <w:kern w:val="0"/>
          <w:sz w:val="22"/>
          <w:szCs w:val="22"/>
          <w:lang w:val="pl-PL"/>
        </w:rPr>
        <w:t xml:space="preserve"> </w:t>
      </w:r>
    </w:p>
    <w:p w14:paraId="7545B70C" w14:textId="77777777" w:rsidR="00F17970" w:rsidRDefault="00111F42" w:rsidP="00F17970">
      <w:pPr>
        <w:keepNext/>
        <w:tabs>
          <w:tab w:val="left" w:pos="2268"/>
        </w:tabs>
        <w:jc w:val="center"/>
      </w:pPr>
      <w:r w:rsidRPr="00111F42">
        <w:rPr>
          <w:rFonts w:cstheme="minorHAnsi"/>
          <w:noProof/>
          <w:lang w:eastAsia="pl-PL"/>
        </w:rPr>
        <w:drawing>
          <wp:inline distT="0" distB="0" distL="0" distR="0" wp14:anchorId="58457BCF" wp14:editId="7CAB8891">
            <wp:extent cx="5636895" cy="4933315"/>
            <wp:effectExtent l="0" t="0" r="1905" b="635"/>
            <wp:docPr id="220" name="Obraz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2149"/>
                    <a:stretch/>
                  </pic:blipFill>
                  <pic:spPr bwMode="auto">
                    <a:xfrm>
                      <a:off x="0" y="0"/>
                      <a:ext cx="5636895" cy="4933315"/>
                    </a:xfrm>
                    <a:prstGeom prst="rect">
                      <a:avLst/>
                    </a:prstGeom>
                    <a:ln>
                      <a:noFill/>
                    </a:ln>
                    <a:extLst>
                      <a:ext uri="{53640926-AAD7-44D8-BBD7-CCE9431645EC}">
                        <a14:shadowObscured xmlns:a14="http://schemas.microsoft.com/office/drawing/2010/main"/>
                      </a:ext>
                    </a:extLst>
                  </pic:spPr>
                </pic:pic>
              </a:graphicData>
            </a:graphic>
          </wp:inline>
        </w:drawing>
      </w:r>
    </w:p>
    <w:p w14:paraId="240C9338" w14:textId="7B5BFA60" w:rsidR="00B56707" w:rsidRDefault="00B56707" w:rsidP="00B56707">
      <w:pPr>
        <w:spacing w:after="0" w:line="240" w:lineRule="auto"/>
        <w:jc w:val="center"/>
        <w:rPr>
          <w:i/>
          <w:sz w:val="20"/>
          <w:szCs w:val="20"/>
        </w:rPr>
      </w:pPr>
      <w:r>
        <w:rPr>
          <w:i/>
          <w:sz w:val="20"/>
          <w:szCs w:val="20"/>
        </w:rPr>
        <w:t>ź</w:t>
      </w:r>
      <w:r w:rsidR="00F17970" w:rsidRPr="00B56707">
        <w:rPr>
          <w:i/>
          <w:sz w:val="20"/>
          <w:szCs w:val="20"/>
        </w:rPr>
        <w:t>ródło danych: Analiza możliwości lokalizacji parkingów P+R w Olsztynie</w:t>
      </w:r>
    </w:p>
    <w:p w14:paraId="20CE92D7" w14:textId="66FD7208" w:rsidR="00111F42" w:rsidRPr="00B56707" w:rsidRDefault="00F17970" w:rsidP="00B56707">
      <w:pPr>
        <w:spacing w:after="0" w:line="240" w:lineRule="auto"/>
        <w:jc w:val="center"/>
        <w:rPr>
          <w:rFonts w:cstheme="minorHAnsi"/>
          <w:i/>
          <w:sz w:val="20"/>
          <w:szCs w:val="20"/>
        </w:rPr>
      </w:pPr>
      <w:r w:rsidRPr="00B56707">
        <w:rPr>
          <w:i/>
          <w:sz w:val="20"/>
          <w:szCs w:val="20"/>
        </w:rPr>
        <w:t>i jego obszarze funkcjonalnym (MOF Olsztyn) 2018. Podkład: Mapa Akustyczna Olsztyna; str. 10</w:t>
      </w:r>
    </w:p>
    <w:p w14:paraId="7991EC5B" w14:textId="6305F24B" w:rsidR="00111F42" w:rsidRDefault="00111F42" w:rsidP="00111F42">
      <w:pPr>
        <w:tabs>
          <w:tab w:val="left" w:pos="2268"/>
        </w:tabs>
        <w:jc w:val="both"/>
        <w:rPr>
          <w:rFonts w:cstheme="minorHAnsi"/>
        </w:rPr>
      </w:pPr>
    </w:p>
    <w:p w14:paraId="762D0B7F" w14:textId="77777777" w:rsidR="00111F42" w:rsidRDefault="00111F42" w:rsidP="00111F42">
      <w:pPr>
        <w:tabs>
          <w:tab w:val="left" w:pos="2268"/>
        </w:tabs>
        <w:jc w:val="both"/>
        <w:rPr>
          <w:rFonts w:cstheme="minorHAnsi"/>
        </w:rPr>
      </w:pPr>
    </w:p>
    <w:p w14:paraId="0FEBF53B" w14:textId="38A4D522" w:rsidR="00F25738" w:rsidRPr="00225677" w:rsidRDefault="00525C5D" w:rsidP="00525C5D">
      <w:pPr>
        <w:pStyle w:val="Nagwek2"/>
      </w:pPr>
      <w:bookmarkStart w:id="313" w:name="_Toc73534951"/>
      <w:r>
        <w:t xml:space="preserve">5.2 </w:t>
      </w:r>
      <w:r w:rsidR="00F25738" w:rsidRPr="00225677">
        <w:t>System kolejowy</w:t>
      </w:r>
      <w:bookmarkEnd w:id="313"/>
    </w:p>
    <w:p w14:paraId="0F592516" w14:textId="77777777" w:rsidR="00525C5D" w:rsidRDefault="00525C5D" w:rsidP="00F25738">
      <w:pPr>
        <w:jc w:val="both"/>
        <w:rPr>
          <w:rFonts w:cstheme="minorHAnsi"/>
        </w:rPr>
      </w:pPr>
    </w:p>
    <w:p w14:paraId="6A2B9FEA" w14:textId="3EB05D12" w:rsidR="00F25738" w:rsidRDefault="00F25738" w:rsidP="00F25738">
      <w:pPr>
        <w:jc w:val="both"/>
        <w:rPr>
          <w:rFonts w:ascii="Arial" w:hAnsi="Arial" w:cs="Arial"/>
        </w:rPr>
      </w:pPr>
      <w:r>
        <w:rPr>
          <w:rFonts w:cstheme="minorHAnsi"/>
        </w:rPr>
        <w:t>Przez Olsztyn przebiega 5 linii kolejowych</w:t>
      </w:r>
      <w:r w:rsidRPr="00342831">
        <w:rPr>
          <w:rFonts w:cstheme="minorHAnsi"/>
        </w:rPr>
        <w:t xml:space="preserve">: </w:t>
      </w:r>
      <w:r w:rsidRPr="00342831">
        <w:rPr>
          <w:rFonts w:cs="Arial"/>
        </w:rPr>
        <w:t>linia kolejowa nr 216</w:t>
      </w:r>
      <w:r>
        <w:rPr>
          <w:rFonts w:cs="Arial"/>
        </w:rPr>
        <w:t xml:space="preserve"> (Olsztyn Główny - Działdowo)</w:t>
      </w:r>
      <w:r w:rsidRPr="00342831">
        <w:rPr>
          <w:rFonts w:cs="Arial"/>
        </w:rPr>
        <w:t>, linia kolejowa nr 219</w:t>
      </w:r>
      <w:r>
        <w:rPr>
          <w:rFonts w:cs="Arial"/>
        </w:rPr>
        <w:t xml:space="preserve"> (Olsztyn Główny – Ełk)</w:t>
      </w:r>
      <w:r w:rsidRPr="00342831">
        <w:rPr>
          <w:rFonts w:cs="Arial"/>
        </w:rPr>
        <w:t>, linia kolejowa nr 220</w:t>
      </w:r>
      <w:r>
        <w:rPr>
          <w:rFonts w:cs="Arial"/>
        </w:rPr>
        <w:t xml:space="preserve"> (Olsztyn Główny – Bogaczewo)</w:t>
      </w:r>
      <w:r w:rsidRPr="00342831">
        <w:rPr>
          <w:rFonts w:cs="Arial"/>
        </w:rPr>
        <w:t xml:space="preserve">, linia kolejowa nr 221 </w:t>
      </w:r>
      <w:r>
        <w:rPr>
          <w:rFonts w:cs="Arial"/>
        </w:rPr>
        <w:t>(Olsztyn Główny</w:t>
      </w:r>
      <w:r w:rsidRPr="00342831">
        <w:rPr>
          <w:rFonts w:cs="Arial"/>
        </w:rPr>
        <w:t xml:space="preserve"> </w:t>
      </w:r>
      <w:r>
        <w:rPr>
          <w:rFonts w:cs="Arial"/>
        </w:rPr>
        <w:t xml:space="preserve">– Braniewo) </w:t>
      </w:r>
      <w:r w:rsidRPr="00342831">
        <w:rPr>
          <w:rFonts w:cs="Arial"/>
        </w:rPr>
        <w:t>oraz linia kolejowa nr 353</w:t>
      </w:r>
      <w:r>
        <w:rPr>
          <w:rFonts w:cs="Arial"/>
        </w:rPr>
        <w:t xml:space="preserve"> (Poznań Główny – Skandawa)</w:t>
      </w:r>
      <w:r w:rsidRPr="00342831">
        <w:rPr>
          <w:rFonts w:cs="Arial"/>
        </w:rPr>
        <w:t xml:space="preserve">. </w:t>
      </w:r>
      <w:r w:rsidR="004C4C03">
        <w:rPr>
          <w:rFonts w:cs="Arial"/>
        </w:rPr>
        <w:t>Zarządcą w</w:t>
      </w:r>
      <w:r w:rsidRPr="00342831">
        <w:rPr>
          <w:rFonts w:cs="Arial"/>
        </w:rPr>
        <w:t>szystki</w:t>
      </w:r>
      <w:r w:rsidR="004C4C03">
        <w:rPr>
          <w:rFonts w:cs="Arial"/>
        </w:rPr>
        <w:t>ch</w:t>
      </w:r>
      <w:r w:rsidRPr="00342831">
        <w:rPr>
          <w:rFonts w:cs="Arial"/>
        </w:rPr>
        <w:t xml:space="preserve"> t</w:t>
      </w:r>
      <w:r w:rsidR="004C4C03">
        <w:rPr>
          <w:rFonts w:cs="Arial"/>
        </w:rPr>
        <w:t>ych</w:t>
      </w:r>
      <w:r w:rsidRPr="00342831">
        <w:rPr>
          <w:rFonts w:cs="Arial"/>
        </w:rPr>
        <w:t xml:space="preserve"> lini</w:t>
      </w:r>
      <w:r w:rsidR="004C4C03">
        <w:rPr>
          <w:rFonts w:cs="Arial"/>
        </w:rPr>
        <w:t xml:space="preserve">i </w:t>
      </w:r>
      <w:r w:rsidRPr="00342831">
        <w:rPr>
          <w:rFonts w:cs="Arial"/>
        </w:rPr>
        <w:t>jest PKP PLK S.A.</w:t>
      </w:r>
      <w:r>
        <w:rPr>
          <w:rFonts w:ascii="Arial" w:hAnsi="Arial" w:cs="Arial"/>
        </w:rPr>
        <w:t xml:space="preserve"> </w:t>
      </w:r>
    </w:p>
    <w:p w14:paraId="26A2B8CA" w14:textId="77777777" w:rsidR="00F25738" w:rsidRPr="00342831" w:rsidRDefault="00F25738" w:rsidP="00F25738">
      <w:pPr>
        <w:jc w:val="both"/>
        <w:rPr>
          <w:color w:val="000000" w:themeColor="text1"/>
        </w:rPr>
      </w:pPr>
      <w:r w:rsidRPr="00ED4EDD">
        <w:rPr>
          <w:rFonts w:cstheme="minorHAnsi"/>
        </w:rPr>
        <w:t xml:space="preserve">Na dworcu Olsztyn Główny zatrzymują się pociągi dwóch przewoźników: PKP Intercity S.A. oraz Przewozy Regionalne sp. z o.o. PKP Intercity zapewnia połączenia dalekobieżne, a na obszarze MOF Olsztyna ich pociągi zatrzymują się jedynie na stacjach Olsztyn Główny i Olsztyn Zachodni. </w:t>
      </w:r>
      <w:r w:rsidRPr="00342831">
        <w:rPr>
          <w:color w:val="000000" w:themeColor="text1"/>
        </w:rPr>
        <w:t xml:space="preserve">Bezpośrednimi połączeniami kolejowymi Olsztyn jest połączony z </w:t>
      </w:r>
      <w:r w:rsidRPr="009B6643">
        <w:rPr>
          <w:color w:val="000000" w:themeColor="text1"/>
        </w:rPr>
        <w:t>Warszawą, Łodzią, Poznaniem, Wrocławiem, Zieloną Górą, Krakowem, Bielsko-Białą, Bydgoszczą, Toruniem, Kielcami, Katowicami, Gdynią, Szczecinem, Białymstokiem.</w:t>
      </w:r>
      <w:r w:rsidRPr="00342831">
        <w:rPr>
          <w:color w:val="000000" w:themeColor="text1"/>
        </w:rPr>
        <w:t xml:space="preserve"> </w:t>
      </w:r>
      <w:r w:rsidRPr="00225677">
        <w:rPr>
          <w:rFonts w:cs="Arial"/>
        </w:rPr>
        <w:t xml:space="preserve">W porównaniu do </w:t>
      </w:r>
      <w:r>
        <w:rPr>
          <w:rFonts w:cs="Arial"/>
        </w:rPr>
        <w:t xml:space="preserve">lat ubiegłych </w:t>
      </w:r>
      <w:r w:rsidRPr="00225677">
        <w:rPr>
          <w:rFonts w:cs="Arial"/>
        </w:rPr>
        <w:t xml:space="preserve">oferta kolejowa </w:t>
      </w:r>
      <w:r>
        <w:rPr>
          <w:rFonts w:cs="Arial"/>
        </w:rPr>
        <w:t xml:space="preserve">uległa </w:t>
      </w:r>
      <w:r w:rsidRPr="00225677">
        <w:rPr>
          <w:rFonts w:cs="Arial"/>
        </w:rPr>
        <w:t>poprawi</w:t>
      </w:r>
      <w:r>
        <w:rPr>
          <w:rFonts w:cs="Arial"/>
        </w:rPr>
        <w:t xml:space="preserve">e, w szczególności </w:t>
      </w:r>
      <w:r w:rsidRPr="00225677">
        <w:rPr>
          <w:rFonts w:cs="Arial"/>
        </w:rPr>
        <w:t>pod względem czasu i komfortu podróży w kierunku Warszawy.</w:t>
      </w:r>
    </w:p>
    <w:p w14:paraId="4B97DC9F" w14:textId="0EFD7AC9" w:rsidR="00F25738" w:rsidRDefault="00F25738" w:rsidP="00F25738">
      <w:pPr>
        <w:tabs>
          <w:tab w:val="left" w:pos="2268"/>
        </w:tabs>
        <w:spacing w:after="120"/>
        <w:jc w:val="both"/>
        <w:rPr>
          <w:rFonts w:ascii="Arial" w:hAnsi="Arial" w:cs="Arial"/>
          <w:sz w:val="26"/>
          <w:szCs w:val="26"/>
        </w:rPr>
      </w:pPr>
      <w:r w:rsidRPr="00ED4EDD">
        <w:rPr>
          <w:rFonts w:cstheme="minorHAnsi"/>
        </w:rPr>
        <w:lastRenderedPageBreak/>
        <w:t xml:space="preserve">Przewozy Regionalne sp. z o.o. zapewniają połączenia wojewódzkie i ich pociągi mogą być wykorzystywane przez mieszkańców MOF Olsztyna w dojazdach do miasta. </w:t>
      </w:r>
      <w:r>
        <w:rPr>
          <w:rFonts w:cstheme="minorHAnsi"/>
        </w:rPr>
        <w:t>Obecnie prowadzone są poważn</w:t>
      </w:r>
      <w:r w:rsidRPr="00ED4EDD">
        <w:rPr>
          <w:rFonts w:cstheme="minorHAnsi"/>
        </w:rPr>
        <w:t>e inwestycje modernizacyjne na liniach kolejowych (linia nr 220 na odcinku Olsztyn – Gutkowo, linia nr 216 na odcinku Olsztyn – Działdowo wraz z przebudową Dworca Głównego w Olsztynie) lub też planowane są w najbliższej przyszłości (linia nr 221 na odcinku Gutkowo – Braniewo</w:t>
      </w:r>
      <w:r>
        <w:rPr>
          <w:rFonts w:cstheme="minorHAnsi"/>
        </w:rPr>
        <w:t xml:space="preserve"> oraz</w:t>
      </w:r>
      <w:r w:rsidRPr="00354B09">
        <w:t xml:space="preserve"> </w:t>
      </w:r>
      <w:r>
        <w:t xml:space="preserve">linia nr 353 </w:t>
      </w:r>
      <w:r w:rsidRPr="00354B09">
        <w:rPr>
          <w:rFonts w:cstheme="minorHAnsi"/>
        </w:rPr>
        <w:t>na odcinku Iława – Olsztyn – Korsze – granica państwa</w:t>
      </w:r>
      <w:r w:rsidRPr="00ED4EDD">
        <w:rPr>
          <w:rFonts w:cstheme="minorHAnsi"/>
        </w:rPr>
        <w:t xml:space="preserve">). Plany modernizacji obejmują też utworzenie nowych przystanków kolejowych w Olsztynie i jego obszarze funkcjonalnym, co może pomóc </w:t>
      </w:r>
      <w:r>
        <w:rPr>
          <w:rFonts w:cstheme="minorHAnsi"/>
        </w:rPr>
        <w:br/>
      </w:r>
      <w:r w:rsidRPr="00ED4EDD">
        <w:rPr>
          <w:rFonts w:cstheme="minorHAnsi"/>
        </w:rPr>
        <w:t>w utworzeniu w przyszłości kolei aglomeracyjnej (w połowie grudnia 2019 r. otwarty został przystanek Olsztyn Śródmieście).</w:t>
      </w:r>
      <w:r w:rsidRPr="00225677">
        <w:rPr>
          <w:rFonts w:ascii="Arial" w:hAnsi="Arial" w:cs="Arial"/>
          <w:sz w:val="26"/>
          <w:szCs w:val="26"/>
        </w:rPr>
        <w:t xml:space="preserve"> </w:t>
      </w:r>
    </w:p>
    <w:p w14:paraId="2D5C27CB" w14:textId="4ECBF4E5" w:rsidR="00CA1506" w:rsidRPr="002178EE" w:rsidRDefault="00CA1506" w:rsidP="00CA1506">
      <w:pPr>
        <w:pStyle w:val="Legenda"/>
        <w:rPr>
          <w:rFonts w:cstheme="minorHAnsi"/>
          <w:sz w:val="22"/>
          <w:szCs w:val="22"/>
        </w:rPr>
      </w:pPr>
      <w:bookmarkStart w:id="314" w:name="_Toc73516196"/>
      <w:r w:rsidRPr="002178EE">
        <w:rPr>
          <w:sz w:val="22"/>
          <w:szCs w:val="22"/>
        </w:rPr>
        <w:t xml:space="preserve">Rysunek </w:t>
      </w:r>
      <w:r w:rsidRPr="002178EE">
        <w:rPr>
          <w:sz w:val="22"/>
          <w:szCs w:val="22"/>
        </w:rPr>
        <w:fldChar w:fldCharType="begin"/>
      </w:r>
      <w:r w:rsidRPr="002178EE">
        <w:rPr>
          <w:sz w:val="22"/>
          <w:szCs w:val="22"/>
        </w:rPr>
        <w:instrText xml:space="preserve"> SEQ Rysunek \* ARABIC </w:instrText>
      </w:r>
      <w:r w:rsidRPr="002178EE">
        <w:rPr>
          <w:sz w:val="22"/>
          <w:szCs w:val="22"/>
        </w:rPr>
        <w:fldChar w:fldCharType="separate"/>
      </w:r>
      <w:r w:rsidR="00AD58C3">
        <w:rPr>
          <w:noProof/>
          <w:sz w:val="22"/>
          <w:szCs w:val="22"/>
        </w:rPr>
        <w:t>31</w:t>
      </w:r>
      <w:r w:rsidRPr="002178EE">
        <w:rPr>
          <w:sz w:val="22"/>
          <w:szCs w:val="22"/>
        </w:rPr>
        <w:fldChar w:fldCharType="end"/>
      </w:r>
      <w:r w:rsidRPr="002178EE">
        <w:rPr>
          <w:sz w:val="22"/>
          <w:szCs w:val="22"/>
        </w:rPr>
        <w:t xml:space="preserve">. Połączenia kolejowe </w:t>
      </w:r>
      <w:r w:rsidR="002178EE" w:rsidRPr="002178EE">
        <w:rPr>
          <w:sz w:val="22"/>
          <w:szCs w:val="22"/>
        </w:rPr>
        <w:t>na terenie MOF</w:t>
      </w:r>
      <w:r w:rsidRPr="002178EE">
        <w:rPr>
          <w:sz w:val="22"/>
          <w:szCs w:val="22"/>
        </w:rPr>
        <w:t xml:space="preserve"> Olsztyna</w:t>
      </w:r>
      <w:bookmarkEnd w:id="314"/>
      <w:r w:rsidRPr="002178EE">
        <w:rPr>
          <w:sz w:val="22"/>
          <w:szCs w:val="22"/>
        </w:rPr>
        <w:t xml:space="preserve"> </w:t>
      </w:r>
    </w:p>
    <w:p w14:paraId="1BF7A54B" w14:textId="77777777" w:rsidR="00F25738" w:rsidRDefault="00F25738" w:rsidP="00F25738">
      <w:pPr>
        <w:tabs>
          <w:tab w:val="left" w:pos="2268"/>
        </w:tabs>
        <w:spacing w:after="120"/>
        <w:jc w:val="center"/>
        <w:rPr>
          <w:rFonts w:cstheme="minorHAnsi"/>
        </w:rPr>
      </w:pPr>
      <w:r>
        <w:rPr>
          <w:rFonts w:cstheme="minorHAnsi"/>
          <w:noProof/>
          <w:lang w:eastAsia="pl-PL"/>
        </w:rPr>
        <w:drawing>
          <wp:inline distT="0" distB="0" distL="0" distR="0" wp14:anchorId="3888AC9F" wp14:editId="6E5316CB">
            <wp:extent cx="5745193" cy="3652175"/>
            <wp:effectExtent l="0" t="0" r="8255" b="5715"/>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linie kolejowe zarządzane przez PKP_dostęp 20-10-2020.jpg"/>
                    <pic:cNvPicPr/>
                  </pic:nvPicPr>
                  <pic:blipFill>
                    <a:blip r:embed="rId152">
                      <a:extLst>
                        <a:ext uri="{28A0092B-C50C-407E-A947-70E740481C1C}">
                          <a14:useLocalDpi xmlns:a14="http://schemas.microsoft.com/office/drawing/2010/main" val="0"/>
                        </a:ext>
                      </a:extLst>
                    </a:blip>
                    <a:stretch>
                      <a:fillRect/>
                    </a:stretch>
                  </pic:blipFill>
                  <pic:spPr>
                    <a:xfrm>
                      <a:off x="0" y="0"/>
                      <a:ext cx="5768171" cy="3666782"/>
                    </a:xfrm>
                    <a:prstGeom prst="rect">
                      <a:avLst/>
                    </a:prstGeom>
                  </pic:spPr>
                </pic:pic>
              </a:graphicData>
            </a:graphic>
          </wp:inline>
        </w:drawing>
      </w:r>
    </w:p>
    <w:p w14:paraId="068CE672" w14:textId="77777777" w:rsidR="00F25738" w:rsidRPr="002178EE" w:rsidRDefault="00F25738" w:rsidP="00F25738">
      <w:pPr>
        <w:tabs>
          <w:tab w:val="left" w:pos="2268"/>
        </w:tabs>
        <w:spacing w:after="0" w:line="240" w:lineRule="auto"/>
        <w:jc w:val="center"/>
        <w:rPr>
          <w:i/>
          <w:sz w:val="20"/>
          <w:szCs w:val="20"/>
        </w:rPr>
      </w:pPr>
      <w:r w:rsidRPr="002178EE">
        <w:rPr>
          <w:rFonts w:cstheme="minorHAnsi"/>
          <w:i/>
          <w:sz w:val="20"/>
          <w:szCs w:val="20"/>
        </w:rPr>
        <w:t>źródło: m</w:t>
      </w:r>
      <w:r w:rsidRPr="002178EE">
        <w:rPr>
          <w:i/>
          <w:sz w:val="20"/>
          <w:szCs w:val="20"/>
        </w:rPr>
        <w:t xml:space="preserve">apa opracowana przez PKP Polskie Linie Kolejowe S.A. </w:t>
      </w:r>
    </w:p>
    <w:p w14:paraId="66715FBB" w14:textId="77777777" w:rsidR="00F25738" w:rsidRPr="002178EE" w:rsidRDefault="00D22FE8" w:rsidP="00F25738">
      <w:pPr>
        <w:tabs>
          <w:tab w:val="left" w:pos="2268"/>
        </w:tabs>
        <w:spacing w:after="0" w:line="240" w:lineRule="auto"/>
        <w:jc w:val="center"/>
        <w:rPr>
          <w:i/>
          <w:color w:val="000000" w:themeColor="text1"/>
        </w:rPr>
      </w:pPr>
      <w:hyperlink r:id="rId153" w:history="1">
        <w:r w:rsidR="00F25738" w:rsidRPr="002178EE">
          <w:rPr>
            <w:rStyle w:val="Hipercze"/>
            <w:i/>
            <w:color w:val="000000" w:themeColor="text1"/>
            <w:sz w:val="20"/>
            <w:szCs w:val="20"/>
          </w:rPr>
          <w:t>https://www.plk-sa.pl/biuro-prasowe/mapy/</w:t>
        </w:r>
      </w:hyperlink>
      <w:r w:rsidR="00F25738" w:rsidRPr="002178EE">
        <w:rPr>
          <w:i/>
          <w:color w:val="000000" w:themeColor="text1"/>
          <w:sz w:val="20"/>
          <w:szCs w:val="20"/>
        </w:rPr>
        <w:t xml:space="preserve"> (dostęp: 20-10-2020 r.)</w:t>
      </w:r>
    </w:p>
    <w:p w14:paraId="26726B3E" w14:textId="77777777" w:rsidR="00F25738" w:rsidRPr="00ED4EDD" w:rsidRDefault="00F25738" w:rsidP="00F25738">
      <w:pPr>
        <w:tabs>
          <w:tab w:val="left" w:pos="2268"/>
        </w:tabs>
        <w:spacing w:after="0" w:line="240" w:lineRule="auto"/>
        <w:jc w:val="center"/>
        <w:rPr>
          <w:rFonts w:cstheme="minorHAnsi"/>
        </w:rPr>
      </w:pPr>
    </w:p>
    <w:p w14:paraId="0E88E8FE" w14:textId="0D5CA329" w:rsidR="00F25738" w:rsidRPr="00525C5D" w:rsidRDefault="00525C5D" w:rsidP="00525C5D">
      <w:pPr>
        <w:pStyle w:val="Nagwek2"/>
        <w:rPr>
          <w:rStyle w:val="Nagwek2Znak"/>
        </w:rPr>
      </w:pPr>
      <w:bookmarkStart w:id="315" w:name="_Toc525025508"/>
      <w:bookmarkStart w:id="316" w:name="_Toc50727121"/>
      <w:bookmarkStart w:id="317" w:name="_Toc54695535"/>
      <w:bookmarkStart w:id="318" w:name="_Toc73534952"/>
      <w:r w:rsidRPr="00525C5D">
        <w:rPr>
          <w:rStyle w:val="Nagwek2Znak"/>
        </w:rPr>
        <w:t xml:space="preserve">5.3 </w:t>
      </w:r>
      <w:r w:rsidR="00F25738" w:rsidRPr="00525C5D">
        <w:rPr>
          <w:rStyle w:val="Nagwek2Znak"/>
        </w:rPr>
        <w:t>Węzły przesiadkowe</w:t>
      </w:r>
      <w:bookmarkEnd w:id="315"/>
      <w:bookmarkEnd w:id="316"/>
      <w:bookmarkEnd w:id="317"/>
      <w:bookmarkEnd w:id="318"/>
    </w:p>
    <w:p w14:paraId="355F05FB" w14:textId="1DF3F609" w:rsidR="00F25738" w:rsidRPr="00ED4EDD" w:rsidRDefault="00F25738" w:rsidP="00F25738">
      <w:pPr>
        <w:tabs>
          <w:tab w:val="left" w:pos="2268"/>
        </w:tabs>
        <w:spacing w:after="120"/>
        <w:jc w:val="both"/>
        <w:rPr>
          <w:rFonts w:cstheme="minorHAnsi"/>
        </w:rPr>
      </w:pPr>
      <w:r w:rsidRPr="00ED4EDD">
        <w:rPr>
          <w:rFonts w:cstheme="minorHAnsi"/>
        </w:rPr>
        <w:t xml:space="preserve">Istnieje jeden intermodalny węzeł przesiadkowy w MOF Olsztyna – przy dworcu Olsztyn Główny (obejmuje też takie środki transportu jak kolej i autobusy dalekobieżne). Infrastruktura tego węzła jest jednak niewystarczająca. Powstała już jego miejska część integrująca transport tramwajowy </w:t>
      </w:r>
      <w:r>
        <w:rPr>
          <w:rFonts w:cstheme="minorHAnsi"/>
        </w:rPr>
        <w:br/>
      </w:r>
      <w:r w:rsidRPr="00ED4EDD">
        <w:rPr>
          <w:rFonts w:cstheme="minorHAnsi"/>
        </w:rPr>
        <w:t xml:space="preserve">i autobusowy. Ma on być docelowo włączony w infrastrukturę Dworca Głównego, którego długo oczekiwany remont nie został jeszcze rozpoczęty. Nie jest też obecnie znana przyszłość dworca autobusowego, który ma innego właściciela. </w:t>
      </w:r>
      <w:r w:rsidR="00A135B5">
        <w:rPr>
          <w:rFonts w:cstheme="minorHAnsi"/>
        </w:rPr>
        <w:t xml:space="preserve">Zatem jego integracja z </w:t>
      </w:r>
      <w:r w:rsidRPr="00ED4EDD">
        <w:rPr>
          <w:rFonts w:cstheme="minorHAnsi"/>
        </w:rPr>
        <w:t>budynkiem galerii handlowej również pozostaje w sferze planów.</w:t>
      </w:r>
    </w:p>
    <w:p w14:paraId="19754062" w14:textId="77777777" w:rsidR="00F25738" w:rsidRDefault="00F25738" w:rsidP="00F25738">
      <w:pPr>
        <w:jc w:val="both"/>
        <w:rPr>
          <w:rFonts w:cs="Arial"/>
          <w:b/>
        </w:rPr>
      </w:pPr>
    </w:p>
    <w:p w14:paraId="4233AD0B" w14:textId="30CAA67D" w:rsidR="00F25738" w:rsidRPr="00525748" w:rsidRDefault="00525C5D" w:rsidP="00525C5D">
      <w:pPr>
        <w:pStyle w:val="Nagwek2"/>
      </w:pPr>
      <w:bookmarkStart w:id="319" w:name="_Toc73534953"/>
      <w:r>
        <w:t xml:space="preserve">5.4 </w:t>
      </w:r>
      <w:r w:rsidR="00F25738" w:rsidRPr="00525748">
        <w:t>Transport lotniczy</w:t>
      </w:r>
      <w:bookmarkEnd w:id="319"/>
    </w:p>
    <w:p w14:paraId="538256BC" w14:textId="787850B3" w:rsidR="00F25738" w:rsidRPr="008654F0" w:rsidRDefault="00F25738" w:rsidP="00F25738">
      <w:pPr>
        <w:jc w:val="both"/>
        <w:rPr>
          <w:rFonts w:cs="Arial"/>
          <w:color w:val="000000" w:themeColor="text1"/>
          <w:sz w:val="26"/>
          <w:szCs w:val="26"/>
        </w:rPr>
      </w:pPr>
      <w:r w:rsidRPr="00525748">
        <w:rPr>
          <w:rFonts w:cs="Arial"/>
        </w:rPr>
        <w:t xml:space="preserve">Na terenie Olsztyna i gmin MOF brak lotniska obsługującego pasażerów. Najbliższy port lotniczy Olsztyn-Mazury, funkcjonujący od 2016 roku, znajduje się 58 km na południowy wschód od centrum Olsztyna w miejscowości Szymany. Na lotnisko możliwy jest bezpośredni dojazd pociągami </w:t>
      </w:r>
      <w:r w:rsidRPr="00525748">
        <w:rPr>
          <w:rFonts w:cs="Arial"/>
        </w:rPr>
        <w:lastRenderedPageBreak/>
        <w:t xml:space="preserve">regionalnymi z Olsztyna Głównego, a przejazd w jedną stronę zajmuje 55 minut. </w:t>
      </w:r>
      <w:r w:rsidRPr="008654F0">
        <w:rPr>
          <w:rFonts w:cs="Arial"/>
          <w:color w:val="000000" w:themeColor="text1"/>
        </w:rPr>
        <w:t>Obecnie (</w:t>
      </w:r>
      <w:r w:rsidR="004877C1" w:rsidRPr="008654F0">
        <w:rPr>
          <w:rFonts w:cs="Arial"/>
          <w:color w:val="000000" w:themeColor="text1"/>
        </w:rPr>
        <w:t>maj 2021</w:t>
      </w:r>
      <w:r w:rsidRPr="008654F0">
        <w:rPr>
          <w:rFonts w:cs="Arial"/>
          <w:color w:val="000000" w:themeColor="text1"/>
        </w:rPr>
        <w:t xml:space="preserve"> r.) port lotniczy Olsztyn-Mazury obsługuje połączenia rejsowe do Londynu, Dortmundu oraz Krakowa</w:t>
      </w:r>
      <w:r w:rsidR="004877C1" w:rsidRPr="008654F0">
        <w:rPr>
          <w:rFonts w:cs="Arial"/>
          <w:color w:val="000000" w:themeColor="text1"/>
        </w:rPr>
        <w:t xml:space="preserve"> </w:t>
      </w:r>
      <w:r w:rsidR="004877C1" w:rsidRPr="008654F0">
        <w:rPr>
          <w:rFonts w:cs="Arial"/>
          <w:color w:val="000000" w:themeColor="text1"/>
        </w:rPr>
        <w:br/>
        <w:t>i Wrocławia</w:t>
      </w:r>
      <w:r w:rsidRPr="008654F0">
        <w:rPr>
          <w:rFonts w:cs="Arial"/>
          <w:color w:val="000000" w:themeColor="text1"/>
        </w:rPr>
        <w:t>.</w:t>
      </w:r>
      <w:r w:rsidR="00D96868">
        <w:rPr>
          <w:rFonts w:cs="Arial"/>
          <w:color w:val="000000" w:themeColor="text1"/>
        </w:rPr>
        <w:t xml:space="preserve"> Planowane jest uruchomienie kolejnych kierunków, od lipca 2021 r. do września 2021 r. real</w:t>
      </w:r>
      <w:r w:rsidR="006D668E">
        <w:rPr>
          <w:rFonts w:cs="Arial"/>
          <w:color w:val="000000" w:themeColor="text1"/>
        </w:rPr>
        <w:t>izowane będą rejsy do Chorwacji</w:t>
      </w:r>
      <w:r w:rsidR="00D96868">
        <w:rPr>
          <w:rFonts w:cs="Arial"/>
          <w:color w:val="000000" w:themeColor="text1"/>
        </w:rPr>
        <w:t>.</w:t>
      </w:r>
    </w:p>
    <w:p w14:paraId="5E11EF83" w14:textId="7AA04B1B" w:rsidR="000E4F5A" w:rsidRDefault="000E4F5A" w:rsidP="00F25738">
      <w:pPr>
        <w:rPr>
          <w:color w:val="FF0000"/>
        </w:rPr>
      </w:pPr>
    </w:p>
    <w:p w14:paraId="329221D7" w14:textId="72DECC46" w:rsidR="00B41F45" w:rsidRPr="00B41F45" w:rsidRDefault="00B41F45" w:rsidP="00B41F45">
      <w:pPr>
        <w:pStyle w:val="Nagwek1"/>
        <w:numPr>
          <w:ilvl w:val="0"/>
          <w:numId w:val="31"/>
        </w:numPr>
        <w:spacing w:before="0" w:after="160"/>
        <w:ind w:left="284" w:hanging="284"/>
        <w:rPr>
          <w:rFonts w:asciiTheme="minorHAnsi" w:hAnsiTheme="minorHAnsi" w:cstheme="minorHAnsi"/>
        </w:rPr>
      </w:pPr>
      <w:bookmarkStart w:id="320" w:name="_Toc73534954"/>
      <w:r w:rsidRPr="00B41F45">
        <w:rPr>
          <w:rFonts w:asciiTheme="minorHAnsi" w:hAnsiTheme="minorHAnsi" w:cstheme="minorHAnsi"/>
        </w:rPr>
        <w:t>Uwarunkowania związane z pandemią COVID-19</w:t>
      </w:r>
      <w:bookmarkEnd w:id="320"/>
    </w:p>
    <w:p w14:paraId="2B2909ED" w14:textId="55998938" w:rsidR="00B41F45" w:rsidRDefault="00B41F45" w:rsidP="00B41F45">
      <w:pPr>
        <w:jc w:val="both"/>
        <w:rPr>
          <w:rFonts w:eastAsiaTheme="minorEastAsia" w:cs="Times New Roman"/>
          <w:szCs w:val="21"/>
        </w:rPr>
      </w:pPr>
      <w:r w:rsidRPr="00E05970">
        <w:rPr>
          <w:rFonts w:eastAsiaTheme="minorEastAsia" w:cs="Times New Roman"/>
          <w:szCs w:val="21"/>
        </w:rPr>
        <w:t>Pandemia COVID-19 wpłynęła na wszystkie dziedziny życia społeczno-gospodarczego, na nasze zdrowie, gospodarkę i na społeczeństwo jako całość. Długookresowe, a nawet średniookresowe skutki tego zjawiska trudno jednak w tej chwili ocenić. Można natomiast wyróżnić obszary, w których wpływ pandemii z pewnością będzie szczególnie widoczny.</w:t>
      </w:r>
    </w:p>
    <w:p w14:paraId="7E320EA5" w14:textId="77777777" w:rsidR="00B41F45" w:rsidRPr="00E05970" w:rsidRDefault="00B41F45" w:rsidP="00B41F45">
      <w:pPr>
        <w:jc w:val="both"/>
        <w:rPr>
          <w:rFonts w:eastAsiaTheme="minorEastAsia" w:cs="Times New Roman"/>
          <w:szCs w:val="21"/>
        </w:rPr>
      </w:pPr>
    </w:p>
    <w:p w14:paraId="606E9440" w14:textId="77777777" w:rsidR="00B41F45" w:rsidRPr="00B41F45" w:rsidRDefault="00B41F45" w:rsidP="00B41F45">
      <w:pPr>
        <w:pStyle w:val="Nagwek2"/>
        <w:spacing w:before="0" w:after="160"/>
        <w:rPr>
          <w:rFonts w:cstheme="minorHAnsi"/>
        </w:rPr>
      </w:pPr>
      <w:bookmarkStart w:id="321" w:name="_Toc73534955"/>
      <w:r w:rsidRPr="00B41F45">
        <w:rPr>
          <w:rFonts w:cstheme="minorHAnsi"/>
        </w:rPr>
        <w:t>6.1. Przyspieszenie cyfryzacji</w:t>
      </w:r>
      <w:bookmarkEnd w:id="321"/>
    </w:p>
    <w:p w14:paraId="0D3A3C36" w14:textId="77777777" w:rsidR="00B41F45" w:rsidRPr="00E05970" w:rsidRDefault="00B41F45" w:rsidP="00B41F45">
      <w:pPr>
        <w:jc w:val="both"/>
        <w:rPr>
          <w:rFonts w:eastAsiaTheme="minorEastAsia" w:cs="Times New Roman"/>
          <w:szCs w:val="21"/>
        </w:rPr>
      </w:pPr>
      <w:r w:rsidRPr="00E05970">
        <w:rPr>
          <w:rFonts w:eastAsiaTheme="minorEastAsia" w:cs="Times New Roman"/>
          <w:szCs w:val="21"/>
        </w:rPr>
        <w:t>Dostępne szacunki</w:t>
      </w:r>
      <w:r w:rsidRPr="00E05970">
        <w:rPr>
          <w:rFonts w:eastAsiaTheme="minorEastAsia" w:cs="Times New Roman"/>
          <w:szCs w:val="21"/>
          <w:vertAlign w:val="superscript"/>
        </w:rPr>
        <w:footnoteReference w:id="122"/>
      </w:r>
      <w:r w:rsidRPr="00E05970">
        <w:rPr>
          <w:rFonts w:eastAsiaTheme="minorEastAsia" w:cs="Times New Roman"/>
          <w:szCs w:val="21"/>
        </w:rPr>
        <w:t xml:space="preserve"> wskazują, iż w obszarach e-państwa, e-kompetencji czy gospodarki opartej na danych Polska dopiero w 2023 r. osiągnie poziom średniej UE z 2019 r. Obecnie wskaźniki dot. </w:t>
      </w:r>
      <w:r w:rsidRPr="00E05970">
        <w:rPr>
          <w:rFonts w:eastAsiaTheme="minorEastAsia" w:cs="Times New Roman"/>
          <w:szCs w:val="21"/>
        </w:rPr>
        <w:br/>
        <w:t>e-państwa: korzystanie z e-administracji to zaledwie 73% średniej UE, umówienie wizyty lekarskiej przez Internet - 59%, natomiast odsetek przedsiębiorstw analizujących dane – 67% średniej UE. Specjaliści z sektora TIK pracują w 12% polskich firm, średnia europejska wynosi 19%. Mniej polskich przedsiębiorstw, niż średnio w UE korzysta też z nowoczesnych usług cyfrowych i dba o kwestie cyberbezpieczeństwa. Według Eurostatu w 2015 r. 13% firm w Polsce używających komputerów miało politykę dotyczącą cyberbezpieczeństwa, średnio w UE 32%, a w Szwecji 51%.</w:t>
      </w:r>
    </w:p>
    <w:p w14:paraId="0E2498BF" w14:textId="77777777" w:rsidR="00B41F45" w:rsidRPr="00E05970" w:rsidRDefault="00B41F45" w:rsidP="00B41F45">
      <w:pPr>
        <w:jc w:val="both"/>
        <w:rPr>
          <w:rFonts w:eastAsiaTheme="minorEastAsia" w:cs="Times New Roman"/>
          <w:szCs w:val="21"/>
        </w:rPr>
      </w:pPr>
      <w:r w:rsidRPr="00E05970">
        <w:rPr>
          <w:rFonts w:eastAsiaTheme="minorEastAsia" w:cs="Times New Roman"/>
          <w:szCs w:val="21"/>
        </w:rPr>
        <w:t>Dane opublikowane przez GUS</w:t>
      </w:r>
      <w:r w:rsidRPr="00E05970">
        <w:rPr>
          <w:rStyle w:val="Odwoanieprzypisudolnego"/>
          <w:rFonts w:eastAsiaTheme="minorEastAsia" w:cs="Times New Roman"/>
          <w:szCs w:val="21"/>
        </w:rPr>
        <w:footnoteReference w:id="123"/>
      </w:r>
      <w:r w:rsidRPr="00E05970">
        <w:rPr>
          <w:rFonts w:eastAsiaTheme="minorEastAsia" w:cs="Times New Roman"/>
          <w:szCs w:val="21"/>
        </w:rPr>
        <w:t xml:space="preserve"> wskazują, że wśród osób w wieku 16-75 lat blisko ¼ pracujących </w:t>
      </w:r>
      <w:r w:rsidRPr="00E05970">
        <w:rPr>
          <w:rFonts w:eastAsiaTheme="minorEastAsia" w:cs="Times New Roman"/>
          <w:szCs w:val="21"/>
        </w:rPr>
        <w:br/>
        <w:t xml:space="preserve">w Polsce, skorzystała z możliwości pracy zdalnej podczas epidemii COVID-19. Najwyższy odsetek odnotowano w zawodach związanych z ICT - 67,8%. </w:t>
      </w:r>
    </w:p>
    <w:p w14:paraId="2D04828C" w14:textId="77777777" w:rsidR="00B41F45" w:rsidRPr="00E05970" w:rsidRDefault="00B41F45" w:rsidP="00B41F45">
      <w:pPr>
        <w:jc w:val="both"/>
        <w:rPr>
          <w:rFonts w:eastAsiaTheme="minorEastAsia" w:cs="Times New Roman"/>
          <w:szCs w:val="21"/>
        </w:rPr>
      </w:pPr>
      <w:r w:rsidRPr="00E05970">
        <w:rPr>
          <w:rFonts w:eastAsiaTheme="minorEastAsia" w:cs="Times New Roman"/>
          <w:szCs w:val="21"/>
        </w:rPr>
        <w:t>Spośród osób w wieku 16-74 lata, które z powodu epidemii chciały załatwić sprawy administracyjne przez Internet zamiast osobiście, ponad połowa zrealizowała w ten sposób wszystkie sprawy. Najwyższy poziom tego wskaźnika odnotowano wśród osób w grupach wiekowych 16-24 lata oraz 45-54 lata – odpowiednio 64,9% orz 61,4%, najniższy zaś wśród osób najstarszych (65+) – 49,2%.</w:t>
      </w:r>
      <w:r w:rsidRPr="00E05970">
        <w:rPr>
          <w:rStyle w:val="Odwoanieprzypisudolnego"/>
          <w:rFonts w:eastAsiaTheme="minorEastAsia" w:cs="Times New Roman"/>
          <w:szCs w:val="21"/>
        </w:rPr>
        <w:footnoteReference w:id="124"/>
      </w:r>
    </w:p>
    <w:p w14:paraId="21110050" w14:textId="77777777" w:rsidR="00B41F45" w:rsidRPr="00E05970" w:rsidRDefault="00B41F45" w:rsidP="00B41F45">
      <w:pPr>
        <w:autoSpaceDE w:val="0"/>
        <w:autoSpaceDN w:val="0"/>
        <w:adjustRightInd w:val="0"/>
        <w:jc w:val="both"/>
        <w:rPr>
          <w:rFonts w:eastAsia="Times New Roman" w:cs="Times New Roman"/>
        </w:rPr>
      </w:pPr>
      <w:r w:rsidRPr="00E05970">
        <w:rPr>
          <w:rFonts w:eastAsiaTheme="minorEastAsia" w:cs="Times New Roman"/>
          <w:szCs w:val="21"/>
        </w:rPr>
        <w:t>W gminach MOF Olsztyna coraz większa liczba usług publicznych dostępna jest przez internet</w:t>
      </w:r>
      <w:r w:rsidRPr="00E05970">
        <w:rPr>
          <w:rFonts w:eastAsia="Times New Roman" w:cs="Times New Roman"/>
        </w:rPr>
        <w:t>, także dzięki realizacji kolejnych projektów związanych ze zdalną obsługą klienta. Pozwala to wnioskować, że kwestia ta jest postrzegana jako istotna. Wszystkie urzędy gmin wykorzystują ogólnopolską platformę ePUAP do obsługi spraw, jednak nie wszystkie usługi są dostępne tą drogą.</w:t>
      </w:r>
    </w:p>
    <w:p w14:paraId="2445D388" w14:textId="77777777" w:rsidR="00B41F45" w:rsidRPr="00E05970" w:rsidRDefault="00B41F45" w:rsidP="00B41F45">
      <w:pPr>
        <w:autoSpaceDE w:val="0"/>
        <w:autoSpaceDN w:val="0"/>
        <w:adjustRightInd w:val="0"/>
        <w:jc w:val="both"/>
        <w:rPr>
          <w:rFonts w:eastAsiaTheme="minorEastAsia" w:cs="Times New Roman"/>
        </w:rPr>
      </w:pPr>
      <w:r w:rsidRPr="00E05970">
        <w:rPr>
          <w:rFonts w:eastAsiaTheme="minorEastAsia" w:cs="Times New Roman"/>
        </w:rPr>
        <w:t>Usługi świadczone są na różnych poziomach dojrzałości – od udostępniania informacji na portalach internetowych (poziom 1) do personalizacji obsługi, tzn. automatyczne dostarczenie konkretnych usług, spersonalizowanych dla użytkownika i przez niego nie inicjowanych (poziom 5). Ten ostatni poziom jest najrzadziej osiągany, jednak usługi na tym poziomie (przynajmniej kilka) świadczy 5 z 7 gmin MOF Olsztyna</w:t>
      </w:r>
      <w:r w:rsidRPr="00E05970">
        <w:rPr>
          <w:rFonts w:eastAsiaTheme="minorEastAsia" w:cs="Times New Roman"/>
          <w:vertAlign w:val="superscript"/>
        </w:rPr>
        <w:footnoteReference w:id="125"/>
      </w:r>
      <w:r w:rsidRPr="00E05970">
        <w:rPr>
          <w:rFonts w:eastAsiaTheme="minorEastAsia" w:cs="Times New Roman"/>
        </w:rPr>
        <w:t>.</w:t>
      </w:r>
    </w:p>
    <w:p w14:paraId="25D0D369" w14:textId="1DA4C302" w:rsidR="00B41F45" w:rsidRDefault="00B41F45" w:rsidP="00B41F45">
      <w:pPr>
        <w:jc w:val="both"/>
        <w:rPr>
          <w:rFonts w:eastAsiaTheme="minorEastAsia" w:cs="Times New Roman"/>
          <w:szCs w:val="21"/>
        </w:rPr>
      </w:pPr>
      <w:r w:rsidRPr="00E05970">
        <w:rPr>
          <w:rFonts w:eastAsiaTheme="minorEastAsia" w:cs="Times New Roman"/>
          <w:szCs w:val="21"/>
        </w:rPr>
        <w:lastRenderedPageBreak/>
        <w:t xml:space="preserve">Pandemia COVID-19 może mieć pozytywny wpływ na proces cyfryzacji usług publicznych, także dzięki przełamaniu barier mentalnych dotyczących korzystania z pojawiających się  możliwości – zarówno po stronie instytucji publicznych, jak i mieszkańców. Ograniczenia w przemieszczaniu się i zmiany organizacji pracy urzędów i innych instytucji wymusiły bardziej otwartą postawę wobec e-usług </w:t>
      </w:r>
      <w:r w:rsidRPr="00E05970">
        <w:rPr>
          <w:rFonts w:eastAsiaTheme="minorEastAsia" w:cs="Times New Roman"/>
          <w:szCs w:val="21"/>
        </w:rPr>
        <w:br/>
        <w:t>i szersze ich stosowanie. Konieczne jest jednak przyspieszenie działań i bardziej kompleksowe podejście do tego obszaru – nie tylko przez zwiększanie liczby usług dostępnych drogą elektroniczną, ale także przez rozwój kompetencji pracowników oraz wyposażenie zaplecza usługowego (back-office) w odpowiedni sprzęt, oprogramowanie i inne niezbędne zasoby. Ważnym elementem będzie również rozwój sieci szerokopasmowej i powszechne zwiększenie dostępu do szybkiego internetu w całym MOF Olsztyna, tak aby w pełni wykorzystać rosnącą podaż e-usług. Pozwoli to w pełni wykorzystać okoliczności sprzyjające przyspieszeniu cyfryzacji życia społeczno-gospodarczego i przeskoczyć dzięki temu lukę dzielącą Polskę (a tym samym MOF Olsztyna) od standardów UE.</w:t>
      </w:r>
    </w:p>
    <w:p w14:paraId="54D9D5ED" w14:textId="77777777" w:rsidR="00B41F45" w:rsidRPr="00E05970" w:rsidRDefault="00B41F45" w:rsidP="00B41F45">
      <w:pPr>
        <w:jc w:val="both"/>
        <w:rPr>
          <w:rFonts w:eastAsiaTheme="minorEastAsia" w:cs="Times New Roman"/>
          <w:szCs w:val="21"/>
        </w:rPr>
      </w:pPr>
    </w:p>
    <w:p w14:paraId="574B362A" w14:textId="77777777" w:rsidR="00B41F45" w:rsidRPr="00B41F45" w:rsidRDefault="00B41F45" w:rsidP="00B41F45">
      <w:pPr>
        <w:pStyle w:val="Nagwek2"/>
        <w:spacing w:before="0" w:after="160"/>
        <w:rPr>
          <w:rFonts w:cstheme="minorHAnsi"/>
        </w:rPr>
      </w:pPr>
      <w:bookmarkStart w:id="322" w:name="_Toc73534956"/>
      <w:r w:rsidRPr="00B41F45">
        <w:rPr>
          <w:rFonts w:cstheme="minorHAnsi"/>
        </w:rPr>
        <w:t>6.2. Zdrowie publiczne</w:t>
      </w:r>
      <w:bookmarkEnd w:id="322"/>
    </w:p>
    <w:p w14:paraId="7B69CCFC" w14:textId="77777777" w:rsidR="00B41F45" w:rsidRPr="00E05970" w:rsidRDefault="00B41F45" w:rsidP="00B41F45">
      <w:pPr>
        <w:jc w:val="both"/>
        <w:rPr>
          <w:rFonts w:eastAsiaTheme="minorEastAsia" w:cs="Times New Roman"/>
          <w:szCs w:val="21"/>
        </w:rPr>
      </w:pPr>
      <w:r w:rsidRPr="00E05970">
        <w:rPr>
          <w:rFonts w:eastAsiaTheme="minorEastAsia" w:cs="Times New Roman"/>
          <w:szCs w:val="21"/>
        </w:rPr>
        <w:t xml:space="preserve">Sektor zdrowia publicznego stanął w 2020 r. wobec szczególnych wyzwań. Pandemia COVID-19 zwiększyła istniejące wyzwania w obszarze systemu ochrony zdrowia, w tym potrzebę jego cyfryzacji </w:t>
      </w:r>
      <w:r w:rsidRPr="00E05970">
        <w:rPr>
          <w:rFonts w:eastAsiaTheme="minorEastAsia" w:cs="Times New Roman"/>
          <w:szCs w:val="21"/>
        </w:rPr>
        <w:br/>
        <w:t>i zwiększenia zasięgu usług świadczonych na odległość.</w:t>
      </w:r>
    </w:p>
    <w:p w14:paraId="24E9D6AF" w14:textId="059D3F9C" w:rsidR="00B41F45" w:rsidRDefault="00B41F45" w:rsidP="00B41F45">
      <w:pPr>
        <w:jc w:val="both"/>
        <w:rPr>
          <w:rFonts w:eastAsiaTheme="minorEastAsia" w:cs="Times New Roman"/>
          <w:szCs w:val="21"/>
        </w:rPr>
      </w:pPr>
      <w:r w:rsidRPr="00E05970">
        <w:rPr>
          <w:rFonts w:eastAsiaTheme="minorEastAsia" w:cs="Times New Roman"/>
          <w:szCs w:val="21"/>
        </w:rPr>
        <w:t xml:space="preserve">MOF Olsztyna, a w szczególności samo miasto, jest centrum usług medycznych dla całego regionu Warmii i Mazur, dlatego wszelkie działania tu podejmowane mają duże znaczenie dla dostępności wysokiej jakości usług medycznych w całym województwie. Działania w obszarze usług e-zdrowia </w:t>
      </w:r>
      <w:r w:rsidRPr="00E05970">
        <w:rPr>
          <w:rFonts w:eastAsiaTheme="minorEastAsia" w:cs="Times New Roman"/>
          <w:szCs w:val="21"/>
        </w:rPr>
        <w:br/>
        <w:t>i upowszechnienie nowoczesnych technologii w medycynie muszą więc stanowić nie tylko odpowiedź na problemy wynikające z sytuacji kryzysowych, ale także na dłuższą metę służyć zapewnieniu lepszego dostępu do opieki zdrowotnej, zwłaszcza na obszarach o słabym dostępie do szerokopasmowego Internetu, jak i na obszarach peryferyjnych. Takie obszary można zidentyfikować również w samym MOF, co związane jest z rozproszoną strukturą osadnictwa i wynikającymi z niej niedostatkami infrastruktury drogowej i internetowej, a także transportu publicznego.</w:t>
      </w:r>
    </w:p>
    <w:p w14:paraId="7C9DFB7D" w14:textId="77777777" w:rsidR="00B41F45" w:rsidRPr="00E05970" w:rsidRDefault="00B41F45" w:rsidP="00B41F45">
      <w:pPr>
        <w:jc w:val="both"/>
        <w:rPr>
          <w:rFonts w:eastAsiaTheme="minorEastAsia" w:cs="Times New Roman"/>
          <w:szCs w:val="21"/>
        </w:rPr>
      </w:pPr>
    </w:p>
    <w:p w14:paraId="39DDCA39" w14:textId="77777777" w:rsidR="00B41F45" w:rsidRPr="00B41F45" w:rsidRDefault="00B41F45" w:rsidP="00B41F45">
      <w:pPr>
        <w:pStyle w:val="Nagwek2"/>
        <w:spacing w:before="0" w:after="160"/>
        <w:rPr>
          <w:rFonts w:asciiTheme="minorHAnsi" w:hAnsiTheme="minorHAnsi" w:cstheme="minorHAnsi"/>
        </w:rPr>
      </w:pPr>
      <w:bookmarkStart w:id="323" w:name="_Toc73534957"/>
      <w:r w:rsidRPr="00B41F45">
        <w:rPr>
          <w:rFonts w:asciiTheme="minorHAnsi" w:hAnsiTheme="minorHAnsi" w:cstheme="minorHAnsi"/>
        </w:rPr>
        <w:t>6.3. Edukacja</w:t>
      </w:r>
      <w:bookmarkEnd w:id="323"/>
    </w:p>
    <w:p w14:paraId="0CA3AD99" w14:textId="77777777" w:rsidR="00B41F45" w:rsidRPr="00E05970" w:rsidRDefault="00B41F45" w:rsidP="00B41F45">
      <w:pPr>
        <w:jc w:val="both"/>
        <w:rPr>
          <w:rFonts w:eastAsiaTheme="minorEastAsia" w:cs="Times New Roman"/>
          <w:szCs w:val="21"/>
        </w:rPr>
      </w:pPr>
      <w:r w:rsidRPr="00E05970">
        <w:rPr>
          <w:rFonts w:eastAsiaTheme="minorEastAsia" w:cs="Times New Roman"/>
          <w:szCs w:val="21"/>
        </w:rPr>
        <w:t>Oświata w Polsce boryka się od lat z najróżniejszymi trudnościami, jednak pandemia COVID-19 obnażyła jej szczególnie słabe strony. Jedną z nich jest cyfrowe zapóźnienie szkół (zarówno w zakresie wyposażenia, jak i kompetencji kadr) nie pozwalające na czerpanie korzyści z możliwości, jakie dają technologie IT. Jest to tym bardziej dotkliwe, że z diagnozy przeprowadzonej przez Gminę Olsztyn wynika, iż spośród 21 921 uczniów problemy z dostępnością sprzętu komputerowego w szkołach ponadpodstawowych zgłosiło 60% osób</w:t>
      </w:r>
      <w:r w:rsidRPr="00E05970">
        <w:rPr>
          <w:rFonts w:eastAsiaTheme="minorEastAsia" w:cs="Times New Roman"/>
          <w:szCs w:val="21"/>
          <w:vertAlign w:val="superscript"/>
        </w:rPr>
        <w:footnoteReference w:id="126"/>
      </w:r>
      <w:r w:rsidRPr="00E05970">
        <w:rPr>
          <w:rFonts w:eastAsiaTheme="minorEastAsia" w:cs="Times New Roman"/>
          <w:szCs w:val="21"/>
        </w:rPr>
        <w:t>.</w:t>
      </w:r>
    </w:p>
    <w:p w14:paraId="7E478598" w14:textId="7370B64D" w:rsidR="00B41F45" w:rsidRDefault="00B41F45" w:rsidP="00B41F45">
      <w:pPr>
        <w:jc w:val="both"/>
        <w:rPr>
          <w:rFonts w:eastAsiaTheme="minorEastAsia" w:cs="Times New Roman"/>
          <w:szCs w:val="21"/>
        </w:rPr>
      </w:pPr>
      <w:r w:rsidRPr="00E05970">
        <w:rPr>
          <w:rFonts w:eastAsiaTheme="minorEastAsia" w:cs="Times New Roman"/>
          <w:szCs w:val="21"/>
        </w:rPr>
        <w:t xml:space="preserve">Możliwe jest jednak, że pandemia przyspieszy ten proces, także w MOF Olsztyna. Wszystkie gminy MOF skorzystały z rządowego programu </w:t>
      </w:r>
      <w:r w:rsidRPr="00E05970">
        <w:rPr>
          <w:rFonts w:eastAsiaTheme="minorEastAsia" w:cs="Times New Roman"/>
          <w:i/>
          <w:iCs/>
          <w:szCs w:val="21"/>
        </w:rPr>
        <w:t xml:space="preserve">Zdalna Szkoła </w:t>
      </w:r>
      <w:r w:rsidRPr="00E05970">
        <w:rPr>
          <w:rFonts w:eastAsiaTheme="minorEastAsia" w:cs="Times New Roman"/>
          <w:szCs w:val="21"/>
        </w:rPr>
        <w:t xml:space="preserve">oraz </w:t>
      </w:r>
      <w:r w:rsidRPr="00E05970">
        <w:rPr>
          <w:rFonts w:eastAsiaTheme="minorEastAsia" w:cs="Times New Roman"/>
          <w:i/>
          <w:iCs/>
          <w:szCs w:val="21"/>
        </w:rPr>
        <w:t xml:space="preserve">Zdalna Szkoła+ </w:t>
      </w:r>
      <w:r w:rsidRPr="00E05970">
        <w:rPr>
          <w:rFonts w:eastAsiaTheme="minorEastAsia" w:cs="Times New Roman"/>
          <w:szCs w:val="21"/>
        </w:rPr>
        <w:t>zakupując oprogramowanie oraz sprzęt komputerowy, poprawiając tym samym jakość edukacji zdalnej i poziom dostępu do niej</w:t>
      </w:r>
      <w:r w:rsidRPr="00E05970">
        <w:rPr>
          <w:rFonts w:eastAsiaTheme="minorEastAsia" w:cs="Times New Roman"/>
          <w:szCs w:val="21"/>
          <w:vertAlign w:val="superscript"/>
        </w:rPr>
        <w:footnoteReference w:id="127"/>
      </w:r>
      <w:r w:rsidRPr="00E05970">
        <w:rPr>
          <w:rFonts w:eastAsiaTheme="minorEastAsia" w:cs="Times New Roman"/>
          <w:szCs w:val="21"/>
        </w:rPr>
        <w:t>:</w:t>
      </w:r>
    </w:p>
    <w:p w14:paraId="460E9DE9" w14:textId="092FCF8B" w:rsidR="00B41F45" w:rsidRDefault="00B41F45" w:rsidP="00B41F45">
      <w:pPr>
        <w:jc w:val="both"/>
        <w:rPr>
          <w:rFonts w:eastAsiaTheme="minorEastAsia" w:cs="Times New Roman"/>
          <w:szCs w:val="21"/>
        </w:rPr>
      </w:pPr>
    </w:p>
    <w:p w14:paraId="0A39C444" w14:textId="74398D58" w:rsidR="00B41F45" w:rsidRPr="00B41F45" w:rsidRDefault="00B41F45" w:rsidP="00B41F45">
      <w:pPr>
        <w:pStyle w:val="Legenda"/>
        <w:rPr>
          <w:rFonts w:asciiTheme="minorHAnsi" w:eastAsiaTheme="minorEastAsia" w:hAnsiTheme="minorHAnsi" w:cs="Times New Roman"/>
          <w:sz w:val="20"/>
          <w:szCs w:val="20"/>
        </w:rPr>
      </w:pPr>
      <w:bookmarkStart w:id="324" w:name="_Toc73534999"/>
      <w:r w:rsidRPr="00B41F45">
        <w:rPr>
          <w:sz w:val="20"/>
          <w:szCs w:val="20"/>
        </w:rPr>
        <w:lastRenderedPageBreak/>
        <w:t xml:space="preserve">Tabela </w:t>
      </w:r>
      <w:r w:rsidRPr="00B41F45">
        <w:rPr>
          <w:sz w:val="20"/>
          <w:szCs w:val="20"/>
        </w:rPr>
        <w:fldChar w:fldCharType="begin"/>
      </w:r>
      <w:r w:rsidRPr="00B41F45">
        <w:rPr>
          <w:sz w:val="20"/>
          <w:szCs w:val="20"/>
        </w:rPr>
        <w:instrText xml:space="preserve"> SEQ Tabela \* ARABIC </w:instrText>
      </w:r>
      <w:r w:rsidRPr="00B41F45">
        <w:rPr>
          <w:sz w:val="20"/>
          <w:szCs w:val="20"/>
        </w:rPr>
        <w:fldChar w:fldCharType="separate"/>
      </w:r>
      <w:r w:rsidR="00AD58C3">
        <w:rPr>
          <w:noProof/>
          <w:sz w:val="20"/>
          <w:szCs w:val="20"/>
        </w:rPr>
        <w:t>36</w:t>
      </w:r>
      <w:r w:rsidRPr="00B41F45">
        <w:rPr>
          <w:sz w:val="20"/>
          <w:szCs w:val="20"/>
        </w:rPr>
        <w:fldChar w:fldCharType="end"/>
      </w:r>
      <w:r w:rsidRPr="00B41F45">
        <w:rPr>
          <w:sz w:val="20"/>
          <w:szCs w:val="20"/>
        </w:rPr>
        <w:t xml:space="preserve">. Liczba zakupionych laptopów oraz % uczniów objętych wsparciem w ramach rządowego programu Zdalna Szkoła </w:t>
      </w:r>
      <w:r w:rsidRPr="00B41F45">
        <w:rPr>
          <w:i w:val="0"/>
          <w:sz w:val="20"/>
          <w:szCs w:val="20"/>
        </w:rPr>
        <w:t>i</w:t>
      </w:r>
      <w:r w:rsidRPr="00B41F45">
        <w:rPr>
          <w:sz w:val="20"/>
          <w:szCs w:val="20"/>
        </w:rPr>
        <w:t xml:space="preserve"> Zdalna szkoła+</w:t>
      </w:r>
      <w:bookmarkEnd w:id="324"/>
    </w:p>
    <w:tbl>
      <w:tblPr>
        <w:tblStyle w:val="Tabela-Siatka"/>
        <w:tblW w:w="4267" w:type="pct"/>
        <w:jc w:val="center"/>
        <w:tblLook w:val="04A0" w:firstRow="1" w:lastRow="0" w:firstColumn="1" w:lastColumn="0" w:noHBand="0" w:noVBand="1"/>
      </w:tblPr>
      <w:tblGrid>
        <w:gridCol w:w="1826"/>
        <w:gridCol w:w="2887"/>
        <w:gridCol w:w="3064"/>
      </w:tblGrid>
      <w:tr w:rsidR="00B41F45" w:rsidRPr="00E05970" w14:paraId="28EC8CEC" w14:textId="77777777" w:rsidTr="00B41F45">
        <w:trPr>
          <w:trHeight w:val="290"/>
          <w:jc w:val="center"/>
        </w:trPr>
        <w:tc>
          <w:tcPr>
            <w:tcW w:w="1237" w:type="pct"/>
            <w:noWrap/>
            <w:hideMark/>
          </w:tcPr>
          <w:p w14:paraId="18DD0F35" w14:textId="77777777" w:rsidR="00B41F45" w:rsidRPr="00E05970" w:rsidRDefault="00B41F45" w:rsidP="00B41F45">
            <w:pPr>
              <w:spacing w:after="160" w:line="259" w:lineRule="auto"/>
              <w:jc w:val="center"/>
              <w:rPr>
                <w:rFonts w:eastAsiaTheme="minorEastAsia" w:cs="Times New Roman"/>
                <w:b/>
                <w:bCs/>
                <w:szCs w:val="21"/>
              </w:rPr>
            </w:pPr>
            <w:r w:rsidRPr="00E05970">
              <w:rPr>
                <w:rFonts w:eastAsiaTheme="minorEastAsia" w:cs="Times New Roman"/>
                <w:b/>
                <w:bCs/>
                <w:szCs w:val="21"/>
              </w:rPr>
              <w:t>Gmina</w:t>
            </w:r>
          </w:p>
        </w:tc>
        <w:tc>
          <w:tcPr>
            <w:tcW w:w="1826" w:type="pct"/>
            <w:noWrap/>
          </w:tcPr>
          <w:p w14:paraId="739D28CF" w14:textId="77777777" w:rsidR="00B41F45" w:rsidRPr="00E05970" w:rsidRDefault="00B41F45" w:rsidP="00B41F45">
            <w:pPr>
              <w:spacing w:after="160" w:line="259" w:lineRule="auto"/>
              <w:jc w:val="center"/>
              <w:rPr>
                <w:rFonts w:eastAsiaTheme="minorEastAsia" w:cs="Times New Roman"/>
                <w:b/>
                <w:bCs/>
                <w:szCs w:val="21"/>
              </w:rPr>
            </w:pPr>
            <w:r w:rsidRPr="00E05970">
              <w:rPr>
                <w:rFonts w:eastAsiaTheme="minorEastAsia" w:cs="Times New Roman"/>
                <w:b/>
                <w:bCs/>
                <w:szCs w:val="21"/>
              </w:rPr>
              <w:t>Liczba zakupionych laptopów</w:t>
            </w:r>
          </w:p>
        </w:tc>
        <w:tc>
          <w:tcPr>
            <w:tcW w:w="1937" w:type="pct"/>
            <w:noWrap/>
          </w:tcPr>
          <w:p w14:paraId="6F33951E" w14:textId="77777777" w:rsidR="00B41F45" w:rsidRPr="00E05970" w:rsidRDefault="00B41F45" w:rsidP="00B41F45">
            <w:pPr>
              <w:spacing w:after="160" w:line="259" w:lineRule="auto"/>
              <w:jc w:val="center"/>
              <w:rPr>
                <w:rFonts w:eastAsiaTheme="minorEastAsia" w:cs="Times New Roman"/>
                <w:b/>
                <w:bCs/>
                <w:szCs w:val="21"/>
              </w:rPr>
            </w:pPr>
            <w:r w:rsidRPr="00E05970">
              <w:rPr>
                <w:rFonts w:eastAsiaTheme="minorEastAsia" w:cs="Times New Roman"/>
                <w:b/>
                <w:bCs/>
                <w:szCs w:val="21"/>
              </w:rPr>
              <w:t>% uczniów objętych wsparciem</w:t>
            </w:r>
          </w:p>
        </w:tc>
      </w:tr>
      <w:tr w:rsidR="00B41F45" w:rsidRPr="00E05970" w14:paraId="20A26BAB" w14:textId="77777777" w:rsidTr="00B41F45">
        <w:trPr>
          <w:trHeight w:val="290"/>
          <w:jc w:val="center"/>
        </w:trPr>
        <w:tc>
          <w:tcPr>
            <w:tcW w:w="1237" w:type="pct"/>
            <w:noWrap/>
            <w:hideMark/>
          </w:tcPr>
          <w:p w14:paraId="15E6F84D" w14:textId="77777777" w:rsidR="00B41F45" w:rsidRPr="00E05970" w:rsidRDefault="00B41F45" w:rsidP="00B41F45">
            <w:pPr>
              <w:spacing w:after="160" w:line="259" w:lineRule="auto"/>
              <w:jc w:val="both"/>
              <w:rPr>
                <w:rFonts w:eastAsiaTheme="minorEastAsia" w:cs="Times New Roman"/>
                <w:szCs w:val="21"/>
              </w:rPr>
            </w:pPr>
            <w:r w:rsidRPr="00E05970">
              <w:rPr>
                <w:rFonts w:eastAsiaTheme="minorEastAsia" w:cs="Times New Roman"/>
                <w:szCs w:val="21"/>
              </w:rPr>
              <w:t>Olsztyn</w:t>
            </w:r>
          </w:p>
        </w:tc>
        <w:tc>
          <w:tcPr>
            <w:tcW w:w="1826" w:type="pct"/>
            <w:noWrap/>
            <w:hideMark/>
          </w:tcPr>
          <w:p w14:paraId="58D06F26" w14:textId="77777777" w:rsidR="00B41F45" w:rsidRPr="00E05970" w:rsidRDefault="00B41F45" w:rsidP="00B41F45">
            <w:pPr>
              <w:spacing w:after="160" w:line="259" w:lineRule="auto"/>
              <w:jc w:val="center"/>
              <w:rPr>
                <w:rFonts w:eastAsiaTheme="minorEastAsia" w:cs="Times New Roman"/>
                <w:szCs w:val="21"/>
              </w:rPr>
            </w:pPr>
            <w:r w:rsidRPr="00E05970">
              <w:rPr>
                <w:rFonts w:eastAsiaTheme="minorEastAsia" w:cs="Times New Roman"/>
                <w:szCs w:val="21"/>
              </w:rPr>
              <w:t>59</w:t>
            </w:r>
          </w:p>
        </w:tc>
        <w:tc>
          <w:tcPr>
            <w:tcW w:w="1937" w:type="pct"/>
            <w:noWrap/>
            <w:hideMark/>
          </w:tcPr>
          <w:p w14:paraId="4F44E217" w14:textId="77777777" w:rsidR="00B41F45" w:rsidRPr="00E05970" w:rsidRDefault="00B41F45" w:rsidP="00B41F45">
            <w:pPr>
              <w:spacing w:after="160" w:line="259" w:lineRule="auto"/>
              <w:jc w:val="center"/>
              <w:rPr>
                <w:rFonts w:eastAsiaTheme="minorEastAsia" w:cs="Times New Roman"/>
                <w:szCs w:val="21"/>
              </w:rPr>
            </w:pPr>
            <w:r w:rsidRPr="00E05970">
              <w:rPr>
                <w:rFonts w:eastAsiaTheme="minorEastAsia" w:cs="Times New Roman"/>
                <w:szCs w:val="21"/>
              </w:rPr>
              <w:t>0,3%</w:t>
            </w:r>
          </w:p>
        </w:tc>
      </w:tr>
      <w:tr w:rsidR="00B41F45" w:rsidRPr="00E05970" w14:paraId="0F254575" w14:textId="77777777" w:rsidTr="00B41F45">
        <w:trPr>
          <w:trHeight w:val="290"/>
          <w:jc w:val="center"/>
        </w:trPr>
        <w:tc>
          <w:tcPr>
            <w:tcW w:w="1237" w:type="pct"/>
            <w:noWrap/>
            <w:hideMark/>
          </w:tcPr>
          <w:p w14:paraId="12093466" w14:textId="77777777" w:rsidR="00B41F45" w:rsidRPr="00E05970" w:rsidRDefault="00B41F45" w:rsidP="00B41F45">
            <w:pPr>
              <w:spacing w:after="160" w:line="259" w:lineRule="auto"/>
              <w:jc w:val="both"/>
              <w:rPr>
                <w:rFonts w:eastAsiaTheme="minorEastAsia" w:cs="Times New Roman"/>
                <w:szCs w:val="21"/>
              </w:rPr>
            </w:pPr>
            <w:r w:rsidRPr="00E05970">
              <w:rPr>
                <w:rFonts w:eastAsiaTheme="minorEastAsia" w:cs="Times New Roman"/>
                <w:szCs w:val="21"/>
              </w:rPr>
              <w:t>Barczewo</w:t>
            </w:r>
          </w:p>
        </w:tc>
        <w:tc>
          <w:tcPr>
            <w:tcW w:w="1826" w:type="pct"/>
            <w:noWrap/>
            <w:hideMark/>
          </w:tcPr>
          <w:p w14:paraId="062BE627" w14:textId="77777777" w:rsidR="00B41F45" w:rsidRPr="00E05970" w:rsidRDefault="00B41F45" w:rsidP="00B41F45">
            <w:pPr>
              <w:spacing w:after="160" w:line="259" w:lineRule="auto"/>
              <w:jc w:val="center"/>
              <w:rPr>
                <w:rFonts w:eastAsiaTheme="minorEastAsia" w:cs="Times New Roman"/>
                <w:szCs w:val="21"/>
              </w:rPr>
            </w:pPr>
            <w:r w:rsidRPr="00E05970">
              <w:rPr>
                <w:rFonts w:eastAsiaTheme="minorEastAsia" w:cs="Times New Roman"/>
                <w:szCs w:val="21"/>
              </w:rPr>
              <w:t>97</w:t>
            </w:r>
          </w:p>
        </w:tc>
        <w:tc>
          <w:tcPr>
            <w:tcW w:w="1937" w:type="pct"/>
            <w:noWrap/>
            <w:hideMark/>
          </w:tcPr>
          <w:p w14:paraId="5D292961" w14:textId="77777777" w:rsidR="00B41F45" w:rsidRPr="00E05970" w:rsidRDefault="00B41F45" w:rsidP="00B41F45">
            <w:pPr>
              <w:spacing w:after="160" w:line="259" w:lineRule="auto"/>
              <w:jc w:val="center"/>
              <w:rPr>
                <w:rFonts w:eastAsiaTheme="minorEastAsia" w:cs="Times New Roman"/>
                <w:szCs w:val="21"/>
              </w:rPr>
            </w:pPr>
            <w:r w:rsidRPr="00E05970">
              <w:rPr>
                <w:rFonts w:eastAsiaTheme="minorEastAsia" w:cs="Times New Roman"/>
                <w:szCs w:val="21"/>
              </w:rPr>
              <w:t>8,5%</w:t>
            </w:r>
          </w:p>
        </w:tc>
      </w:tr>
      <w:tr w:rsidR="00B41F45" w:rsidRPr="00E05970" w14:paraId="0246C11D" w14:textId="77777777" w:rsidTr="00B41F45">
        <w:trPr>
          <w:trHeight w:val="290"/>
          <w:jc w:val="center"/>
        </w:trPr>
        <w:tc>
          <w:tcPr>
            <w:tcW w:w="1237" w:type="pct"/>
            <w:noWrap/>
            <w:hideMark/>
          </w:tcPr>
          <w:p w14:paraId="23E65D77" w14:textId="77777777" w:rsidR="00B41F45" w:rsidRPr="00E05970" w:rsidRDefault="00B41F45" w:rsidP="00B41F45">
            <w:pPr>
              <w:spacing w:after="160" w:line="259" w:lineRule="auto"/>
              <w:jc w:val="both"/>
              <w:rPr>
                <w:rFonts w:eastAsiaTheme="minorEastAsia" w:cs="Times New Roman"/>
                <w:szCs w:val="21"/>
              </w:rPr>
            </w:pPr>
            <w:r w:rsidRPr="00E05970">
              <w:rPr>
                <w:rFonts w:eastAsiaTheme="minorEastAsia" w:cs="Times New Roman"/>
                <w:szCs w:val="21"/>
              </w:rPr>
              <w:t>Dywity</w:t>
            </w:r>
          </w:p>
        </w:tc>
        <w:tc>
          <w:tcPr>
            <w:tcW w:w="1826" w:type="pct"/>
            <w:noWrap/>
            <w:hideMark/>
          </w:tcPr>
          <w:p w14:paraId="579C6E67" w14:textId="77777777" w:rsidR="00B41F45" w:rsidRPr="00E05970" w:rsidRDefault="00B41F45" w:rsidP="00B41F45">
            <w:pPr>
              <w:spacing w:after="160" w:line="259" w:lineRule="auto"/>
              <w:jc w:val="center"/>
              <w:rPr>
                <w:rFonts w:eastAsiaTheme="minorEastAsia" w:cs="Times New Roman"/>
                <w:szCs w:val="21"/>
              </w:rPr>
            </w:pPr>
            <w:r w:rsidRPr="00E05970">
              <w:rPr>
                <w:rFonts w:eastAsiaTheme="minorEastAsia" w:cs="Times New Roman"/>
                <w:szCs w:val="21"/>
              </w:rPr>
              <w:t>70</w:t>
            </w:r>
          </w:p>
        </w:tc>
        <w:tc>
          <w:tcPr>
            <w:tcW w:w="1937" w:type="pct"/>
            <w:noWrap/>
            <w:hideMark/>
          </w:tcPr>
          <w:p w14:paraId="27444CE5" w14:textId="77777777" w:rsidR="00B41F45" w:rsidRPr="00E05970" w:rsidRDefault="00B41F45" w:rsidP="00B41F45">
            <w:pPr>
              <w:spacing w:after="160" w:line="259" w:lineRule="auto"/>
              <w:jc w:val="center"/>
              <w:rPr>
                <w:rFonts w:eastAsiaTheme="minorEastAsia" w:cs="Times New Roman"/>
                <w:szCs w:val="21"/>
              </w:rPr>
            </w:pPr>
            <w:r w:rsidRPr="00E05970">
              <w:rPr>
                <w:rFonts w:eastAsiaTheme="minorEastAsia" w:cs="Times New Roman"/>
                <w:szCs w:val="21"/>
              </w:rPr>
              <w:t>6,6%</w:t>
            </w:r>
          </w:p>
        </w:tc>
      </w:tr>
      <w:tr w:rsidR="00B41F45" w:rsidRPr="00E05970" w14:paraId="1303E653" w14:textId="77777777" w:rsidTr="00B41F45">
        <w:trPr>
          <w:trHeight w:val="290"/>
          <w:jc w:val="center"/>
        </w:trPr>
        <w:tc>
          <w:tcPr>
            <w:tcW w:w="1237" w:type="pct"/>
            <w:noWrap/>
            <w:hideMark/>
          </w:tcPr>
          <w:p w14:paraId="6F6B39CB" w14:textId="77777777" w:rsidR="00B41F45" w:rsidRPr="00E05970" w:rsidRDefault="00B41F45" w:rsidP="00B41F45">
            <w:pPr>
              <w:spacing w:after="160" w:line="259" w:lineRule="auto"/>
              <w:jc w:val="both"/>
              <w:rPr>
                <w:rFonts w:eastAsiaTheme="minorEastAsia" w:cs="Times New Roman"/>
                <w:szCs w:val="21"/>
              </w:rPr>
            </w:pPr>
            <w:r w:rsidRPr="00E05970">
              <w:rPr>
                <w:rFonts w:eastAsiaTheme="minorEastAsia" w:cs="Times New Roman"/>
                <w:szCs w:val="21"/>
              </w:rPr>
              <w:t>Gietrzwałd</w:t>
            </w:r>
          </w:p>
        </w:tc>
        <w:tc>
          <w:tcPr>
            <w:tcW w:w="1826" w:type="pct"/>
            <w:noWrap/>
            <w:hideMark/>
          </w:tcPr>
          <w:p w14:paraId="7F950CCB" w14:textId="77777777" w:rsidR="00B41F45" w:rsidRPr="00E05970" w:rsidRDefault="00B41F45" w:rsidP="00B41F45">
            <w:pPr>
              <w:spacing w:after="160" w:line="259" w:lineRule="auto"/>
              <w:jc w:val="center"/>
              <w:rPr>
                <w:rFonts w:eastAsiaTheme="minorEastAsia" w:cs="Times New Roman"/>
                <w:szCs w:val="21"/>
              </w:rPr>
            </w:pPr>
            <w:r w:rsidRPr="00E05970">
              <w:rPr>
                <w:rFonts w:eastAsiaTheme="minorEastAsia" w:cs="Times New Roman"/>
                <w:szCs w:val="21"/>
              </w:rPr>
              <w:t>60</w:t>
            </w:r>
          </w:p>
        </w:tc>
        <w:tc>
          <w:tcPr>
            <w:tcW w:w="1937" w:type="pct"/>
            <w:noWrap/>
            <w:hideMark/>
          </w:tcPr>
          <w:p w14:paraId="1418B5D2" w14:textId="77777777" w:rsidR="00B41F45" w:rsidRPr="00E05970" w:rsidRDefault="00B41F45" w:rsidP="00B41F45">
            <w:pPr>
              <w:spacing w:after="160" w:line="259" w:lineRule="auto"/>
              <w:jc w:val="center"/>
              <w:rPr>
                <w:rFonts w:eastAsiaTheme="minorEastAsia" w:cs="Times New Roman"/>
                <w:szCs w:val="21"/>
              </w:rPr>
            </w:pPr>
            <w:r w:rsidRPr="00E05970">
              <w:rPr>
                <w:rFonts w:eastAsiaTheme="minorEastAsia" w:cs="Times New Roman"/>
                <w:szCs w:val="21"/>
              </w:rPr>
              <w:t>13,4%</w:t>
            </w:r>
          </w:p>
        </w:tc>
      </w:tr>
      <w:tr w:rsidR="00B41F45" w:rsidRPr="00E05970" w14:paraId="5B431CFA" w14:textId="77777777" w:rsidTr="00B41F45">
        <w:trPr>
          <w:trHeight w:val="290"/>
          <w:jc w:val="center"/>
        </w:trPr>
        <w:tc>
          <w:tcPr>
            <w:tcW w:w="1237" w:type="pct"/>
            <w:noWrap/>
            <w:hideMark/>
          </w:tcPr>
          <w:p w14:paraId="17A7B800" w14:textId="77777777" w:rsidR="00B41F45" w:rsidRPr="00E05970" w:rsidRDefault="00B41F45" w:rsidP="00B41F45">
            <w:pPr>
              <w:spacing w:after="160" w:line="259" w:lineRule="auto"/>
              <w:jc w:val="both"/>
              <w:rPr>
                <w:rFonts w:eastAsiaTheme="minorEastAsia" w:cs="Times New Roman"/>
                <w:szCs w:val="21"/>
              </w:rPr>
            </w:pPr>
            <w:r w:rsidRPr="00E05970">
              <w:rPr>
                <w:rFonts w:eastAsiaTheme="minorEastAsia" w:cs="Times New Roman"/>
                <w:szCs w:val="21"/>
              </w:rPr>
              <w:t>Jonkowo</w:t>
            </w:r>
          </w:p>
        </w:tc>
        <w:tc>
          <w:tcPr>
            <w:tcW w:w="1826" w:type="pct"/>
            <w:noWrap/>
            <w:hideMark/>
          </w:tcPr>
          <w:p w14:paraId="184A942C" w14:textId="77777777" w:rsidR="00B41F45" w:rsidRPr="00E05970" w:rsidRDefault="00B41F45" w:rsidP="00B41F45">
            <w:pPr>
              <w:spacing w:after="160" w:line="259" w:lineRule="auto"/>
              <w:jc w:val="center"/>
              <w:rPr>
                <w:rFonts w:eastAsiaTheme="minorEastAsia" w:cs="Times New Roman"/>
                <w:szCs w:val="21"/>
              </w:rPr>
            </w:pPr>
            <w:r w:rsidRPr="00E05970">
              <w:rPr>
                <w:rFonts w:eastAsiaTheme="minorEastAsia" w:cs="Times New Roman"/>
                <w:szCs w:val="21"/>
              </w:rPr>
              <w:t>47</w:t>
            </w:r>
          </w:p>
        </w:tc>
        <w:tc>
          <w:tcPr>
            <w:tcW w:w="1937" w:type="pct"/>
            <w:noWrap/>
            <w:hideMark/>
          </w:tcPr>
          <w:p w14:paraId="002309FF" w14:textId="77777777" w:rsidR="00B41F45" w:rsidRPr="00E05970" w:rsidRDefault="00B41F45" w:rsidP="00B41F45">
            <w:pPr>
              <w:spacing w:after="160" w:line="259" w:lineRule="auto"/>
              <w:jc w:val="center"/>
              <w:rPr>
                <w:rFonts w:eastAsiaTheme="minorEastAsia" w:cs="Times New Roman"/>
                <w:szCs w:val="21"/>
              </w:rPr>
            </w:pPr>
            <w:r w:rsidRPr="00E05970">
              <w:rPr>
                <w:rFonts w:eastAsiaTheme="minorEastAsia" w:cs="Times New Roman"/>
                <w:szCs w:val="21"/>
              </w:rPr>
              <w:t>8,1%</w:t>
            </w:r>
          </w:p>
        </w:tc>
      </w:tr>
      <w:tr w:rsidR="00B41F45" w:rsidRPr="00E05970" w14:paraId="45064416" w14:textId="77777777" w:rsidTr="00B41F45">
        <w:trPr>
          <w:trHeight w:val="290"/>
          <w:jc w:val="center"/>
        </w:trPr>
        <w:tc>
          <w:tcPr>
            <w:tcW w:w="1237" w:type="pct"/>
            <w:noWrap/>
            <w:hideMark/>
          </w:tcPr>
          <w:p w14:paraId="38BB9C82" w14:textId="77777777" w:rsidR="00B41F45" w:rsidRPr="00E05970" w:rsidRDefault="00B41F45" w:rsidP="00B41F45">
            <w:pPr>
              <w:spacing w:after="160" w:line="259" w:lineRule="auto"/>
              <w:jc w:val="both"/>
              <w:rPr>
                <w:rFonts w:eastAsiaTheme="minorEastAsia" w:cs="Times New Roman"/>
                <w:szCs w:val="21"/>
              </w:rPr>
            </w:pPr>
            <w:r w:rsidRPr="00E05970">
              <w:rPr>
                <w:rFonts w:eastAsiaTheme="minorEastAsia" w:cs="Times New Roman"/>
                <w:szCs w:val="21"/>
              </w:rPr>
              <w:t>Purda</w:t>
            </w:r>
          </w:p>
        </w:tc>
        <w:tc>
          <w:tcPr>
            <w:tcW w:w="1826" w:type="pct"/>
            <w:noWrap/>
            <w:hideMark/>
          </w:tcPr>
          <w:p w14:paraId="106FE87E" w14:textId="77777777" w:rsidR="00B41F45" w:rsidRPr="00E05970" w:rsidRDefault="00B41F45" w:rsidP="00B41F45">
            <w:pPr>
              <w:spacing w:after="160" w:line="259" w:lineRule="auto"/>
              <w:jc w:val="center"/>
              <w:rPr>
                <w:rFonts w:eastAsiaTheme="minorEastAsia" w:cs="Times New Roman"/>
                <w:szCs w:val="21"/>
              </w:rPr>
            </w:pPr>
            <w:r w:rsidRPr="00E05970">
              <w:rPr>
                <w:rFonts w:eastAsiaTheme="minorEastAsia" w:cs="Times New Roman"/>
                <w:szCs w:val="21"/>
              </w:rPr>
              <w:t>44</w:t>
            </w:r>
          </w:p>
        </w:tc>
        <w:tc>
          <w:tcPr>
            <w:tcW w:w="1937" w:type="pct"/>
            <w:noWrap/>
            <w:hideMark/>
          </w:tcPr>
          <w:p w14:paraId="3036E545" w14:textId="77777777" w:rsidR="00B41F45" w:rsidRPr="00E05970" w:rsidRDefault="00B41F45" w:rsidP="00B41F45">
            <w:pPr>
              <w:spacing w:after="160" w:line="259" w:lineRule="auto"/>
              <w:jc w:val="center"/>
              <w:rPr>
                <w:rFonts w:eastAsiaTheme="minorEastAsia" w:cs="Times New Roman"/>
                <w:szCs w:val="21"/>
              </w:rPr>
            </w:pPr>
            <w:r w:rsidRPr="00E05970">
              <w:rPr>
                <w:rFonts w:eastAsiaTheme="minorEastAsia" w:cs="Times New Roman"/>
                <w:szCs w:val="21"/>
              </w:rPr>
              <w:t>9,4%</w:t>
            </w:r>
          </w:p>
        </w:tc>
      </w:tr>
      <w:tr w:rsidR="00B41F45" w:rsidRPr="00E05970" w14:paraId="2EDFC03F" w14:textId="77777777" w:rsidTr="00B41F45">
        <w:trPr>
          <w:trHeight w:val="290"/>
          <w:jc w:val="center"/>
        </w:trPr>
        <w:tc>
          <w:tcPr>
            <w:tcW w:w="1237" w:type="pct"/>
            <w:noWrap/>
            <w:hideMark/>
          </w:tcPr>
          <w:p w14:paraId="1C6EC66D" w14:textId="77777777" w:rsidR="00B41F45" w:rsidRPr="00E05970" w:rsidRDefault="00B41F45" w:rsidP="00B41F45">
            <w:pPr>
              <w:spacing w:after="160" w:line="259" w:lineRule="auto"/>
              <w:jc w:val="both"/>
              <w:rPr>
                <w:rFonts w:eastAsiaTheme="minorEastAsia" w:cs="Times New Roman"/>
                <w:szCs w:val="21"/>
              </w:rPr>
            </w:pPr>
            <w:r w:rsidRPr="00E05970">
              <w:rPr>
                <w:rFonts w:eastAsiaTheme="minorEastAsia" w:cs="Times New Roman"/>
                <w:szCs w:val="21"/>
              </w:rPr>
              <w:t>Stawiguda</w:t>
            </w:r>
          </w:p>
        </w:tc>
        <w:tc>
          <w:tcPr>
            <w:tcW w:w="1826" w:type="pct"/>
            <w:noWrap/>
            <w:hideMark/>
          </w:tcPr>
          <w:p w14:paraId="60BF138B" w14:textId="77777777" w:rsidR="00B41F45" w:rsidRPr="00E05970" w:rsidRDefault="00B41F45" w:rsidP="00B41F45">
            <w:pPr>
              <w:spacing w:after="160" w:line="259" w:lineRule="auto"/>
              <w:jc w:val="center"/>
              <w:rPr>
                <w:rFonts w:eastAsiaTheme="minorEastAsia" w:cs="Times New Roman"/>
                <w:szCs w:val="21"/>
              </w:rPr>
            </w:pPr>
            <w:r w:rsidRPr="00E05970">
              <w:rPr>
                <w:rFonts w:eastAsiaTheme="minorEastAsia" w:cs="Times New Roman"/>
                <w:szCs w:val="21"/>
              </w:rPr>
              <w:t>43</w:t>
            </w:r>
          </w:p>
        </w:tc>
        <w:tc>
          <w:tcPr>
            <w:tcW w:w="1937" w:type="pct"/>
            <w:noWrap/>
            <w:hideMark/>
          </w:tcPr>
          <w:p w14:paraId="1D5DB46F" w14:textId="77777777" w:rsidR="00B41F45" w:rsidRPr="00E05970" w:rsidRDefault="00B41F45" w:rsidP="00B41F45">
            <w:pPr>
              <w:spacing w:after="160" w:line="259" w:lineRule="auto"/>
              <w:jc w:val="center"/>
              <w:rPr>
                <w:rFonts w:eastAsiaTheme="minorEastAsia" w:cs="Times New Roman"/>
                <w:szCs w:val="21"/>
              </w:rPr>
            </w:pPr>
            <w:r w:rsidRPr="00E05970">
              <w:rPr>
                <w:rFonts w:eastAsiaTheme="minorEastAsia" w:cs="Times New Roman"/>
                <w:szCs w:val="21"/>
              </w:rPr>
              <w:t>4,8%</w:t>
            </w:r>
          </w:p>
        </w:tc>
      </w:tr>
      <w:tr w:rsidR="00B41F45" w:rsidRPr="00E05970" w14:paraId="7AE4D3F1" w14:textId="77777777" w:rsidTr="00B41F45">
        <w:trPr>
          <w:trHeight w:val="290"/>
          <w:jc w:val="center"/>
        </w:trPr>
        <w:tc>
          <w:tcPr>
            <w:tcW w:w="1237" w:type="pct"/>
            <w:noWrap/>
            <w:hideMark/>
          </w:tcPr>
          <w:p w14:paraId="58DEF405" w14:textId="77777777" w:rsidR="00B41F45" w:rsidRPr="00E05970" w:rsidRDefault="00B41F45" w:rsidP="00B41F45">
            <w:pPr>
              <w:spacing w:after="160" w:line="259" w:lineRule="auto"/>
              <w:jc w:val="both"/>
              <w:rPr>
                <w:rFonts w:eastAsiaTheme="minorEastAsia" w:cs="Times New Roman"/>
                <w:szCs w:val="21"/>
              </w:rPr>
            </w:pPr>
            <w:r w:rsidRPr="00E05970">
              <w:rPr>
                <w:rFonts w:eastAsiaTheme="minorEastAsia" w:cs="Times New Roman"/>
                <w:szCs w:val="21"/>
              </w:rPr>
              <w:t>MOF bez Olsztyna</w:t>
            </w:r>
          </w:p>
        </w:tc>
        <w:tc>
          <w:tcPr>
            <w:tcW w:w="1826" w:type="pct"/>
            <w:noWrap/>
            <w:hideMark/>
          </w:tcPr>
          <w:p w14:paraId="7C445A6D" w14:textId="77777777" w:rsidR="00B41F45" w:rsidRPr="00E05970" w:rsidRDefault="00B41F45" w:rsidP="00B41F45">
            <w:pPr>
              <w:spacing w:after="160" w:line="259" w:lineRule="auto"/>
              <w:jc w:val="center"/>
              <w:rPr>
                <w:rFonts w:eastAsiaTheme="minorEastAsia" w:cs="Times New Roman"/>
                <w:szCs w:val="21"/>
              </w:rPr>
            </w:pPr>
            <w:r w:rsidRPr="00E05970">
              <w:rPr>
                <w:rFonts w:eastAsiaTheme="minorEastAsia" w:cs="Times New Roman"/>
                <w:szCs w:val="21"/>
              </w:rPr>
              <w:t>361</w:t>
            </w:r>
          </w:p>
        </w:tc>
        <w:tc>
          <w:tcPr>
            <w:tcW w:w="1937" w:type="pct"/>
            <w:noWrap/>
            <w:hideMark/>
          </w:tcPr>
          <w:p w14:paraId="654DF60A" w14:textId="77777777" w:rsidR="00B41F45" w:rsidRPr="00E05970" w:rsidRDefault="00B41F45" w:rsidP="00B41F45">
            <w:pPr>
              <w:spacing w:after="160" w:line="259" w:lineRule="auto"/>
              <w:jc w:val="center"/>
              <w:rPr>
                <w:rFonts w:eastAsiaTheme="minorEastAsia" w:cs="Times New Roman"/>
                <w:szCs w:val="21"/>
              </w:rPr>
            </w:pPr>
            <w:r w:rsidRPr="00E05970">
              <w:rPr>
                <w:rFonts w:eastAsiaTheme="minorEastAsia" w:cs="Times New Roman"/>
                <w:szCs w:val="21"/>
              </w:rPr>
              <w:t>7,8%</w:t>
            </w:r>
          </w:p>
        </w:tc>
      </w:tr>
      <w:tr w:rsidR="00B41F45" w:rsidRPr="00E05970" w14:paraId="31CC4B7C" w14:textId="77777777" w:rsidTr="00B41F45">
        <w:trPr>
          <w:trHeight w:val="290"/>
          <w:jc w:val="center"/>
        </w:trPr>
        <w:tc>
          <w:tcPr>
            <w:tcW w:w="1237" w:type="pct"/>
            <w:noWrap/>
            <w:hideMark/>
          </w:tcPr>
          <w:p w14:paraId="37A3BD7C" w14:textId="77777777" w:rsidR="00B41F45" w:rsidRPr="00E05970" w:rsidRDefault="00B41F45" w:rsidP="00B41F45">
            <w:pPr>
              <w:spacing w:after="160" w:line="259" w:lineRule="auto"/>
              <w:jc w:val="both"/>
              <w:rPr>
                <w:rFonts w:eastAsiaTheme="minorEastAsia" w:cs="Times New Roman"/>
                <w:szCs w:val="21"/>
              </w:rPr>
            </w:pPr>
            <w:r w:rsidRPr="00E05970">
              <w:rPr>
                <w:rFonts w:eastAsiaTheme="minorEastAsia" w:cs="Times New Roman"/>
                <w:szCs w:val="21"/>
              </w:rPr>
              <w:t>MOF razem</w:t>
            </w:r>
          </w:p>
        </w:tc>
        <w:tc>
          <w:tcPr>
            <w:tcW w:w="1826" w:type="pct"/>
            <w:noWrap/>
            <w:hideMark/>
          </w:tcPr>
          <w:p w14:paraId="1FA91E7B" w14:textId="77777777" w:rsidR="00B41F45" w:rsidRPr="00E05970" w:rsidRDefault="00B41F45" w:rsidP="00B41F45">
            <w:pPr>
              <w:spacing w:after="160" w:line="259" w:lineRule="auto"/>
              <w:jc w:val="center"/>
              <w:rPr>
                <w:rFonts w:eastAsiaTheme="minorEastAsia" w:cs="Times New Roman"/>
                <w:szCs w:val="21"/>
              </w:rPr>
            </w:pPr>
            <w:r w:rsidRPr="00E05970">
              <w:rPr>
                <w:rFonts w:eastAsiaTheme="minorEastAsia" w:cs="Times New Roman"/>
                <w:szCs w:val="21"/>
              </w:rPr>
              <w:t>420</w:t>
            </w:r>
          </w:p>
        </w:tc>
        <w:tc>
          <w:tcPr>
            <w:tcW w:w="1937" w:type="pct"/>
            <w:noWrap/>
            <w:hideMark/>
          </w:tcPr>
          <w:p w14:paraId="360325C2" w14:textId="77777777" w:rsidR="00B41F45" w:rsidRPr="00E05970" w:rsidRDefault="00B41F45" w:rsidP="00B41F45">
            <w:pPr>
              <w:spacing w:after="160" w:line="259" w:lineRule="auto"/>
              <w:jc w:val="center"/>
              <w:rPr>
                <w:rFonts w:eastAsiaTheme="minorEastAsia" w:cs="Times New Roman"/>
                <w:szCs w:val="21"/>
              </w:rPr>
            </w:pPr>
            <w:r w:rsidRPr="00E05970">
              <w:rPr>
                <w:rFonts w:eastAsiaTheme="minorEastAsia" w:cs="Times New Roman"/>
                <w:szCs w:val="21"/>
              </w:rPr>
              <w:t>1,5%</w:t>
            </w:r>
          </w:p>
        </w:tc>
      </w:tr>
    </w:tbl>
    <w:p w14:paraId="05789CE2" w14:textId="4BC4E71E" w:rsidR="00B41F45" w:rsidRPr="00B41F45" w:rsidRDefault="00B41F45" w:rsidP="00B41F45">
      <w:pPr>
        <w:jc w:val="center"/>
        <w:rPr>
          <w:rFonts w:eastAsiaTheme="minorEastAsia" w:cs="Times New Roman"/>
          <w:i/>
          <w:sz w:val="20"/>
          <w:szCs w:val="20"/>
        </w:rPr>
      </w:pPr>
      <w:r w:rsidRPr="00B41F45">
        <w:rPr>
          <w:rFonts w:eastAsiaTheme="minorEastAsia" w:cs="Times New Roman"/>
          <w:i/>
          <w:sz w:val="20"/>
          <w:szCs w:val="20"/>
        </w:rPr>
        <w:t>źródło: dane gmin MOF Olsztyna</w:t>
      </w:r>
    </w:p>
    <w:p w14:paraId="3E59C353" w14:textId="77777777" w:rsidR="00B41F45" w:rsidRDefault="00B41F45" w:rsidP="00B41F45">
      <w:pPr>
        <w:jc w:val="both"/>
        <w:rPr>
          <w:rFonts w:eastAsiaTheme="minorEastAsia" w:cs="Times New Roman"/>
          <w:szCs w:val="21"/>
        </w:rPr>
      </w:pPr>
    </w:p>
    <w:p w14:paraId="7F272C7D" w14:textId="0E1E601C" w:rsidR="00B41F45" w:rsidRPr="00E05970" w:rsidRDefault="00B41F45" w:rsidP="00B41F45">
      <w:pPr>
        <w:jc w:val="both"/>
        <w:rPr>
          <w:rFonts w:eastAsiaTheme="minorEastAsia" w:cs="Times New Roman"/>
          <w:szCs w:val="21"/>
        </w:rPr>
      </w:pPr>
      <w:r w:rsidRPr="00E05970">
        <w:rPr>
          <w:rFonts w:eastAsiaTheme="minorEastAsia" w:cs="Times New Roman"/>
          <w:szCs w:val="21"/>
        </w:rPr>
        <w:t>Nie są to na razie duże zakupy, zwłaszcza w porównaniu z liczbą uczniów i rzeczywistym zapotrzebowaniem. Z pewnością nie zdołały jeszcze w zamknąć luki sprzętowej w tym zakresie. Jednak sprawia, że wzrasta kolejna szansa na upowszechnienie nowych technologii w oświacie, uodparniając ją jednocześnie na kryzysy i trudności. Może to również poszerzyć dostęp do wysokiej jakości edukacji bez względu na miejsce zamieszkania w MOF Olsztyna, co umożliwi ogólny wzrost poziomu kształcenia w na całym obszarze.</w:t>
      </w:r>
    </w:p>
    <w:p w14:paraId="1CE2C5ED" w14:textId="77777777" w:rsidR="00B41F45" w:rsidRPr="00E05970" w:rsidRDefault="00B41F45" w:rsidP="00B41F45">
      <w:pPr>
        <w:jc w:val="both"/>
        <w:rPr>
          <w:rFonts w:eastAsiaTheme="minorEastAsia" w:cs="Times New Roman"/>
          <w:szCs w:val="21"/>
        </w:rPr>
      </w:pPr>
      <w:r w:rsidRPr="00E05970">
        <w:rPr>
          <w:rFonts w:eastAsiaTheme="minorEastAsia" w:cs="Times New Roman"/>
          <w:szCs w:val="21"/>
        </w:rPr>
        <w:t xml:space="preserve"> Jednak należy podkreślić, że placówki oświatowe wymagają dalszego wyposażenia w sprzęt, dostęp do dobrej jakości internetu. Proces ten musi być również wzbogacony o wzrost umiejętności cyfrowych nauczycieli.</w:t>
      </w:r>
    </w:p>
    <w:p w14:paraId="42CFDB28" w14:textId="77777777" w:rsidR="00B41F45" w:rsidRPr="00E05970" w:rsidRDefault="00B41F45" w:rsidP="00B41F45">
      <w:pPr>
        <w:jc w:val="both"/>
        <w:rPr>
          <w:rFonts w:eastAsiaTheme="minorEastAsia" w:cs="Times New Roman"/>
          <w:szCs w:val="21"/>
        </w:rPr>
      </w:pPr>
      <w:r w:rsidRPr="00E05970">
        <w:rPr>
          <w:rFonts w:eastAsiaTheme="minorEastAsia" w:cs="Times New Roman"/>
          <w:szCs w:val="21"/>
        </w:rPr>
        <w:t>Nowe technologie stały się niezwykle ważne także w edukacji na poziomach wyższych niż szkoły  podstawowe i średnie. W 2020 roku 14,5% osób w wieku 16-74 korzystało z możliwości nauki, korepetycji czy szkoleń przez Internet. Wskaźnik ten jest silnie zróżnicowany pod względem wieku ankietowanych. Najwyższy poziom wykorzystania technologii informatycznych w nauce i dokształcaniu zadeklarowało prawie ¾ osób w wieku 16-24 lata. W pozostałych grupach wiekowych poziom wskaźnika nie przekraczał 11%.</w:t>
      </w:r>
      <w:r w:rsidRPr="00E05970">
        <w:rPr>
          <w:rStyle w:val="Odwoanieprzypisudolnego"/>
          <w:rFonts w:eastAsiaTheme="minorEastAsia" w:cs="Times New Roman"/>
          <w:szCs w:val="21"/>
        </w:rPr>
        <w:footnoteReference w:id="128"/>
      </w:r>
    </w:p>
    <w:p w14:paraId="3B176101" w14:textId="77777777" w:rsidR="00B41F45" w:rsidRPr="00E05970" w:rsidRDefault="00B41F45" w:rsidP="00B41F45">
      <w:pPr>
        <w:jc w:val="both"/>
        <w:rPr>
          <w:rFonts w:eastAsiaTheme="minorEastAsia" w:cs="Times New Roman"/>
          <w:szCs w:val="21"/>
        </w:rPr>
      </w:pPr>
    </w:p>
    <w:p w14:paraId="0AF1242E" w14:textId="77777777" w:rsidR="00B41F45" w:rsidRPr="00B41F45" w:rsidRDefault="00B41F45" w:rsidP="00B41F45">
      <w:pPr>
        <w:pStyle w:val="Nagwek2"/>
        <w:spacing w:before="0" w:after="160"/>
        <w:rPr>
          <w:rFonts w:asciiTheme="minorHAnsi" w:hAnsiTheme="minorHAnsi" w:cstheme="minorHAnsi"/>
        </w:rPr>
      </w:pPr>
      <w:bookmarkStart w:id="325" w:name="_Toc73534958"/>
      <w:r w:rsidRPr="00B41F45">
        <w:rPr>
          <w:rFonts w:asciiTheme="minorHAnsi" w:hAnsiTheme="minorHAnsi" w:cstheme="minorHAnsi"/>
        </w:rPr>
        <w:t>6.4. Mobilność miejska</w:t>
      </w:r>
      <w:bookmarkEnd w:id="325"/>
    </w:p>
    <w:p w14:paraId="6005B0C1" w14:textId="77777777" w:rsidR="00B41F45" w:rsidRPr="00E05970" w:rsidRDefault="00B41F45" w:rsidP="00B41F45">
      <w:pPr>
        <w:jc w:val="both"/>
        <w:rPr>
          <w:rFonts w:eastAsiaTheme="minorEastAsia" w:cs="Times New Roman"/>
          <w:szCs w:val="21"/>
        </w:rPr>
      </w:pPr>
      <w:r w:rsidRPr="00E05970">
        <w:rPr>
          <w:rFonts w:eastAsiaTheme="minorEastAsia" w:cs="Times New Roman"/>
          <w:szCs w:val="21"/>
        </w:rPr>
        <w:t xml:space="preserve">Pandemia COVID-19 wywarła szczególnie niekorzystny wpływ na branżę transportu zbiorowego, na co wpłynęły nie tylko obawy pasażerów przed korzystaniem z tych usług, ale także ograniczenia związane z napełnieniem pojazdów komunikacji publicznej oraz oficjalne komunikaty zniechęcające do podróży tymi środkami transportu. Spadek odbywanych podróży komunikacją miejską organizowaną przez </w:t>
      </w:r>
      <w:r w:rsidRPr="00E05970">
        <w:rPr>
          <w:rFonts w:eastAsiaTheme="minorEastAsia" w:cs="Times New Roman"/>
          <w:szCs w:val="21"/>
        </w:rPr>
        <w:lastRenderedPageBreak/>
        <w:t>ZDZiT w Olsztynie wynosił 40,3% względem roku 2019. Przekładało się też na znaczne spadki przychodów rzędu 38,7%. Wielkim wyzwaniem w najbliższych latach będzie więc odbudowanie zaufania do tego segmentu zrównoważonej mobilności oraz mocne wsparcie całej branży, aby nie zaprzepaścić korzystnego trendu rozwoju transportu zbiorowego. Trend ten wyraźnie widoczny jest także w MOF Olsztyna, w którym mimo trudności wynikających z pandemii, kolejne gminy zapewniały swoim mieszkańcom dostęp do ulepszonej (Dywity, Stawiguda, Barczewo) lub zupełnie nowej (Gietrzwałd, Purda, Jonkowo) oferty transportowej organizowanej lub współfinansowanej przez samorządy. Dzięki tym działaniom zmniejszyło się znacznie wykluczenie transportowe w MOF Olsztyna i jako zmiany korzystne - powinny być koniecznie utrzymane.</w:t>
      </w:r>
    </w:p>
    <w:p w14:paraId="555AD738" w14:textId="77777777" w:rsidR="00B41F45" w:rsidRPr="00E05970" w:rsidRDefault="00B41F45" w:rsidP="00B41F45">
      <w:pPr>
        <w:jc w:val="both"/>
        <w:rPr>
          <w:rFonts w:eastAsiaTheme="minorEastAsia" w:cs="Times New Roman"/>
          <w:szCs w:val="21"/>
        </w:rPr>
      </w:pPr>
      <w:r w:rsidRPr="00E05970">
        <w:rPr>
          <w:rFonts w:eastAsiaTheme="minorEastAsia" w:cs="Times New Roman"/>
          <w:szCs w:val="21"/>
        </w:rPr>
        <w:t xml:space="preserve">Wartym wykorzystania, w działaniach podejmowanych przez gminy, jest również rosnąca liczba użytkowników transportu rowerowego. Zarówno producenci i sprzedawcy jednośladów, jak i miasta liczące użytkowników rowerów na swoich drogach, zaobserwowali wyraźny wzrost popularności tego środka transportu. Ciekawych danych w tym zakresie dostarczyła popularna wyszukiwarka Google. Od lutego 2020 r. liczba pytań o wskazówki dojazdu dla rowerzystów w mapach Google’a wzrosła o 69% </w:t>
      </w:r>
      <w:r w:rsidRPr="00E05970">
        <w:rPr>
          <w:rFonts w:eastAsiaTheme="minorEastAsia" w:cs="Times New Roman"/>
          <w:szCs w:val="21"/>
        </w:rPr>
        <w:br/>
        <w:t xml:space="preserve">i sięgnęła rekordowego poziomu w czerwcu. W Polsce Google zanotował natomiast nawet o 280% wzrost pytań o trasę, lepsi byli tylko Finowie: 303%. Warszawa ze wzrostem na poziomie 334% wyprzedza nieznacznie Katowice: 325%, Poznań: 282%. i Kraków 242%. Rośnie też rynek serwisowy, potwierdzając tym samym zainteresowanie hasłem „naprawa rowerów w pobliżu”: wzrosło ono </w:t>
      </w:r>
      <w:r w:rsidRPr="00E05970">
        <w:rPr>
          <w:rFonts w:eastAsiaTheme="minorEastAsia" w:cs="Times New Roman"/>
          <w:szCs w:val="21"/>
        </w:rPr>
        <w:br/>
        <w:t>w wyszukiwarce ponad dwukrotnie</w:t>
      </w:r>
      <w:r w:rsidRPr="00E05970">
        <w:rPr>
          <w:rFonts w:eastAsiaTheme="minorEastAsia" w:cs="Times New Roman"/>
          <w:szCs w:val="21"/>
          <w:vertAlign w:val="superscript"/>
        </w:rPr>
        <w:footnoteReference w:id="129"/>
      </w:r>
      <w:r w:rsidRPr="00E05970">
        <w:rPr>
          <w:rFonts w:eastAsiaTheme="minorEastAsia" w:cs="Times New Roman"/>
          <w:szCs w:val="21"/>
        </w:rPr>
        <w:t>. Widząc zainteresowanie tym środkiem transportu zasadnym jest dalsze rozwijanie łańcuchów ekomobilności w MOF Olsztyna.</w:t>
      </w:r>
    </w:p>
    <w:p w14:paraId="18FF69E5" w14:textId="77777777" w:rsidR="00B41F45" w:rsidRPr="00E05970" w:rsidRDefault="00B41F45" w:rsidP="00B41F45">
      <w:pPr>
        <w:jc w:val="both"/>
        <w:rPr>
          <w:rFonts w:eastAsiaTheme="minorEastAsia" w:cs="Times New Roman"/>
          <w:szCs w:val="21"/>
        </w:rPr>
      </w:pPr>
      <w:r w:rsidRPr="00E05970">
        <w:rPr>
          <w:rFonts w:eastAsiaTheme="minorEastAsia" w:cs="Times New Roman"/>
          <w:szCs w:val="21"/>
        </w:rPr>
        <w:t>Nie można przy tym zapominać o podróżach pieszych, które w MOF Olsztyna stanowią znaczną część ruchu – jeszcze przed pandemią wykonywano tak nawet 25% podróży</w:t>
      </w:r>
      <w:r w:rsidRPr="00E05970">
        <w:rPr>
          <w:rFonts w:eastAsiaTheme="minorEastAsia" w:cs="Times New Roman"/>
          <w:szCs w:val="21"/>
          <w:vertAlign w:val="superscript"/>
        </w:rPr>
        <w:footnoteReference w:id="130"/>
      </w:r>
      <w:r w:rsidRPr="00E05970">
        <w:rPr>
          <w:rFonts w:eastAsiaTheme="minorEastAsia" w:cs="Times New Roman"/>
          <w:szCs w:val="21"/>
        </w:rPr>
        <w:t>, co oznacza duży potencjał, szczególnie w Olsztynie, który posiada wyjątkowo korzystną, kompaktową strukturę przestrzenną, sprzyjającą poruszaniu się pieszo. Aby podtrzymać i rozwijać ten korzystny dla zdrowia i środowiska trend, należy zadbać szczególnie o komfort i bezpieczeństwo pieszych uczestników mobilności miejskiej.</w:t>
      </w:r>
    </w:p>
    <w:p w14:paraId="198E34E9" w14:textId="77777777" w:rsidR="00B41F45" w:rsidRPr="00E05970" w:rsidRDefault="00B41F45" w:rsidP="00B41F45">
      <w:pPr>
        <w:jc w:val="both"/>
        <w:rPr>
          <w:rFonts w:eastAsiaTheme="minorEastAsia" w:cs="Times New Roman"/>
          <w:szCs w:val="21"/>
        </w:rPr>
      </w:pPr>
    </w:p>
    <w:p w14:paraId="7F908364" w14:textId="77777777" w:rsidR="00B41F45" w:rsidRPr="00B41F45" w:rsidRDefault="00B41F45" w:rsidP="00B41F45">
      <w:pPr>
        <w:pStyle w:val="Nagwek2"/>
        <w:spacing w:before="0" w:after="160"/>
        <w:rPr>
          <w:rFonts w:asciiTheme="minorHAnsi" w:hAnsiTheme="minorHAnsi" w:cstheme="minorHAnsi"/>
        </w:rPr>
      </w:pPr>
      <w:bookmarkStart w:id="326" w:name="_Toc73534959"/>
      <w:r w:rsidRPr="00B41F45">
        <w:rPr>
          <w:rFonts w:asciiTheme="minorHAnsi" w:hAnsiTheme="minorHAnsi" w:cstheme="minorHAnsi"/>
        </w:rPr>
        <w:t>6.5. Przestrzenie publiczne</w:t>
      </w:r>
      <w:bookmarkEnd w:id="326"/>
    </w:p>
    <w:p w14:paraId="660D8EBC" w14:textId="4519CBA9" w:rsidR="00B41F45" w:rsidRDefault="00B41F45" w:rsidP="00B41F45">
      <w:pPr>
        <w:jc w:val="both"/>
        <w:rPr>
          <w:rFonts w:eastAsiaTheme="minorEastAsia" w:cs="Times New Roman"/>
          <w:szCs w:val="21"/>
        </w:rPr>
      </w:pPr>
      <w:r w:rsidRPr="00E05970">
        <w:rPr>
          <w:rFonts w:eastAsiaTheme="minorEastAsia" w:cs="Times New Roman"/>
          <w:szCs w:val="21"/>
        </w:rPr>
        <w:t>Przyjazne i dostępne przestrzenie publiczne, szczególnie zielone, stały się szczególnie istotne w czasie pandemii COVID-19. Ze względu na ograniczenia dotyczące szczególnie zamkniętych przestrzeni, takich jak galerie, muzea, kina i inne instytucje kultury, wzrasta popularność spotkań i spędzania wolnego czasu na świeżym powietrzu. Z tego powodu szczególna uwaga samorządowców na całym świecie zwrócona została na publiczne tereny zielone, które stały się nowym miejscem sprzyjającym podtrzymywaniu relacji społecznych, zwłaszcza w czasie poważnych ograniczeń w innych przestrzeniach. Ponadto ruch na świeżym powietrzu sprzyja odporności i utrzymaniu dobrego stanu zdrowia, co nie jest bez znaczenia w zwalczaniu pandemii COVID-19 i jej skutków. W nowym okresie programowania należy zatem zadbać o jakość przestrzeni, tak aby była dostępna dla wszystkich i aby jej jakość zachęcała do spędzania w niej czasu. Jednocześnie miała walory odpornej na występujące zmiany klimatu.</w:t>
      </w:r>
    </w:p>
    <w:p w14:paraId="09A6ED5C" w14:textId="77777777" w:rsidR="00B41F45" w:rsidRPr="00E05970" w:rsidRDefault="00B41F45" w:rsidP="00B41F45">
      <w:pPr>
        <w:jc w:val="both"/>
        <w:rPr>
          <w:rFonts w:eastAsiaTheme="minorEastAsia" w:cs="Times New Roman"/>
          <w:szCs w:val="21"/>
        </w:rPr>
      </w:pPr>
    </w:p>
    <w:p w14:paraId="3129A26E" w14:textId="77777777" w:rsidR="00B41F45" w:rsidRPr="00B41F45" w:rsidRDefault="00B41F45" w:rsidP="00B41F45">
      <w:pPr>
        <w:pStyle w:val="Nagwek2"/>
        <w:spacing w:before="0" w:after="160"/>
        <w:rPr>
          <w:rFonts w:asciiTheme="minorHAnsi" w:hAnsiTheme="minorHAnsi" w:cstheme="minorHAnsi"/>
        </w:rPr>
      </w:pPr>
      <w:bookmarkStart w:id="327" w:name="_Toc73534960"/>
      <w:r w:rsidRPr="00B41F45">
        <w:rPr>
          <w:rFonts w:asciiTheme="minorHAnsi" w:hAnsiTheme="minorHAnsi" w:cstheme="minorHAnsi"/>
        </w:rPr>
        <w:lastRenderedPageBreak/>
        <w:t>6.6. Gospodarka</w:t>
      </w:r>
      <w:bookmarkEnd w:id="327"/>
    </w:p>
    <w:p w14:paraId="25493186" w14:textId="0B37E55F" w:rsidR="00B41F45" w:rsidRPr="00E05970" w:rsidRDefault="00B41F45" w:rsidP="00B41F45">
      <w:pPr>
        <w:autoSpaceDE w:val="0"/>
        <w:autoSpaceDN w:val="0"/>
        <w:adjustRightInd w:val="0"/>
        <w:jc w:val="both"/>
        <w:rPr>
          <w:rFonts w:eastAsiaTheme="minorEastAsia" w:cs="Times New Roman"/>
        </w:rPr>
      </w:pPr>
      <w:r w:rsidRPr="00E05970">
        <w:rPr>
          <w:rFonts w:eastAsiaTheme="minorEastAsia" w:cs="Times New Roman"/>
          <w:szCs w:val="21"/>
        </w:rPr>
        <w:t>Badania sytuacji społeczno-gospodarczej w kraju w 2020 r. wskazują, że poważne trudności gospodarcze wynikające z pandemii COVID-19 nie ominęły Polski. Przeciętne zatrudnienie w sek</w:t>
      </w:r>
      <w:r w:rsidR="006D668E">
        <w:rPr>
          <w:rFonts w:eastAsiaTheme="minorEastAsia" w:cs="Times New Roman"/>
          <w:szCs w:val="21"/>
        </w:rPr>
        <w:t xml:space="preserve">torze przedsiębiorstw w </w:t>
      </w:r>
      <w:r w:rsidRPr="00E05970">
        <w:rPr>
          <w:rFonts w:eastAsiaTheme="minorEastAsia" w:cs="Times New Roman"/>
          <w:szCs w:val="21"/>
        </w:rPr>
        <w:t xml:space="preserve">2020 r. było o 1,1% niższe niż przed rokiem (wobec wzrostu o 2,7% w 2019 r.). 42% </w:t>
      </w:r>
      <w:r w:rsidRPr="00E05970">
        <w:rPr>
          <w:rFonts w:cs="Sailec-Bold"/>
          <w:bCs/>
        </w:rPr>
        <w:t>respondentów w wieku 40-54 lat i 36% w wieku 25-39 lat martwiło się o utratę pracy, zaś problemami finansowymi niepokoiło się 54% osób w wieku 40-54 lat i 46% w wieku 25-39 lat.</w:t>
      </w:r>
      <w:r w:rsidRPr="00E05970">
        <w:rPr>
          <w:rStyle w:val="Odwoanieprzypisudolnego"/>
          <w:rFonts w:cs="Sailec-Bold"/>
          <w:bCs/>
        </w:rPr>
        <w:footnoteReference w:id="131"/>
      </w:r>
    </w:p>
    <w:p w14:paraId="03FDBA2D" w14:textId="4E7AB9BF" w:rsidR="00B41F45" w:rsidRPr="00E05970" w:rsidRDefault="00B41F45" w:rsidP="00B41F45">
      <w:pPr>
        <w:jc w:val="both"/>
        <w:rPr>
          <w:rFonts w:eastAsiaTheme="minorEastAsia" w:cs="Times New Roman"/>
          <w:szCs w:val="21"/>
        </w:rPr>
      </w:pPr>
      <w:r w:rsidRPr="00E05970">
        <w:rPr>
          <w:rFonts w:eastAsiaTheme="minorEastAsia" w:cs="Times New Roman"/>
          <w:szCs w:val="21"/>
        </w:rPr>
        <w:t>Produkcja sprzedana przemysłu w 2020 r. obniżyła się w skali roku (po raz pierwszy od 2009 r.), o 1,7% - wobec wzrostu o 5,1% w 2019 r. W podmiotach o liczbie pracujących powyżej 9 osób głęboki spadek produkcji w skali roku notowano w II kwartale 2020 r., w którym wprowadzono pierwsze ograniczenia w życiu społecznym i gospodarczym związane z epidemią. W pozostałych okresach obserwowano wzrost produkcji, w tym znaczny w IV kwartale. Według wstęp</w:t>
      </w:r>
      <w:r w:rsidR="006D668E">
        <w:rPr>
          <w:rFonts w:eastAsiaTheme="minorEastAsia" w:cs="Times New Roman"/>
          <w:szCs w:val="21"/>
        </w:rPr>
        <w:t xml:space="preserve">nych </w:t>
      </w:r>
      <w:r w:rsidRPr="00E05970">
        <w:rPr>
          <w:rFonts w:eastAsiaTheme="minorEastAsia" w:cs="Times New Roman"/>
          <w:szCs w:val="21"/>
        </w:rPr>
        <w:t xml:space="preserve">szacunków, po raz pierwszy </w:t>
      </w:r>
      <w:r w:rsidR="006D668E">
        <w:rPr>
          <w:rFonts w:eastAsiaTheme="minorEastAsia" w:cs="Times New Roman"/>
          <w:szCs w:val="21"/>
        </w:rPr>
        <w:t xml:space="preserve">od </w:t>
      </w:r>
      <w:r w:rsidRPr="00E05970">
        <w:rPr>
          <w:rFonts w:eastAsiaTheme="minorEastAsia" w:cs="Times New Roman"/>
          <w:szCs w:val="21"/>
        </w:rPr>
        <w:t xml:space="preserve">dziesięciu lat, sprzedaż detaliczna ogółem w 2020 r. była niższa niż w roku poprzednim – o 3,8% (kiedy obserwowano wzrost o 4,7%). Miały na to wpływ przede wszystkim spadki w II i IV kwartale roku związane z dwoma lockdownami. W 2020 r. w drugim roku z rzędu zmniejszyły się też przewozy ładunków, a spadek był większy niż w 2019  r. (choć pod koniec roku nastąpił wzrost i w grudniu 2020 r., po raz pierwszy od października 2019 r., przetransportowano więcej ładunków niż przed rokiem – </w:t>
      </w:r>
      <w:r w:rsidR="006D668E">
        <w:rPr>
          <w:rFonts w:eastAsiaTheme="minorEastAsia" w:cs="Times New Roman"/>
          <w:szCs w:val="21"/>
        </w:rPr>
        <w:br/>
      </w:r>
      <w:r w:rsidRPr="00E05970">
        <w:rPr>
          <w:rFonts w:eastAsiaTheme="minorEastAsia" w:cs="Times New Roman"/>
          <w:szCs w:val="21"/>
        </w:rPr>
        <w:t>o 3,6%). Dużemu ograniczeniu uległy przewozy pasażerskie (których spadek utrzymuje się od kilkunastu lat).</w:t>
      </w:r>
    </w:p>
    <w:p w14:paraId="37DBF151" w14:textId="77777777" w:rsidR="00B41F45" w:rsidRPr="00E05970" w:rsidRDefault="00B41F45" w:rsidP="00B41F45">
      <w:pPr>
        <w:jc w:val="both"/>
        <w:rPr>
          <w:rFonts w:eastAsiaTheme="minorEastAsia" w:cs="Times New Roman"/>
          <w:szCs w:val="21"/>
        </w:rPr>
      </w:pPr>
      <w:r w:rsidRPr="00E05970">
        <w:rPr>
          <w:rFonts w:eastAsiaTheme="minorEastAsia" w:cs="Times New Roman"/>
          <w:szCs w:val="21"/>
        </w:rPr>
        <w:t xml:space="preserve">Również analiza koniunktury w województwie warmińsko-mazurskim w III kwartale 2020 r.  potwierdza niekorzystny wpływ pandemii na gospodarkę regionu. Zaobserwowano spadek koniunktury w przemyśle i wzrost inflacji. Sytuację ratowała poprawa koniunktury w budownictwie i wzrost obrotów w handlu detalicznym, co umożliwiło spadek stopy bezrobocia. Korzystne było przy tym utrzymywanie się wysokiego popytu na krajowe usługi turystyczne, z czego korzystali przedsiębiorcy w regionach takich jak Warmia i Mazury. </w:t>
      </w:r>
    </w:p>
    <w:p w14:paraId="0BC58745" w14:textId="77777777" w:rsidR="00B41F45" w:rsidRPr="00E05970" w:rsidRDefault="00B41F45" w:rsidP="00B41F45">
      <w:pPr>
        <w:jc w:val="both"/>
        <w:rPr>
          <w:rFonts w:eastAsiaTheme="minorEastAsia" w:cs="Times New Roman"/>
          <w:szCs w:val="21"/>
        </w:rPr>
      </w:pPr>
      <w:r w:rsidRPr="00E05970">
        <w:rPr>
          <w:rFonts w:eastAsiaTheme="minorEastAsia" w:cs="Times New Roman"/>
          <w:szCs w:val="21"/>
        </w:rPr>
        <w:t>Choć pandemia COVID-19 wywołała wiele trudności w światowej gospodarce, między innymi z powodu zaburzeń łańcuchów dostaw i poważnych ograniczeń w transporcie towarów czy osób, to należy zwrócić uwagę nie tylko na problemy z tego wynikające. Silny impuls dla cyfryzacji gospodarki należy wykorzystać do jej unowocześnienia. Jednocześnie jest to również moment, który oferuje pewne szanse regionom dotychczas peryferyjnym, takim jak województwo warmińsko-mazurskie. Rosnąca popularność pracy zdalnej powoduje, że coraz więcej osób może znacznie swobodniej wybierać miejsce zamieszkania. A</w:t>
      </w:r>
      <w:bookmarkStart w:id="328" w:name="_GoBack"/>
      <w:bookmarkEnd w:id="328"/>
      <w:r w:rsidRPr="00E05970">
        <w:rPr>
          <w:rFonts w:eastAsiaTheme="minorEastAsia" w:cs="Times New Roman"/>
          <w:szCs w:val="21"/>
        </w:rPr>
        <w:t xml:space="preserve">trakcyjne przyrodniczo i dobrze już skomunikowane z resztą kraju tereny Warmii, stanowią interesującą alternatywę dla pracowników branży kreatywnej, przedsiębiorców </w:t>
      </w:r>
      <w:r w:rsidRPr="00E05970">
        <w:rPr>
          <w:rFonts w:eastAsiaTheme="minorEastAsia" w:cs="Times New Roman"/>
          <w:szCs w:val="21"/>
        </w:rPr>
        <w:br/>
        <w:t>i wszelkiego rodzaju wolnych zawodów, których codzienne zajęcia nie wymagają regularnych dojazdów. Należy zatem zwrócić szczególną uwagę na tę szansę rozwojową, której wykorzystanie może stanowić zupełnie nowy bodziec do rozwoju rynku pracy MOF Olsztyna, także w najbardziej pożądanym segmencie miejsc pracy wysokiej jakości.</w:t>
      </w:r>
    </w:p>
    <w:p w14:paraId="33E3298D" w14:textId="77777777" w:rsidR="00B41F45" w:rsidRPr="00E05970" w:rsidRDefault="00B41F45" w:rsidP="00B41F45"/>
    <w:p w14:paraId="156526AE" w14:textId="77777777" w:rsidR="000479FE" w:rsidRDefault="000479FE">
      <w:pPr>
        <w:rPr>
          <w:color w:val="FF0000"/>
        </w:rPr>
      </w:pPr>
      <w:r>
        <w:rPr>
          <w:color w:val="FF0000"/>
        </w:rPr>
        <w:br w:type="page"/>
      </w:r>
    </w:p>
    <w:p w14:paraId="726E3C52" w14:textId="05FFA347" w:rsidR="00C73174" w:rsidRPr="00024A3B" w:rsidRDefault="002F1741" w:rsidP="004A6875">
      <w:pPr>
        <w:pStyle w:val="Nagwek1"/>
        <w:spacing w:before="120" w:after="120" w:line="276" w:lineRule="auto"/>
      </w:pPr>
      <w:bookmarkStart w:id="329" w:name="_Toc73534961"/>
      <w:r w:rsidRPr="00024A3B">
        <w:lastRenderedPageBreak/>
        <w:t>INDEKS</w:t>
      </w:r>
      <w:r w:rsidR="00C73174" w:rsidRPr="00024A3B">
        <w:t xml:space="preserve"> WYKRESÓW</w:t>
      </w:r>
      <w:bookmarkEnd w:id="329"/>
    </w:p>
    <w:p w14:paraId="4E83C7CC" w14:textId="6A101A58" w:rsidR="006975FE" w:rsidRDefault="00306662">
      <w:pPr>
        <w:pStyle w:val="Spisilustracji"/>
        <w:tabs>
          <w:tab w:val="right" w:leader="dot" w:pos="9062"/>
        </w:tabs>
        <w:rPr>
          <w:rFonts w:eastAsiaTheme="minorEastAsia"/>
          <w:noProof/>
          <w:lang w:eastAsia="pl-PL"/>
        </w:rPr>
      </w:pPr>
      <w:r>
        <w:rPr>
          <w:color w:val="FF0000"/>
        </w:rPr>
        <w:fldChar w:fldCharType="begin"/>
      </w:r>
      <w:r>
        <w:rPr>
          <w:color w:val="FF0000"/>
        </w:rPr>
        <w:instrText xml:space="preserve"> TOC \f f \h \z \c "Wykres" </w:instrText>
      </w:r>
      <w:r>
        <w:rPr>
          <w:color w:val="FF0000"/>
        </w:rPr>
        <w:fldChar w:fldCharType="separate"/>
      </w:r>
      <w:hyperlink w:anchor="_Toc73516063" w:history="1">
        <w:r w:rsidR="006975FE" w:rsidRPr="00CD3EF4">
          <w:rPr>
            <w:rStyle w:val="Hipercze"/>
            <w:noProof/>
          </w:rPr>
          <w:t>Wykres 1. Liczba ludności w wybranych miastach Polski Wschodniej i ich otoczeniu (2013 i 2019)</w:t>
        </w:r>
        <w:r w:rsidR="006975FE">
          <w:rPr>
            <w:noProof/>
            <w:webHidden/>
          </w:rPr>
          <w:tab/>
        </w:r>
        <w:r w:rsidR="006975FE">
          <w:rPr>
            <w:noProof/>
            <w:webHidden/>
          </w:rPr>
          <w:fldChar w:fldCharType="begin"/>
        </w:r>
        <w:r w:rsidR="006975FE">
          <w:rPr>
            <w:noProof/>
            <w:webHidden/>
          </w:rPr>
          <w:instrText xml:space="preserve"> PAGEREF _Toc73516063 \h </w:instrText>
        </w:r>
        <w:r w:rsidR="006975FE">
          <w:rPr>
            <w:noProof/>
            <w:webHidden/>
          </w:rPr>
        </w:r>
        <w:r w:rsidR="006975FE">
          <w:rPr>
            <w:noProof/>
            <w:webHidden/>
          </w:rPr>
          <w:fldChar w:fldCharType="separate"/>
        </w:r>
        <w:r w:rsidR="00AD58C3">
          <w:rPr>
            <w:noProof/>
            <w:webHidden/>
          </w:rPr>
          <w:t>6</w:t>
        </w:r>
        <w:r w:rsidR="006975FE">
          <w:rPr>
            <w:noProof/>
            <w:webHidden/>
          </w:rPr>
          <w:fldChar w:fldCharType="end"/>
        </w:r>
      </w:hyperlink>
    </w:p>
    <w:p w14:paraId="3094C530" w14:textId="648D9AAD" w:rsidR="006975FE" w:rsidRDefault="00D22FE8">
      <w:pPr>
        <w:pStyle w:val="Spisilustracji"/>
        <w:tabs>
          <w:tab w:val="right" w:leader="dot" w:pos="9062"/>
        </w:tabs>
        <w:rPr>
          <w:rFonts w:eastAsiaTheme="minorEastAsia"/>
          <w:noProof/>
          <w:lang w:eastAsia="pl-PL"/>
        </w:rPr>
      </w:pPr>
      <w:hyperlink w:anchor="_Toc73516064" w:history="1">
        <w:r w:rsidR="006975FE" w:rsidRPr="00CD3EF4">
          <w:rPr>
            <w:rStyle w:val="Hipercze"/>
            <w:noProof/>
          </w:rPr>
          <w:t>Wykres 2. Zmiana liczby ludności w wybranych miastach Polski Wschodniej i ich otoczeniu w latach 2013 i 2019</w:t>
        </w:r>
        <w:r w:rsidR="006975FE">
          <w:rPr>
            <w:noProof/>
            <w:webHidden/>
          </w:rPr>
          <w:tab/>
        </w:r>
        <w:r w:rsidR="006975FE">
          <w:rPr>
            <w:noProof/>
            <w:webHidden/>
          </w:rPr>
          <w:fldChar w:fldCharType="begin"/>
        </w:r>
        <w:r w:rsidR="006975FE">
          <w:rPr>
            <w:noProof/>
            <w:webHidden/>
          </w:rPr>
          <w:instrText xml:space="preserve"> PAGEREF _Toc73516064 \h </w:instrText>
        </w:r>
        <w:r w:rsidR="006975FE">
          <w:rPr>
            <w:noProof/>
            <w:webHidden/>
          </w:rPr>
        </w:r>
        <w:r w:rsidR="006975FE">
          <w:rPr>
            <w:noProof/>
            <w:webHidden/>
          </w:rPr>
          <w:fldChar w:fldCharType="separate"/>
        </w:r>
        <w:r w:rsidR="00AD58C3">
          <w:rPr>
            <w:noProof/>
            <w:webHidden/>
          </w:rPr>
          <w:t>7</w:t>
        </w:r>
        <w:r w:rsidR="006975FE">
          <w:rPr>
            <w:noProof/>
            <w:webHidden/>
          </w:rPr>
          <w:fldChar w:fldCharType="end"/>
        </w:r>
      </w:hyperlink>
    </w:p>
    <w:p w14:paraId="565D8160" w14:textId="1E22025F" w:rsidR="006975FE" w:rsidRDefault="00D22FE8">
      <w:pPr>
        <w:pStyle w:val="Spisilustracji"/>
        <w:tabs>
          <w:tab w:val="right" w:leader="dot" w:pos="9062"/>
        </w:tabs>
        <w:rPr>
          <w:rFonts w:eastAsiaTheme="minorEastAsia"/>
          <w:noProof/>
          <w:lang w:eastAsia="pl-PL"/>
        </w:rPr>
      </w:pPr>
      <w:hyperlink w:anchor="_Toc73516065" w:history="1">
        <w:r w:rsidR="006975FE" w:rsidRPr="00CD3EF4">
          <w:rPr>
            <w:rStyle w:val="Hipercze"/>
            <w:noProof/>
          </w:rPr>
          <w:t xml:space="preserve">Wykres 3. </w:t>
        </w:r>
        <w:r w:rsidR="006975FE" w:rsidRPr="00CD3EF4">
          <w:rPr>
            <w:rStyle w:val="Hipercze"/>
            <w:bCs/>
            <w:noProof/>
          </w:rPr>
          <w:t>Prognoza dynamiki ludności wg płci w roku 2030 względem roku 2019 (%)</w:t>
        </w:r>
        <w:r w:rsidR="006975FE">
          <w:rPr>
            <w:noProof/>
            <w:webHidden/>
          </w:rPr>
          <w:tab/>
        </w:r>
        <w:r w:rsidR="006975FE">
          <w:rPr>
            <w:noProof/>
            <w:webHidden/>
          </w:rPr>
          <w:fldChar w:fldCharType="begin"/>
        </w:r>
        <w:r w:rsidR="006975FE">
          <w:rPr>
            <w:noProof/>
            <w:webHidden/>
          </w:rPr>
          <w:instrText xml:space="preserve"> PAGEREF _Toc73516065 \h </w:instrText>
        </w:r>
        <w:r w:rsidR="006975FE">
          <w:rPr>
            <w:noProof/>
            <w:webHidden/>
          </w:rPr>
        </w:r>
        <w:r w:rsidR="006975FE">
          <w:rPr>
            <w:noProof/>
            <w:webHidden/>
          </w:rPr>
          <w:fldChar w:fldCharType="separate"/>
        </w:r>
        <w:r w:rsidR="00AD58C3">
          <w:rPr>
            <w:noProof/>
            <w:webHidden/>
          </w:rPr>
          <w:t>8</w:t>
        </w:r>
        <w:r w:rsidR="006975FE">
          <w:rPr>
            <w:noProof/>
            <w:webHidden/>
          </w:rPr>
          <w:fldChar w:fldCharType="end"/>
        </w:r>
      </w:hyperlink>
    </w:p>
    <w:p w14:paraId="5C392FE4" w14:textId="357AE265" w:rsidR="006975FE" w:rsidRDefault="00D22FE8">
      <w:pPr>
        <w:pStyle w:val="Spisilustracji"/>
        <w:tabs>
          <w:tab w:val="right" w:leader="dot" w:pos="9062"/>
        </w:tabs>
        <w:rPr>
          <w:rFonts w:eastAsiaTheme="minorEastAsia"/>
          <w:noProof/>
          <w:lang w:eastAsia="pl-PL"/>
        </w:rPr>
      </w:pPr>
      <w:hyperlink w:anchor="_Toc73516066" w:history="1">
        <w:r w:rsidR="006975FE" w:rsidRPr="00CD3EF4">
          <w:rPr>
            <w:rStyle w:val="Hipercze"/>
            <w:noProof/>
          </w:rPr>
          <w:t xml:space="preserve">Wykres 4. </w:t>
        </w:r>
        <w:r w:rsidR="006975FE" w:rsidRPr="00CD3EF4">
          <w:rPr>
            <w:rStyle w:val="Hipercze"/>
            <w:bCs/>
            <w:noProof/>
            <w:lang w:val="en-US"/>
          </w:rPr>
          <w:t xml:space="preserve">Prognoza </w:t>
        </w:r>
        <w:r w:rsidR="006975FE" w:rsidRPr="00CD3EF4">
          <w:rPr>
            <w:rStyle w:val="Hipercze"/>
            <w:bCs/>
            <w:noProof/>
          </w:rPr>
          <w:t xml:space="preserve">liczby </w:t>
        </w:r>
        <w:r w:rsidR="006975FE" w:rsidRPr="00CD3EF4">
          <w:rPr>
            <w:rStyle w:val="Hipercze"/>
            <w:bCs/>
            <w:noProof/>
            <w:lang w:val="en-US"/>
          </w:rPr>
          <w:t>mieszkańców Olsztyna w latach 2019</w:t>
        </w:r>
        <w:r w:rsidR="006975FE" w:rsidRPr="00CD3EF4">
          <w:rPr>
            <w:rStyle w:val="Hipercze"/>
            <w:bCs/>
            <w:noProof/>
          </w:rPr>
          <w:t>, 2020, 2025,</w:t>
        </w:r>
        <w:r w:rsidR="006975FE" w:rsidRPr="00CD3EF4">
          <w:rPr>
            <w:rStyle w:val="Hipercze"/>
            <w:bCs/>
            <w:noProof/>
            <w:lang w:val="en-US"/>
          </w:rPr>
          <w:t xml:space="preserve"> 20</w:t>
        </w:r>
        <w:r w:rsidR="006975FE" w:rsidRPr="00CD3EF4">
          <w:rPr>
            <w:rStyle w:val="Hipercze"/>
            <w:bCs/>
            <w:noProof/>
          </w:rPr>
          <w:t>30</w:t>
        </w:r>
        <w:r w:rsidR="006975FE" w:rsidRPr="00CD3EF4">
          <w:rPr>
            <w:rStyle w:val="Hipercze"/>
            <w:bCs/>
            <w:noProof/>
            <w:lang w:val="en-US"/>
          </w:rPr>
          <w:t xml:space="preserve"> (os.)</w:t>
        </w:r>
        <w:r w:rsidR="006975FE">
          <w:rPr>
            <w:noProof/>
            <w:webHidden/>
          </w:rPr>
          <w:tab/>
        </w:r>
        <w:r w:rsidR="006975FE">
          <w:rPr>
            <w:noProof/>
            <w:webHidden/>
          </w:rPr>
          <w:fldChar w:fldCharType="begin"/>
        </w:r>
        <w:r w:rsidR="006975FE">
          <w:rPr>
            <w:noProof/>
            <w:webHidden/>
          </w:rPr>
          <w:instrText xml:space="preserve"> PAGEREF _Toc73516066 \h </w:instrText>
        </w:r>
        <w:r w:rsidR="006975FE">
          <w:rPr>
            <w:noProof/>
            <w:webHidden/>
          </w:rPr>
        </w:r>
        <w:r w:rsidR="006975FE">
          <w:rPr>
            <w:noProof/>
            <w:webHidden/>
          </w:rPr>
          <w:fldChar w:fldCharType="separate"/>
        </w:r>
        <w:r w:rsidR="00AD58C3">
          <w:rPr>
            <w:noProof/>
            <w:webHidden/>
          </w:rPr>
          <w:t>8</w:t>
        </w:r>
        <w:r w:rsidR="006975FE">
          <w:rPr>
            <w:noProof/>
            <w:webHidden/>
          </w:rPr>
          <w:fldChar w:fldCharType="end"/>
        </w:r>
      </w:hyperlink>
    </w:p>
    <w:p w14:paraId="18EF2CE0" w14:textId="6D1DD2B3" w:rsidR="006975FE" w:rsidRDefault="00D22FE8">
      <w:pPr>
        <w:pStyle w:val="Spisilustracji"/>
        <w:tabs>
          <w:tab w:val="right" w:leader="dot" w:pos="9062"/>
        </w:tabs>
        <w:rPr>
          <w:rFonts w:eastAsiaTheme="minorEastAsia"/>
          <w:noProof/>
          <w:lang w:eastAsia="pl-PL"/>
        </w:rPr>
      </w:pPr>
      <w:hyperlink w:anchor="_Toc73516067" w:history="1">
        <w:r w:rsidR="006975FE" w:rsidRPr="00CD3EF4">
          <w:rPr>
            <w:rStyle w:val="Hipercze"/>
            <w:noProof/>
          </w:rPr>
          <w:t xml:space="preserve">Wykres 5. </w:t>
        </w:r>
        <w:r w:rsidR="006975FE" w:rsidRPr="00CD3EF4">
          <w:rPr>
            <w:rStyle w:val="Hipercze"/>
            <w:bCs/>
            <w:noProof/>
          </w:rPr>
          <w:t>Prognoza dynamiki ludności wg ekonomicznych grup wieku w roku 2030 względem do roku 2019 (%)</w:t>
        </w:r>
        <w:r w:rsidR="006975FE">
          <w:rPr>
            <w:noProof/>
            <w:webHidden/>
          </w:rPr>
          <w:tab/>
        </w:r>
        <w:r w:rsidR="006975FE">
          <w:rPr>
            <w:noProof/>
            <w:webHidden/>
          </w:rPr>
          <w:fldChar w:fldCharType="begin"/>
        </w:r>
        <w:r w:rsidR="006975FE">
          <w:rPr>
            <w:noProof/>
            <w:webHidden/>
          </w:rPr>
          <w:instrText xml:space="preserve"> PAGEREF _Toc73516067 \h </w:instrText>
        </w:r>
        <w:r w:rsidR="006975FE">
          <w:rPr>
            <w:noProof/>
            <w:webHidden/>
          </w:rPr>
        </w:r>
        <w:r w:rsidR="006975FE">
          <w:rPr>
            <w:noProof/>
            <w:webHidden/>
          </w:rPr>
          <w:fldChar w:fldCharType="separate"/>
        </w:r>
        <w:r w:rsidR="00AD58C3">
          <w:rPr>
            <w:noProof/>
            <w:webHidden/>
          </w:rPr>
          <w:t>9</w:t>
        </w:r>
        <w:r w:rsidR="006975FE">
          <w:rPr>
            <w:noProof/>
            <w:webHidden/>
          </w:rPr>
          <w:fldChar w:fldCharType="end"/>
        </w:r>
      </w:hyperlink>
    </w:p>
    <w:p w14:paraId="2A994832" w14:textId="3FDA779D" w:rsidR="006975FE" w:rsidRDefault="00D22FE8">
      <w:pPr>
        <w:pStyle w:val="Spisilustracji"/>
        <w:tabs>
          <w:tab w:val="right" w:leader="dot" w:pos="9062"/>
        </w:tabs>
        <w:rPr>
          <w:rFonts w:eastAsiaTheme="minorEastAsia"/>
          <w:noProof/>
          <w:lang w:eastAsia="pl-PL"/>
        </w:rPr>
      </w:pPr>
      <w:hyperlink w:anchor="_Toc73516068" w:history="1">
        <w:r w:rsidR="006975FE" w:rsidRPr="00CD3EF4">
          <w:rPr>
            <w:rStyle w:val="Hipercze"/>
            <w:noProof/>
          </w:rPr>
          <w:t xml:space="preserve">Wykres 6. </w:t>
        </w:r>
        <w:r w:rsidR="006975FE" w:rsidRPr="00CD3EF4">
          <w:rPr>
            <w:rStyle w:val="Hipercze"/>
            <w:bCs/>
            <w:noProof/>
            <w:lang w:val="en-US"/>
          </w:rPr>
          <w:t xml:space="preserve">Współczynnik przyrostu naturalnego na 1000 mieszkańców w latach 2013-2019 </w:t>
        </w:r>
        <w:r w:rsidR="006975FE" w:rsidRPr="00CD3EF4">
          <w:rPr>
            <w:rStyle w:val="Hipercze"/>
            <w:bCs/>
            <w:noProof/>
          </w:rPr>
          <w:t>oraz</w:t>
        </w:r>
        <w:r w:rsidR="006975FE" w:rsidRPr="00CD3EF4">
          <w:rPr>
            <w:rStyle w:val="Hipercze"/>
            <w:bCs/>
            <w:noProof/>
            <w:lang w:val="en-US"/>
          </w:rPr>
          <w:t xml:space="preserve"> prognoza na lata 2020, 2030</w:t>
        </w:r>
        <w:r w:rsidR="006975FE">
          <w:rPr>
            <w:noProof/>
            <w:webHidden/>
          </w:rPr>
          <w:tab/>
        </w:r>
        <w:r w:rsidR="006975FE">
          <w:rPr>
            <w:noProof/>
            <w:webHidden/>
          </w:rPr>
          <w:fldChar w:fldCharType="begin"/>
        </w:r>
        <w:r w:rsidR="006975FE">
          <w:rPr>
            <w:noProof/>
            <w:webHidden/>
          </w:rPr>
          <w:instrText xml:space="preserve"> PAGEREF _Toc73516068 \h </w:instrText>
        </w:r>
        <w:r w:rsidR="006975FE">
          <w:rPr>
            <w:noProof/>
            <w:webHidden/>
          </w:rPr>
        </w:r>
        <w:r w:rsidR="006975FE">
          <w:rPr>
            <w:noProof/>
            <w:webHidden/>
          </w:rPr>
          <w:fldChar w:fldCharType="separate"/>
        </w:r>
        <w:r w:rsidR="00AD58C3">
          <w:rPr>
            <w:noProof/>
            <w:webHidden/>
          </w:rPr>
          <w:t>12</w:t>
        </w:r>
        <w:r w:rsidR="006975FE">
          <w:rPr>
            <w:noProof/>
            <w:webHidden/>
          </w:rPr>
          <w:fldChar w:fldCharType="end"/>
        </w:r>
      </w:hyperlink>
    </w:p>
    <w:p w14:paraId="55737031" w14:textId="11332721" w:rsidR="006975FE" w:rsidRDefault="00D22FE8">
      <w:pPr>
        <w:pStyle w:val="Spisilustracji"/>
        <w:tabs>
          <w:tab w:val="right" w:leader="dot" w:pos="9062"/>
        </w:tabs>
        <w:rPr>
          <w:rFonts w:eastAsiaTheme="minorEastAsia"/>
          <w:noProof/>
          <w:lang w:eastAsia="pl-PL"/>
        </w:rPr>
      </w:pPr>
      <w:hyperlink w:anchor="_Toc73516069" w:history="1">
        <w:r w:rsidR="006975FE" w:rsidRPr="00CD3EF4">
          <w:rPr>
            <w:rStyle w:val="Hipercze"/>
            <w:noProof/>
          </w:rPr>
          <w:t xml:space="preserve">Wykres 7. </w:t>
        </w:r>
        <w:r w:rsidR="006975FE" w:rsidRPr="00CD3EF4">
          <w:rPr>
            <w:rStyle w:val="Hipercze"/>
            <w:bCs/>
            <w:noProof/>
            <w:lang w:val="en-US"/>
          </w:rPr>
          <w:t xml:space="preserve">Liczba mieszkańców w wieku nieprodukcyjnym na 100 osób w wieku produkcyjnym w </w:t>
        </w:r>
        <w:r w:rsidR="006975FE" w:rsidRPr="00CD3EF4">
          <w:rPr>
            <w:rStyle w:val="Hipercze"/>
            <w:bCs/>
            <w:noProof/>
          </w:rPr>
          <w:t xml:space="preserve">latach </w:t>
        </w:r>
        <w:r w:rsidR="006975FE" w:rsidRPr="00CD3EF4">
          <w:rPr>
            <w:rStyle w:val="Hipercze"/>
            <w:bCs/>
            <w:noProof/>
            <w:lang w:val="en-US"/>
          </w:rPr>
          <w:t>2013 i 2019</w:t>
        </w:r>
        <w:r w:rsidR="006975FE">
          <w:rPr>
            <w:noProof/>
            <w:webHidden/>
          </w:rPr>
          <w:tab/>
        </w:r>
        <w:r w:rsidR="006975FE">
          <w:rPr>
            <w:noProof/>
            <w:webHidden/>
          </w:rPr>
          <w:fldChar w:fldCharType="begin"/>
        </w:r>
        <w:r w:rsidR="006975FE">
          <w:rPr>
            <w:noProof/>
            <w:webHidden/>
          </w:rPr>
          <w:instrText xml:space="preserve"> PAGEREF _Toc73516069 \h </w:instrText>
        </w:r>
        <w:r w:rsidR="006975FE">
          <w:rPr>
            <w:noProof/>
            <w:webHidden/>
          </w:rPr>
        </w:r>
        <w:r w:rsidR="006975FE">
          <w:rPr>
            <w:noProof/>
            <w:webHidden/>
          </w:rPr>
          <w:fldChar w:fldCharType="separate"/>
        </w:r>
        <w:r w:rsidR="00AD58C3">
          <w:rPr>
            <w:noProof/>
            <w:webHidden/>
          </w:rPr>
          <w:t>13</w:t>
        </w:r>
        <w:r w:rsidR="006975FE">
          <w:rPr>
            <w:noProof/>
            <w:webHidden/>
          </w:rPr>
          <w:fldChar w:fldCharType="end"/>
        </w:r>
      </w:hyperlink>
    </w:p>
    <w:p w14:paraId="48A3F353" w14:textId="6FD735EC" w:rsidR="006975FE" w:rsidRDefault="00D22FE8">
      <w:pPr>
        <w:pStyle w:val="Spisilustracji"/>
        <w:tabs>
          <w:tab w:val="right" w:leader="dot" w:pos="9062"/>
        </w:tabs>
        <w:rPr>
          <w:rFonts w:eastAsiaTheme="minorEastAsia"/>
          <w:noProof/>
          <w:lang w:eastAsia="pl-PL"/>
        </w:rPr>
      </w:pPr>
      <w:hyperlink w:anchor="_Toc73516070" w:history="1">
        <w:r w:rsidR="006975FE" w:rsidRPr="00CD3EF4">
          <w:rPr>
            <w:rStyle w:val="Hipercze"/>
            <w:noProof/>
          </w:rPr>
          <w:t xml:space="preserve">Wykres 8. </w:t>
        </w:r>
        <w:r w:rsidR="006975FE" w:rsidRPr="00CD3EF4">
          <w:rPr>
            <w:rStyle w:val="Hipercze"/>
            <w:bCs/>
            <w:noProof/>
            <w:lang w:val="en-US"/>
          </w:rPr>
          <w:t>Przeciętne miesięczne wynagrodzenia brutto ogółem w latach 2013-2019 (zł)</w:t>
        </w:r>
        <w:r w:rsidR="006975FE">
          <w:rPr>
            <w:noProof/>
            <w:webHidden/>
          </w:rPr>
          <w:tab/>
        </w:r>
        <w:r w:rsidR="006975FE">
          <w:rPr>
            <w:noProof/>
            <w:webHidden/>
          </w:rPr>
          <w:fldChar w:fldCharType="begin"/>
        </w:r>
        <w:r w:rsidR="006975FE">
          <w:rPr>
            <w:noProof/>
            <w:webHidden/>
          </w:rPr>
          <w:instrText xml:space="preserve"> PAGEREF _Toc73516070 \h </w:instrText>
        </w:r>
        <w:r w:rsidR="006975FE">
          <w:rPr>
            <w:noProof/>
            <w:webHidden/>
          </w:rPr>
        </w:r>
        <w:r w:rsidR="006975FE">
          <w:rPr>
            <w:noProof/>
            <w:webHidden/>
          </w:rPr>
          <w:fldChar w:fldCharType="separate"/>
        </w:r>
        <w:r w:rsidR="00AD58C3">
          <w:rPr>
            <w:noProof/>
            <w:webHidden/>
          </w:rPr>
          <w:t>13</w:t>
        </w:r>
        <w:r w:rsidR="006975FE">
          <w:rPr>
            <w:noProof/>
            <w:webHidden/>
          </w:rPr>
          <w:fldChar w:fldCharType="end"/>
        </w:r>
      </w:hyperlink>
    </w:p>
    <w:p w14:paraId="54BA83BA" w14:textId="645A0993" w:rsidR="006975FE" w:rsidRDefault="00D22FE8">
      <w:pPr>
        <w:pStyle w:val="Spisilustracji"/>
        <w:tabs>
          <w:tab w:val="right" w:leader="dot" w:pos="9062"/>
        </w:tabs>
        <w:rPr>
          <w:rFonts w:eastAsiaTheme="minorEastAsia"/>
          <w:noProof/>
          <w:lang w:eastAsia="pl-PL"/>
        </w:rPr>
      </w:pPr>
      <w:hyperlink w:anchor="_Toc73516071" w:history="1">
        <w:r w:rsidR="006975FE" w:rsidRPr="00CD3EF4">
          <w:rPr>
            <w:rStyle w:val="Hipercze"/>
            <w:noProof/>
          </w:rPr>
          <w:t xml:space="preserve">Wykres 9. </w:t>
        </w:r>
        <w:r w:rsidR="006975FE" w:rsidRPr="00CD3EF4">
          <w:rPr>
            <w:rStyle w:val="Hipercze"/>
            <w:bCs/>
            <w:noProof/>
          </w:rPr>
          <w:t>Liczba osób korzystających ze świadczeń pomocy społecznej na 10 tys. ludności w latach 2013-2019</w:t>
        </w:r>
        <w:r w:rsidR="006975FE">
          <w:rPr>
            <w:noProof/>
            <w:webHidden/>
          </w:rPr>
          <w:tab/>
        </w:r>
        <w:r w:rsidR="006975FE">
          <w:rPr>
            <w:noProof/>
            <w:webHidden/>
          </w:rPr>
          <w:fldChar w:fldCharType="begin"/>
        </w:r>
        <w:r w:rsidR="006975FE">
          <w:rPr>
            <w:noProof/>
            <w:webHidden/>
          </w:rPr>
          <w:instrText xml:space="preserve"> PAGEREF _Toc73516071 \h </w:instrText>
        </w:r>
        <w:r w:rsidR="006975FE">
          <w:rPr>
            <w:noProof/>
            <w:webHidden/>
          </w:rPr>
        </w:r>
        <w:r w:rsidR="006975FE">
          <w:rPr>
            <w:noProof/>
            <w:webHidden/>
          </w:rPr>
          <w:fldChar w:fldCharType="separate"/>
        </w:r>
        <w:r w:rsidR="00AD58C3">
          <w:rPr>
            <w:noProof/>
            <w:webHidden/>
          </w:rPr>
          <w:t>14</w:t>
        </w:r>
        <w:r w:rsidR="006975FE">
          <w:rPr>
            <w:noProof/>
            <w:webHidden/>
          </w:rPr>
          <w:fldChar w:fldCharType="end"/>
        </w:r>
      </w:hyperlink>
    </w:p>
    <w:p w14:paraId="125C68D7" w14:textId="2035B669" w:rsidR="006975FE" w:rsidRDefault="00D22FE8">
      <w:pPr>
        <w:pStyle w:val="Spisilustracji"/>
        <w:tabs>
          <w:tab w:val="right" w:leader="dot" w:pos="9062"/>
        </w:tabs>
        <w:rPr>
          <w:rFonts w:eastAsiaTheme="minorEastAsia"/>
          <w:noProof/>
          <w:lang w:eastAsia="pl-PL"/>
        </w:rPr>
      </w:pPr>
      <w:hyperlink w:anchor="_Toc73516072" w:history="1">
        <w:r w:rsidR="006975FE" w:rsidRPr="00CD3EF4">
          <w:rPr>
            <w:rStyle w:val="Hipercze"/>
            <w:noProof/>
          </w:rPr>
          <w:t xml:space="preserve">Wykres 11. </w:t>
        </w:r>
        <w:r w:rsidR="006975FE" w:rsidRPr="00CD3EF4">
          <w:rPr>
            <w:rStyle w:val="Hipercze"/>
            <w:bCs/>
            <w:noProof/>
            <w:lang w:val="en-US"/>
          </w:rPr>
          <w:t>Zmiana udziału wydatków na pomoc społeczną i politykę społeczną w wydatkach ogółem (%) w latach 2013 i 2019</w:t>
        </w:r>
        <w:r w:rsidR="006975FE">
          <w:rPr>
            <w:noProof/>
            <w:webHidden/>
          </w:rPr>
          <w:tab/>
        </w:r>
        <w:r w:rsidR="006975FE">
          <w:rPr>
            <w:noProof/>
            <w:webHidden/>
          </w:rPr>
          <w:fldChar w:fldCharType="begin"/>
        </w:r>
        <w:r w:rsidR="006975FE">
          <w:rPr>
            <w:noProof/>
            <w:webHidden/>
          </w:rPr>
          <w:instrText xml:space="preserve"> PAGEREF _Toc73516072 \h </w:instrText>
        </w:r>
        <w:r w:rsidR="006975FE">
          <w:rPr>
            <w:noProof/>
            <w:webHidden/>
          </w:rPr>
        </w:r>
        <w:r w:rsidR="006975FE">
          <w:rPr>
            <w:noProof/>
            <w:webHidden/>
          </w:rPr>
          <w:fldChar w:fldCharType="separate"/>
        </w:r>
        <w:r w:rsidR="00AD58C3">
          <w:rPr>
            <w:noProof/>
            <w:webHidden/>
          </w:rPr>
          <w:t>15</w:t>
        </w:r>
        <w:r w:rsidR="006975FE">
          <w:rPr>
            <w:noProof/>
            <w:webHidden/>
          </w:rPr>
          <w:fldChar w:fldCharType="end"/>
        </w:r>
      </w:hyperlink>
    </w:p>
    <w:p w14:paraId="7E2EB3A7" w14:textId="6BAD39B4" w:rsidR="006975FE" w:rsidRDefault="00D22FE8">
      <w:pPr>
        <w:pStyle w:val="Spisilustracji"/>
        <w:tabs>
          <w:tab w:val="right" w:leader="dot" w:pos="9062"/>
        </w:tabs>
        <w:rPr>
          <w:rFonts w:eastAsiaTheme="minorEastAsia"/>
          <w:noProof/>
          <w:lang w:eastAsia="pl-PL"/>
        </w:rPr>
      </w:pPr>
      <w:hyperlink w:anchor="_Toc73516073" w:history="1">
        <w:r w:rsidR="006975FE" w:rsidRPr="00CD3EF4">
          <w:rPr>
            <w:rStyle w:val="Hipercze"/>
            <w:noProof/>
          </w:rPr>
          <w:t xml:space="preserve">Wykres 10. </w:t>
        </w:r>
        <w:r w:rsidR="006975FE" w:rsidRPr="00CD3EF4">
          <w:rPr>
            <w:rStyle w:val="Hipercze"/>
            <w:noProof/>
            <w:lang w:val="en-US"/>
          </w:rPr>
          <w:t>Liczba rodzin dotkniętych ubóstwem w latach 2014 i 2019</w:t>
        </w:r>
        <w:r w:rsidR="006975FE">
          <w:rPr>
            <w:noProof/>
            <w:webHidden/>
          </w:rPr>
          <w:tab/>
        </w:r>
        <w:r w:rsidR="006975FE">
          <w:rPr>
            <w:noProof/>
            <w:webHidden/>
          </w:rPr>
          <w:fldChar w:fldCharType="begin"/>
        </w:r>
        <w:r w:rsidR="006975FE">
          <w:rPr>
            <w:noProof/>
            <w:webHidden/>
          </w:rPr>
          <w:instrText xml:space="preserve"> PAGEREF _Toc73516073 \h </w:instrText>
        </w:r>
        <w:r w:rsidR="006975FE">
          <w:rPr>
            <w:noProof/>
            <w:webHidden/>
          </w:rPr>
        </w:r>
        <w:r w:rsidR="006975FE">
          <w:rPr>
            <w:noProof/>
            <w:webHidden/>
          </w:rPr>
          <w:fldChar w:fldCharType="separate"/>
        </w:r>
        <w:r w:rsidR="00AD58C3">
          <w:rPr>
            <w:noProof/>
            <w:webHidden/>
          </w:rPr>
          <w:t>15</w:t>
        </w:r>
        <w:r w:rsidR="006975FE">
          <w:rPr>
            <w:noProof/>
            <w:webHidden/>
          </w:rPr>
          <w:fldChar w:fldCharType="end"/>
        </w:r>
      </w:hyperlink>
    </w:p>
    <w:p w14:paraId="60AF0CAB" w14:textId="59B9315D" w:rsidR="006975FE" w:rsidRDefault="00D22FE8">
      <w:pPr>
        <w:pStyle w:val="Spisilustracji"/>
        <w:tabs>
          <w:tab w:val="right" w:leader="dot" w:pos="9062"/>
        </w:tabs>
        <w:rPr>
          <w:rFonts w:eastAsiaTheme="minorEastAsia"/>
          <w:noProof/>
          <w:lang w:eastAsia="pl-PL"/>
        </w:rPr>
      </w:pPr>
      <w:hyperlink w:anchor="_Toc73516074" w:history="1">
        <w:r w:rsidR="006975FE" w:rsidRPr="00CD3EF4">
          <w:rPr>
            <w:rStyle w:val="Hipercze"/>
            <w:noProof/>
          </w:rPr>
          <w:t xml:space="preserve">Wykres 13. </w:t>
        </w:r>
        <w:r w:rsidR="006975FE" w:rsidRPr="00CD3EF4">
          <w:rPr>
            <w:rStyle w:val="Hipercze"/>
            <w:bCs/>
            <w:noProof/>
          </w:rPr>
          <w:t>Liczba osób leczonych w szpitalach ogólnych w latach 2013 i 2019, w wybranych województwach Polski Wschodniej</w:t>
        </w:r>
        <w:r w:rsidR="006975FE">
          <w:rPr>
            <w:noProof/>
            <w:webHidden/>
          </w:rPr>
          <w:tab/>
        </w:r>
        <w:r w:rsidR="006975FE">
          <w:rPr>
            <w:noProof/>
            <w:webHidden/>
          </w:rPr>
          <w:fldChar w:fldCharType="begin"/>
        </w:r>
        <w:r w:rsidR="006975FE">
          <w:rPr>
            <w:noProof/>
            <w:webHidden/>
          </w:rPr>
          <w:instrText xml:space="preserve"> PAGEREF _Toc73516074 \h </w:instrText>
        </w:r>
        <w:r w:rsidR="006975FE">
          <w:rPr>
            <w:noProof/>
            <w:webHidden/>
          </w:rPr>
        </w:r>
        <w:r w:rsidR="006975FE">
          <w:rPr>
            <w:noProof/>
            <w:webHidden/>
          </w:rPr>
          <w:fldChar w:fldCharType="separate"/>
        </w:r>
        <w:r w:rsidR="00AD58C3">
          <w:rPr>
            <w:noProof/>
            <w:webHidden/>
          </w:rPr>
          <w:t>18</w:t>
        </w:r>
        <w:r w:rsidR="006975FE">
          <w:rPr>
            <w:noProof/>
            <w:webHidden/>
          </w:rPr>
          <w:fldChar w:fldCharType="end"/>
        </w:r>
      </w:hyperlink>
    </w:p>
    <w:p w14:paraId="3685F7D4" w14:textId="2C945865" w:rsidR="006975FE" w:rsidRDefault="00D22FE8">
      <w:pPr>
        <w:pStyle w:val="Spisilustracji"/>
        <w:tabs>
          <w:tab w:val="right" w:leader="dot" w:pos="9062"/>
        </w:tabs>
        <w:rPr>
          <w:rFonts w:eastAsiaTheme="minorEastAsia"/>
          <w:noProof/>
          <w:lang w:eastAsia="pl-PL"/>
        </w:rPr>
      </w:pPr>
      <w:hyperlink w:anchor="_Toc73516075" w:history="1">
        <w:r w:rsidR="006975FE" w:rsidRPr="00CD3EF4">
          <w:rPr>
            <w:rStyle w:val="Hipercze"/>
            <w:noProof/>
          </w:rPr>
          <w:t xml:space="preserve">Wykres 14. </w:t>
        </w:r>
        <w:r w:rsidR="006975FE" w:rsidRPr="00CD3EF4">
          <w:rPr>
            <w:rStyle w:val="Hipercze"/>
            <w:bCs/>
            <w:noProof/>
          </w:rPr>
          <w:t>Ambulatoryjna opieka zdrowotna - porady w latach 2013 i 2019</w:t>
        </w:r>
        <w:r w:rsidR="006975FE">
          <w:rPr>
            <w:noProof/>
            <w:webHidden/>
          </w:rPr>
          <w:tab/>
        </w:r>
        <w:r w:rsidR="006975FE">
          <w:rPr>
            <w:noProof/>
            <w:webHidden/>
          </w:rPr>
          <w:fldChar w:fldCharType="begin"/>
        </w:r>
        <w:r w:rsidR="006975FE">
          <w:rPr>
            <w:noProof/>
            <w:webHidden/>
          </w:rPr>
          <w:instrText xml:space="preserve"> PAGEREF _Toc73516075 \h </w:instrText>
        </w:r>
        <w:r w:rsidR="006975FE">
          <w:rPr>
            <w:noProof/>
            <w:webHidden/>
          </w:rPr>
        </w:r>
        <w:r w:rsidR="006975FE">
          <w:rPr>
            <w:noProof/>
            <w:webHidden/>
          </w:rPr>
          <w:fldChar w:fldCharType="separate"/>
        </w:r>
        <w:r w:rsidR="00AD58C3">
          <w:rPr>
            <w:noProof/>
            <w:webHidden/>
          </w:rPr>
          <w:t>19</w:t>
        </w:r>
        <w:r w:rsidR="006975FE">
          <w:rPr>
            <w:noProof/>
            <w:webHidden/>
          </w:rPr>
          <w:fldChar w:fldCharType="end"/>
        </w:r>
      </w:hyperlink>
    </w:p>
    <w:p w14:paraId="4C815595" w14:textId="48DFDA2F" w:rsidR="006975FE" w:rsidRDefault="00D22FE8">
      <w:pPr>
        <w:pStyle w:val="Spisilustracji"/>
        <w:tabs>
          <w:tab w:val="right" w:leader="dot" w:pos="9062"/>
        </w:tabs>
        <w:rPr>
          <w:rFonts w:eastAsiaTheme="minorEastAsia"/>
          <w:noProof/>
          <w:lang w:eastAsia="pl-PL"/>
        </w:rPr>
      </w:pPr>
      <w:hyperlink w:anchor="_Toc73516076" w:history="1">
        <w:r w:rsidR="006975FE" w:rsidRPr="00CD3EF4">
          <w:rPr>
            <w:rStyle w:val="Hipercze"/>
            <w:noProof/>
          </w:rPr>
          <w:t xml:space="preserve">Wykres 15. </w:t>
        </w:r>
        <w:r w:rsidR="006975FE" w:rsidRPr="00CD3EF4">
          <w:rPr>
            <w:rStyle w:val="Hipercze"/>
            <w:bCs/>
            <w:noProof/>
            <w:lang w:val="en-US"/>
          </w:rPr>
          <w:t>Udział % wydatków na ochronę zdrowia w wydatkach ogółem</w:t>
        </w:r>
        <w:r w:rsidR="006975FE" w:rsidRPr="00CD3EF4">
          <w:rPr>
            <w:rStyle w:val="Hipercze"/>
            <w:bCs/>
            <w:noProof/>
          </w:rPr>
          <w:t xml:space="preserve"> w latach 2013-2019</w:t>
        </w:r>
        <w:r w:rsidR="006975FE">
          <w:rPr>
            <w:noProof/>
            <w:webHidden/>
          </w:rPr>
          <w:tab/>
        </w:r>
        <w:r w:rsidR="006975FE">
          <w:rPr>
            <w:noProof/>
            <w:webHidden/>
          </w:rPr>
          <w:fldChar w:fldCharType="begin"/>
        </w:r>
        <w:r w:rsidR="006975FE">
          <w:rPr>
            <w:noProof/>
            <w:webHidden/>
          </w:rPr>
          <w:instrText xml:space="preserve"> PAGEREF _Toc73516076 \h </w:instrText>
        </w:r>
        <w:r w:rsidR="006975FE">
          <w:rPr>
            <w:noProof/>
            <w:webHidden/>
          </w:rPr>
        </w:r>
        <w:r w:rsidR="006975FE">
          <w:rPr>
            <w:noProof/>
            <w:webHidden/>
          </w:rPr>
          <w:fldChar w:fldCharType="separate"/>
        </w:r>
        <w:r w:rsidR="00AD58C3">
          <w:rPr>
            <w:noProof/>
            <w:webHidden/>
          </w:rPr>
          <w:t>19</w:t>
        </w:r>
        <w:r w:rsidR="006975FE">
          <w:rPr>
            <w:noProof/>
            <w:webHidden/>
          </w:rPr>
          <w:fldChar w:fldCharType="end"/>
        </w:r>
      </w:hyperlink>
    </w:p>
    <w:p w14:paraId="18BD1F9B" w14:textId="0477BD65" w:rsidR="006975FE" w:rsidRDefault="00D22FE8">
      <w:pPr>
        <w:pStyle w:val="Spisilustracji"/>
        <w:tabs>
          <w:tab w:val="right" w:leader="dot" w:pos="9062"/>
        </w:tabs>
        <w:rPr>
          <w:rFonts w:eastAsiaTheme="minorEastAsia"/>
          <w:noProof/>
          <w:lang w:eastAsia="pl-PL"/>
        </w:rPr>
      </w:pPr>
      <w:hyperlink w:anchor="_Toc73516077" w:history="1">
        <w:r w:rsidR="006975FE" w:rsidRPr="00CD3EF4">
          <w:rPr>
            <w:rStyle w:val="Hipercze"/>
            <w:noProof/>
          </w:rPr>
          <w:t xml:space="preserve">Wykres 16. </w:t>
        </w:r>
        <w:r w:rsidR="006975FE" w:rsidRPr="00CD3EF4">
          <w:rPr>
            <w:rStyle w:val="Hipercze"/>
            <w:bCs/>
            <w:noProof/>
            <w:lang w:val="en-US"/>
          </w:rPr>
          <w:t xml:space="preserve">Stopa bezrobocia rejestrowanego w </w:t>
        </w:r>
        <w:r w:rsidR="006975FE" w:rsidRPr="00CD3EF4">
          <w:rPr>
            <w:rStyle w:val="Hipercze"/>
            <w:bCs/>
            <w:noProof/>
          </w:rPr>
          <w:t>latach 2013-2020</w:t>
        </w:r>
        <w:r w:rsidR="006975FE" w:rsidRPr="00CD3EF4">
          <w:rPr>
            <w:rStyle w:val="Hipercze"/>
            <w:bCs/>
            <w:noProof/>
            <w:lang w:val="en-US"/>
          </w:rPr>
          <w:t xml:space="preserve"> (%)</w:t>
        </w:r>
        <w:r w:rsidR="006975FE">
          <w:rPr>
            <w:noProof/>
            <w:webHidden/>
          </w:rPr>
          <w:tab/>
        </w:r>
        <w:r w:rsidR="006975FE">
          <w:rPr>
            <w:noProof/>
            <w:webHidden/>
          </w:rPr>
          <w:fldChar w:fldCharType="begin"/>
        </w:r>
        <w:r w:rsidR="006975FE">
          <w:rPr>
            <w:noProof/>
            <w:webHidden/>
          </w:rPr>
          <w:instrText xml:space="preserve"> PAGEREF _Toc73516077 \h </w:instrText>
        </w:r>
        <w:r w:rsidR="006975FE">
          <w:rPr>
            <w:noProof/>
            <w:webHidden/>
          </w:rPr>
        </w:r>
        <w:r w:rsidR="006975FE">
          <w:rPr>
            <w:noProof/>
            <w:webHidden/>
          </w:rPr>
          <w:fldChar w:fldCharType="separate"/>
        </w:r>
        <w:r w:rsidR="00AD58C3">
          <w:rPr>
            <w:noProof/>
            <w:webHidden/>
          </w:rPr>
          <w:t>20</w:t>
        </w:r>
        <w:r w:rsidR="006975FE">
          <w:rPr>
            <w:noProof/>
            <w:webHidden/>
          </w:rPr>
          <w:fldChar w:fldCharType="end"/>
        </w:r>
      </w:hyperlink>
    </w:p>
    <w:p w14:paraId="2A72350F" w14:textId="008EF129" w:rsidR="006975FE" w:rsidRDefault="00D22FE8">
      <w:pPr>
        <w:pStyle w:val="Spisilustracji"/>
        <w:tabs>
          <w:tab w:val="right" w:leader="dot" w:pos="9062"/>
        </w:tabs>
        <w:rPr>
          <w:rFonts w:eastAsiaTheme="minorEastAsia"/>
          <w:noProof/>
          <w:lang w:eastAsia="pl-PL"/>
        </w:rPr>
      </w:pPr>
      <w:hyperlink w:anchor="_Toc73516078" w:history="1">
        <w:r w:rsidR="006975FE" w:rsidRPr="00CD3EF4">
          <w:rPr>
            <w:rStyle w:val="Hipercze"/>
            <w:noProof/>
          </w:rPr>
          <w:t xml:space="preserve">Wykres 17. </w:t>
        </w:r>
        <w:r w:rsidR="006975FE" w:rsidRPr="00CD3EF4">
          <w:rPr>
            <w:rStyle w:val="Hipercze"/>
            <w:bCs/>
            <w:noProof/>
            <w:lang w:val="en-US"/>
          </w:rPr>
          <w:t>Stopa bezrobocia rejestrowanego w wybranych powiatach Polski Wschodniej w latach 2013-2020 (%)</w:t>
        </w:r>
        <w:r w:rsidR="006975FE">
          <w:rPr>
            <w:noProof/>
            <w:webHidden/>
          </w:rPr>
          <w:tab/>
        </w:r>
        <w:r w:rsidR="006975FE">
          <w:rPr>
            <w:noProof/>
            <w:webHidden/>
          </w:rPr>
          <w:fldChar w:fldCharType="begin"/>
        </w:r>
        <w:r w:rsidR="006975FE">
          <w:rPr>
            <w:noProof/>
            <w:webHidden/>
          </w:rPr>
          <w:instrText xml:space="preserve"> PAGEREF _Toc73516078 \h </w:instrText>
        </w:r>
        <w:r w:rsidR="006975FE">
          <w:rPr>
            <w:noProof/>
            <w:webHidden/>
          </w:rPr>
        </w:r>
        <w:r w:rsidR="006975FE">
          <w:rPr>
            <w:noProof/>
            <w:webHidden/>
          </w:rPr>
          <w:fldChar w:fldCharType="separate"/>
        </w:r>
        <w:r w:rsidR="00AD58C3">
          <w:rPr>
            <w:noProof/>
            <w:webHidden/>
          </w:rPr>
          <w:t>21</w:t>
        </w:r>
        <w:r w:rsidR="006975FE">
          <w:rPr>
            <w:noProof/>
            <w:webHidden/>
          </w:rPr>
          <w:fldChar w:fldCharType="end"/>
        </w:r>
      </w:hyperlink>
    </w:p>
    <w:p w14:paraId="7A6A3951" w14:textId="043D09E9" w:rsidR="006975FE" w:rsidRDefault="00D22FE8">
      <w:pPr>
        <w:pStyle w:val="Spisilustracji"/>
        <w:tabs>
          <w:tab w:val="right" w:leader="dot" w:pos="9062"/>
        </w:tabs>
        <w:rPr>
          <w:rFonts w:eastAsiaTheme="minorEastAsia"/>
          <w:noProof/>
          <w:lang w:eastAsia="pl-PL"/>
        </w:rPr>
      </w:pPr>
      <w:hyperlink w:anchor="_Toc73516079" w:history="1">
        <w:r w:rsidR="006975FE" w:rsidRPr="00CD3EF4">
          <w:rPr>
            <w:rStyle w:val="Hipercze"/>
            <w:noProof/>
          </w:rPr>
          <w:t xml:space="preserve">Wykres 18. </w:t>
        </w:r>
        <w:r w:rsidR="006975FE" w:rsidRPr="00CD3EF4">
          <w:rPr>
            <w:rStyle w:val="Hipercze"/>
            <w:bCs/>
            <w:noProof/>
            <w:lang w:val="en-US"/>
          </w:rPr>
          <w:t>Odsetek osób z niepełnosprawnościami w ogóle zarejestrowanych w urzędach pracy  w latach 2013-2020</w:t>
        </w:r>
        <w:r w:rsidR="006975FE">
          <w:rPr>
            <w:noProof/>
            <w:webHidden/>
          </w:rPr>
          <w:tab/>
        </w:r>
        <w:r w:rsidR="006975FE">
          <w:rPr>
            <w:noProof/>
            <w:webHidden/>
          </w:rPr>
          <w:fldChar w:fldCharType="begin"/>
        </w:r>
        <w:r w:rsidR="006975FE">
          <w:rPr>
            <w:noProof/>
            <w:webHidden/>
          </w:rPr>
          <w:instrText xml:space="preserve"> PAGEREF _Toc73516079 \h </w:instrText>
        </w:r>
        <w:r w:rsidR="006975FE">
          <w:rPr>
            <w:noProof/>
            <w:webHidden/>
          </w:rPr>
        </w:r>
        <w:r w:rsidR="006975FE">
          <w:rPr>
            <w:noProof/>
            <w:webHidden/>
          </w:rPr>
          <w:fldChar w:fldCharType="separate"/>
        </w:r>
        <w:r w:rsidR="00AD58C3">
          <w:rPr>
            <w:noProof/>
            <w:webHidden/>
          </w:rPr>
          <w:t>22</w:t>
        </w:r>
        <w:r w:rsidR="006975FE">
          <w:rPr>
            <w:noProof/>
            <w:webHidden/>
          </w:rPr>
          <w:fldChar w:fldCharType="end"/>
        </w:r>
      </w:hyperlink>
    </w:p>
    <w:p w14:paraId="5825D375" w14:textId="281CB194" w:rsidR="006975FE" w:rsidRDefault="00D22FE8">
      <w:pPr>
        <w:pStyle w:val="Spisilustracji"/>
        <w:tabs>
          <w:tab w:val="right" w:leader="dot" w:pos="9062"/>
        </w:tabs>
        <w:rPr>
          <w:rFonts w:eastAsiaTheme="minorEastAsia"/>
          <w:noProof/>
          <w:lang w:eastAsia="pl-PL"/>
        </w:rPr>
      </w:pPr>
      <w:hyperlink w:anchor="_Toc73516080" w:history="1">
        <w:r w:rsidR="006975FE" w:rsidRPr="00CD3EF4">
          <w:rPr>
            <w:rStyle w:val="Hipercze"/>
            <w:noProof/>
          </w:rPr>
          <w:t xml:space="preserve">Wykres 19. </w:t>
        </w:r>
        <w:r w:rsidR="006975FE" w:rsidRPr="00CD3EF4">
          <w:rPr>
            <w:rStyle w:val="Hipercze"/>
            <w:bCs/>
            <w:noProof/>
            <w:lang w:val="en-US"/>
          </w:rPr>
          <w:t>Liczba leczonych w poradniach - uzależnieni od alkoholu, środków psychoaktywnych  w wybranych województwach Polski Wchodniej w latach 2013-2019</w:t>
        </w:r>
        <w:r w:rsidR="006975FE">
          <w:rPr>
            <w:noProof/>
            <w:webHidden/>
          </w:rPr>
          <w:tab/>
        </w:r>
        <w:r w:rsidR="006975FE">
          <w:rPr>
            <w:noProof/>
            <w:webHidden/>
          </w:rPr>
          <w:fldChar w:fldCharType="begin"/>
        </w:r>
        <w:r w:rsidR="006975FE">
          <w:rPr>
            <w:noProof/>
            <w:webHidden/>
          </w:rPr>
          <w:instrText xml:space="preserve"> PAGEREF _Toc73516080 \h </w:instrText>
        </w:r>
        <w:r w:rsidR="006975FE">
          <w:rPr>
            <w:noProof/>
            <w:webHidden/>
          </w:rPr>
        </w:r>
        <w:r w:rsidR="006975FE">
          <w:rPr>
            <w:noProof/>
            <w:webHidden/>
          </w:rPr>
          <w:fldChar w:fldCharType="separate"/>
        </w:r>
        <w:r w:rsidR="00AD58C3">
          <w:rPr>
            <w:noProof/>
            <w:webHidden/>
          </w:rPr>
          <w:t>24</w:t>
        </w:r>
        <w:r w:rsidR="006975FE">
          <w:rPr>
            <w:noProof/>
            <w:webHidden/>
          </w:rPr>
          <w:fldChar w:fldCharType="end"/>
        </w:r>
      </w:hyperlink>
    </w:p>
    <w:p w14:paraId="3E2E133C" w14:textId="62C74653" w:rsidR="006975FE" w:rsidRDefault="00D22FE8">
      <w:pPr>
        <w:pStyle w:val="Spisilustracji"/>
        <w:tabs>
          <w:tab w:val="right" w:leader="dot" w:pos="9062"/>
        </w:tabs>
        <w:rPr>
          <w:rFonts w:eastAsiaTheme="minorEastAsia"/>
          <w:noProof/>
          <w:lang w:eastAsia="pl-PL"/>
        </w:rPr>
      </w:pPr>
      <w:hyperlink w:anchor="_Toc73516081" w:history="1">
        <w:r w:rsidR="006975FE" w:rsidRPr="00CD3EF4">
          <w:rPr>
            <w:rStyle w:val="Hipercze"/>
            <w:noProof/>
          </w:rPr>
          <w:t xml:space="preserve">Wykres 20. </w:t>
        </w:r>
        <w:r w:rsidR="006975FE" w:rsidRPr="00CD3EF4">
          <w:rPr>
            <w:rStyle w:val="Hipercze"/>
            <w:bCs/>
            <w:noProof/>
          </w:rPr>
          <w:t>Liczba przyjęć do Izby Wytrzeźwień w Olsztynie w latach 2013-2019</w:t>
        </w:r>
        <w:r w:rsidR="006975FE">
          <w:rPr>
            <w:noProof/>
            <w:webHidden/>
          </w:rPr>
          <w:tab/>
        </w:r>
        <w:r w:rsidR="006975FE">
          <w:rPr>
            <w:noProof/>
            <w:webHidden/>
          </w:rPr>
          <w:fldChar w:fldCharType="begin"/>
        </w:r>
        <w:r w:rsidR="006975FE">
          <w:rPr>
            <w:noProof/>
            <w:webHidden/>
          </w:rPr>
          <w:instrText xml:space="preserve"> PAGEREF _Toc73516081 \h </w:instrText>
        </w:r>
        <w:r w:rsidR="006975FE">
          <w:rPr>
            <w:noProof/>
            <w:webHidden/>
          </w:rPr>
        </w:r>
        <w:r w:rsidR="006975FE">
          <w:rPr>
            <w:noProof/>
            <w:webHidden/>
          </w:rPr>
          <w:fldChar w:fldCharType="separate"/>
        </w:r>
        <w:r w:rsidR="00AD58C3">
          <w:rPr>
            <w:noProof/>
            <w:webHidden/>
          </w:rPr>
          <w:t>25</w:t>
        </w:r>
        <w:r w:rsidR="006975FE">
          <w:rPr>
            <w:noProof/>
            <w:webHidden/>
          </w:rPr>
          <w:fldChar w:fldCharType="end"/>
        </w:r>
      </w:hyperlink>
    </w:p>
    <w:p w14:paraId="08A4B593" w14:textId="1D508672" w:rsidR="006975FE" w:rsidRDefault="00D22FE8">
      <w:pPr>
        <w:pStyle w:val="Spisilustracji"/>
        <w:tabs>
          <w:tab w:val="right" w:leader="dot" w:pos="9062"/>
        </w:tabs>
        <w:rPr>
          <w:rFonts w:eastAsiaTheme="minorEastAsia"/>
          <w:noProof/>
          <w:lang w:eastAsia="pl-PL"/>
        </w:rPr>
      </w:pPr>
      <w:hyperlink w:anchor="_Toc73516082" w:history="1">
        <w:r w:rsidR="006975FE" w:rsidRPr="00CD3EF4">
          <w:rPr>
            <w:rStyle w:val="Hipercze"/>
            <w:noProof/>
          </w:rPr>
          <w:t xml:space="preserve">Wykres 21. </w:t>
        </w:r>
        <w:r w:rsidR="006975FE" w:rsidRPr="00CD3EF4">
          <w:rPr>
            <w:rStyle w:val="Hipercze"/>
            <w:bCs/>
            <w:noProof/>
          </w:rPr>
          <w:t>Liczba rodzin z problemami alkoholowymi korzystających z pomocy finansowej  i materialnej w Olsztynie w latach 2013-2019</w:t>
        </w:r>
        <w:r w:rsidR="006975FE">
          <w:rPr>
            <w:noProof/>
            <w:webHidden/>
          </w:rPr>
          <w:tab/>
        </w:r>
        <w:r w:rsidR="006975FE">
          <w:rPr>
            <w:noProof/>
            <w:webHidden/>
          </w:rPr>
          <w:fldChar w:fldCharType="begin"/>
        </w:r>
        <w:r w:rsidR="006975FE">
          <w:rPr>
            <w:noProof/>
            <w:webHidden/>
          </w:rPr>
          <w:instrText xml:space="preserve"> PAGEREF _Toc73516082 \h </w:instrText>
        </w:r>
        <w:r w:rsidR="006975FE">
          <w:rPr>
            <w:noProof/>
            <w:webHidden/>
          </w:rPr>
        </w:r>
        <w:r w:rsidR="006975FE">
          <w:rPr>
            <w:noProof/>
            <w:webHidden/>
          </w:rPr>
          <w:fldChar w:fldCharType="separate"/>
        </w:r>
        <w:r w:rsidR="00AD58C3">
          <w:rPr>
            <w:noProof/>
            <w:webHidden/>
          </w:rPr>
          <w:t>25</w:t>
        </w:r>
        <w:r w:rsidR="006975FE">
          <w:rPr>
            <w:noProof/>
            <w:webHidden/>
          </w:rPr>
          <w:fldChar w:fldCharType="end"/>
        </w:r>
      </w:hyperlink>
    </w:p>
    <w:p w14:paraId="31D67489" w14:textId="538CC6D7" w:rsidR="006975FE" w:rsidRDefault="00D22FE8">
      <w:pPr>
        <w:pStyle w:val="Spisilustracji"/>
        <w:tabs>
          <w:tab w:val="right" w:leader="dot" w:pos="9062"/>
        </w:tabs>
        <w:rPr>
          <w:rFonts w:eastAsiaTheme="minorEastAsia"/>
          <w:noProof/>
          <w:lang w:eastAsia="pl-PL"/>
        </w:rPr>
      </w:pPr>
      <w:hyperlink w:anchor="_Toc73516083" w:history="1">
        <w:r w:rsidR="006975FE" w:rsidRPr="00CD3EF4">
          <w:rPr>
            <w:rStyle w:val="Hipercze"/>
            <w:noProof/>
          </w:rPr>
          <w:t xml:space="preserve">Wykres 22. </w:t>
        </w:r>
        <w:r w:rsidR="006975FE" w:rsidRPr="00CD3EF4">
          <w:rPr>
            <w:rStyle w:val="Hipercze"/>
            <w:bCs/>
            <w:noProof/>
          </w:rPr>
          <w:t>Liczba zgłoszeń do dyżurnych Straży Miejskiej w Olsztynie w latach 2009-2019</w:t>
        </w:r>
        <w:r w:rsidR="006975FE">
          <w:rPr>
            <w:noProof/>
            <w:webHidden/>
          </w:rPr>
          <w:tab/>
        </w:r>
        <w:r w:rsidR="006975FE">
          <w:rPr>
            <w:noProof/>
            <w:webHidden/>
          </w:rPr>
          <w:fldChar w:fldCharType="begin"/>
        </w:r>
        <w:r w:rsidR="006975FE">
          <w:rPr>
            <w:noProof/>
            <w:webHidden/>
          </w:rPr>
          <w:instrText xml:space="preserve"> PAGEREF _Toc73516083 \h </w:instrText>
        </w:r>
        <w:r w:rsidR="006975FE">
          <w:rPr>
            <w:noProof/>
            <w:webHidden/>
          </w:rPr>
        </w:r>
        <w:r w:rsidR="006975FE">
          <w:rPr>
            <w:noProof/>
            <w:webHidden/>
          </w:rPr>
          <w:fldChar w:fldCharType="separate"/>
        </w:r>
        <w:r w:rsidR="00AD58C3">
          <w:rPr>
            <w:noProof/>
            <w:webHidden/>
          </w:rPr>
          <w:t>29</w:t>
        </w:r>
        <w:r w:rsidR="006975FE">
          <w:rPr>
            <w:noProof/>
            <w:webHidden/>
          </w:rPr>
          <w:fldChar w:fldCharType="end"/>
        </w:r>
      </w:hyperlink>
    </w:p>
    <w:p w14:paraId="0B418516" w14:textId="70974CDF" w:rsidR="006975FE" w:rsidRDefault="00D22FE8">
      <w:pPr>
        <w:pStyle w:val="Spisilustracji"/>
        <w:tabs>
          <w:tab w:val="right" w:leader="dot" w:pos="9062"/>
        </w:tabs>
        <w:rPr>
          <w:rFonts w:eastAsiaTheme="minorEastAsia"/>
          <w:noProof/>
          <w:lang w:eastAsia="pl-PL"/>
        </w:rPr>
      </w:pPr>
      <w:hyperlink w:anchor="_Toc73516084" w:history="1">
        <w:r w:rsidR="006975FE" w:rsidRPr="00CD3EF4">
          <w:rPr>
            <w:rStyle w:val="Hipercze"/>
            <w:noProof/>
          </w:rPr>
          <w:t xml:space="preserve">Wykres 23. </w:t>
        </w:r>
        <w:r w:rsidR="006975FE" w:rsidRPr="00CD3EF4">
          <w:rPr>
            <w:rStyle w:val="Hipercze"/>
            <w:bCs/>
            <w:noProof/>
          </w:rPr>
          <w:t>Liczba interwencji podjętych przez Straż Miejską w Olsztynie w latach 2009-2019</w:t>
        </w:r>
        <w:r w:rsidR="006975FE">
          <w:rPr>
            <w:noProof/>
            <w:webHidden/>
          </w:rPr>
          <w:tab/>
        </w:r>
        <w:r w:rsidR="006975FE">
          <w:rPr>
            <w:noProof/>
            <w:webHidden/>
          </w:rPr>
          <w:fldChar w:fldCharType="begin"/>
        </w:r>
        <w:r w:rsidR="006975FE">
          <w:rPr>
            <w:noProof/>
            <w:webHidden/>
          </w:rPr>
          <w:instrText xml:space="preserve"> PAGEREF _Toc73516084 \h </w:instrText>
        </w:r>
        <w:r w:rsidR="006975FE">
          <w:rPr>
            <w:noProof/>
            <w:webHidden/>
          </w:rPr>
        </w:r>
        <w:r w:rsidR="006975FE">
          <w:rPr>
            <w:noProof/>
            <w:webHidden/>
          </w:rPr>
          <w:fldChar w:fldCharType="separate"/>
        </w:r>
        <w:r w:rsidR="00AD58C3">
          <w:rPr>
            <w:noProof/>
            <w:webHidden/>
          </w:rPr>
          <w:t>29</w:t>
        </w:r>
        <w:r w:rsidR="006975FE">
          <w:rPr>
            <w:noProof/>
            <w:webHidden/>
          </w:rPr>
          <w:fldChar w:fldCharType="end"/>
        </w:r>
      </w:hyperlink>
    </w:p>
    <w:p w14:paraId="6B9B643F" w14:textId="2AE32FF0" w:rsidR="006975FE" w:rsidRDefault="00D22FE8">
      <w:pPr>
        <w:pStyle w:val="Spisilustracji"/>
        <w:tabs>
          <w:tab w:val="right" w:leader="dot" w:pos="9062"/>
        </w:tabs>
        <w:rPr>
          <w:rFonts w:eastAsiaTheme="minorEastAsia"/>
          <w:noProof/>
          <w:lang w:eastAsia="pl-PL"/>
        </w:rPr>
      </w:pPr>
      <w:hyperlink w:anchor="_Toc73516085" w:history="1">
        <w:r w:rsidR="006975FE" w:rsidRPr="00CD3EF4">
          <w:rPr>
            <w:rStyle w:val="Hipercze"/>
            <w:noProof/>
          </w:rPr>
          <w:t xml:space="preserve">Wykres 24. </w:t>
        </w:r>
        <w:r w:rsidR="006975FE" w:rsidRPr="00CD3EF4">
          <w:rPr>
            <w:rStyle w:val="Hipercze"/>
            <w:bCs/>
            <w:noProof/>
          </w:rPr>
          <w:t>Obszar tematyczny interwencji podjętych przez Straż Miejską w Olsztynie w roku 2019</w:t>
        </w:r>
        <w:r w:rsidR="006975FE">
          <w:rPr>
            <w:noProof/>
            <w:webHidden/>
          </w:rPr>
          <w:tab/>
        </w:r>
        <w:r w:rsidR="006975FE">
          <w:rPr>
            <w:noProof/>
            <w:webHidden/>
          </w:rPr>
          <w:fldChar w:fldCharType="begin"/>
        </w:r>
        <w:r w:rsidR="006975FE">
          <w:rPr>
            <w:noProof/>
            <w:webHidden/>
          </w:rPr>
          <w:instrText xml:space="preserve"> PAGEREF _Toc73516085 \h </w:instrText>
        </w:r>
        <w:r w:rsidR="006975FE">
          <w:rPr>
            <w:noProof/>
            <w:webHidden/>
          </w:rPr>
        </w:r>
        <w:r w:rsidR="006975FE">
          <w:rPr>
            <w:noProof/>
            <w:webHidden/>
          </w:rPr>
          <w:fldChar w:fldCharType="separate"/>
        </w:r>
        <w:r w:rsidR="00AD58C3">
          <w:rPr>
            <w:noProof/>
            <w:webHidden/>
          </w:rPr>
          <w:t>29</w:t>
        </w:r>
        <w:r w:rsidR="006975FE">
          <w:rPr>
            <w:noProof/>
            <w:webHidden/>
          </w:rPr>
          <w:fldChar w:fldCharType="end"/>
        </w:r>
      </w:hyperlink>
    </w:p>
    <w:p w14:paraId="4361BB20" w14:textId="30AC402F" w:rsidR="006975FE" w:rsidRDefault="00D22FE8">
      <w:pPr>
        <w:pStyle w:val="Spisilustracji"/>
        <w:tabs>
          <w:tab w:val="right" w:leader="dot" w:pos="9062"/>
        </w:tabs>
        <w:rPr>
          <w:rFonts w:eastAsiaTheme="minorEastAsia"/>
          <w:noProof/>
          <w:lang w:eastAsia="pl-PL"/>
        </w:rPr>
      </w:pPr>
      <w:hyperlink w:anchor="_Toc73516086" w:history="1">
        <w:r w:rsidR="006975FE" w:rsidRPr="00CD3EF4">
          <w:rPr>
            <w:rStyle w:val="Hipercze"/>
            <w:noProof/>
          </w:rPr>
          <w:t xml:space="preserve">Wykres 25. </w:t>
        </w:r>
        <w:r w:rsidR="006975FE" w:rsidRPr="00CD3EF4">
          <w:rPr>
            <w:rStyle w:val="Hipercze"/>
            <w:bCs/>
            <w:noProof/>
          </w:rPr>
          <w:t>Przestępstwa stwierdzone przez Policję ogółem w zakończonych postępowaniach przygotowawczych w latach 2013 i 2019</w:t>
        </w:r>
        <w:r w:rsidR="006975FE">
          <w:rPr>
            <w:noProof/>
            <w:webHidden/>
          </w:rPr>
          <w:tab/>
        </w:r>
        <w:r w:rsidR="006975FE">
          <w:rPr>
            <w:noProof/>
            <w:webHidden/>
          </w:rPr>
          <w:fldChar w:fldCharType="begin"/>
        </w:r>
        <w:r w:rsidR="006975FE">
          <w:rPr>
            <w:noProof/>
            <w:webHidden/>
          </w:rPr>
          <w:instrText xml:space="preserve"> PAGEREF _Toc73516086 \h </w:instrText>
        </w:r>
        <w:r w:rsidR="006975FE">
          <w:rPr>
            <w:noProof/>
            <w:webHidden/>
          </w:rPr>
        </w:r>
        <w:r w:rsidR="006975FE">
          <w:rPr>
            <w:noProof/>
            <w:webHidden/>
          </w:rPr>
          <w:fldChar w:fldCharType="separate"/>
        </w:r>
        <w:r w:rsidR="00AD58C3">
          <w:rPr>
            <w:noProof/>
            <w:webHidden/>
          </w:rPr>
          <w:t>30</w:t>
        </w:r>
        <w:r w:rsidR="006975FE">
          <w:rPr>
            <w:noProof/>
            <w:webHidden/>
          </w:rPr>
          <w:fldChar w:fldCharType="end"/>
        </w:r>
      </w:hyperlink>
    </w:p>
    <w:p w14:paraId="17548661" w14:textId="056451D8" w:rsidR="006975FE" w:rsidRDefault="00D22FE8">
      <w:pPr>
        <w:pStyle w:val="Spisilustracji"/>
        <w:tabs>
          <w:tab w:val="right" w:leader="dot" w:pos="9062"/>
        </w:tabs>
        <w:rPr>
          <w:rFonts w:eastAsiaTheme="minorEastAsia"/>
          <w:noProof/>
          <w:lang w:eastAsia="pl-PL"/>
        </w:rPr>
      </w:pPr>
      <w:hyperlink w:anchor="_Toc73516087" w:history="1">
        <w:r w:rsidR="006975FE" w:rsidRPr="00CD3EF4">
          <w:rPr>
            <w:rStyle w:val="Hipercze"/>
            <w:noProof/>
          </w:rPr>
          <w:t xml:space="preserve">Wykres 26. </w:t>
        </w:r>
        <w:r w:rsidR="006975FE" w:rsidRPr="00CD3EF4">
          <w:rPr>
            <w:rStyle w:val="Hipercze"/>
            <w:bCs/>
            <w:noProof/>
          </w:rPr>
          <w:t>Przestępstwa stwierdzone przez Policję ogółem w zakończonych postępowaniach  w Olsztynie w latach 2013-2019</w:t>
        </w:r>
        <w:r w:rsidR="006975FE">
          <w:rPr>
            <w:noProof/>
            <w:webHidden/>
          </w:rPr>
          <w:tab/>
        </w:r>
        <w:r w:rsidR="006975FE">
          <w:rPr>
            <w:noProof/>
            <w:webHidden/>
          </w:rPr>
          <w:fldChar w:fldCharType="begin"/>
        </w:r>
        <w:r w:rsidR="006975FE">
          <w:rPr>
            <w:noProof/>
            <w:webHidden/>
          </w:rPr>
          <w:instrText xml:space="preserve"> PAGEREF _Toc73516087 \h </w:instrText>
        </w:r>
        <w:r w:rsidR="006975FE">
          <w:rPr>
            <w:noProof/>
            <w:webHidden/>
          </w:rPr>
        </w:r>
        <w:r w:rsidR="006975FE">
          <w:rPr>
            <w:noProof/>
            <w:webHidden/>
          </w:rPr>
          <w:fldChar w:fldCharType="separate"/>
        </w:r>
        <w:r w:rsidR="00AD58C3">
          <w:rPr>
            <w:noProof/>
            <w:webHidden/>
          </w:rPr>
          <w:t>31</w:t>
        </w:r>
        <w:r w:rsidR="006975FE">
          <w:rPr>
            <w:noProof/>
            <w:webHidden/>
          </w:rPr>
          <w:fldChar w:fldCharType="end"/>
        </w:r>
      </w:hyperlink>
    </w:p>
    <w:p w14:paraId="20B40338" w14:textId="630BF996" w:rsidR="006975FE" w:rsidRDefault="00D22FE8">
      <w:pPr>
        <w:pStyle w:val="Spisilustracji"/>
        <w:tabs>
          <w:tab w:val="right" w:leader="dot" w:pos="9062"/>
        </w:tabs>
        <w:rPr>
          <w:rFonts w:eastAsiaTheme="minorEastAsia"/>
          <w:noProof/>
          <w:lang w:eastAsia="pl-PL"/>
        </w:rPr>
      </w:pPr>
      <w:hyperlink w:anchor="_Toc73516088" w:history="1">
        <w:r w:rsidR="006975FE" w:rsidRPr="00CD3EF4">
          <w:rPr>
            <w:rStyle w:val="Hipercze"/>
            <w:noProof/>
          </w:rPr>
          <w:t xml:space="preserve">Wykres 27. </w:t>
        </w:r>
        <w:r w:rsidR="006975FE" w:rsidRPr="00CD3EF4">
          <w:rPr>
            <w:rStyle w:val="Hipercze"/>
            <w:bCs/>
            <w:noProof/>
          </w:rPr>
          <w:t xml:space="preserve">Przestępstwa stwierdzone przez Policję w zakończonych postępowaniach przygotowawczych w Olsztynie w latach 2013 i 2019, ze względu </w:t>
        </w:r>
        <w:r w:rsidR="006975FE" w:rsidRPr="00CD3EF4">
          <w:rPr>
            <w:rStyle w:val="Hipercze"/>
            <w:noProof/>
          </w:rPr>
          <w:t>na kategorię popełnionego czynu</w:t>
        </w:r>
        <w:r w:rsidR="006975FE">
          <w:rPr>
            <w:noProof/>
            <w:webHidden/>
          </w:rPr>
          <w:tab/>
        </w:r>
        <w:r w:rsidR="006975FE">
          <w:rPr>
            <w:noProof/>
            <w:webHidden/>
          </w:rPr>
          <w:fldChar w:fldCharType="begin"/>
        </w:r>
        <w:r w:rsidR="006975FE">
          <w:rPr>
            <w:noProof/>
            <w:webHidden/>
          </w:rPr>
          <w:instrText xml:space="preserve"> PAGEREF _Toc73516088 \h </w:instrText>
        </w:r>
        <w:r w:rsidR="006975FE">
          <w:rPr>
            <w:noProof/>
            <w:webHidden/>
          </w:rPr>
        </w:r>
        <w:r w:rsidR="006975FE">
          <w:rPr>
            <w:noProof/>
            <w:webHidden/>
          </w:rPr>
          <w:fldChar w:fldCharType="separate"/>
        </w:r>
        <w:r w:rsidR="00AD58C3">
          <w:rPr>
            <w:noProof/>
            <w:webHidden/>
          </w:rPr>
          <w:t>32</w:t>
        </w:r>
        <w:r w:rsidR="006975FE">
          <w:rPr>
            <w:noProof/>
            <w:webHidden/>
          </w:rPr>
          <w:fldChar w:fldCharType="end"/>
        </w:r>
      </w:hyperlink>
    </w:p>
    <w:p w14:paraId="34EC35DD" w14:textId="1CE3D707" w:rsidR="006975FE" w:rsidRDefault="00D22FE8">
      <w:pPr>
        <w:pStyle w:val="Spisilustracji"/>
        <w:tabs>
          <w:tab w:val="right" w:leader="dot" w:pos="9062"/>
        </w:tabs>
        <w:rPr>
          <w:rFonts w:eastAsiaTheme="minorEastAsia"/>
          <w:noProof/>
          <w:lang w:eastAsia="pl-PL"/>
        </w:rPr>
      </w:pPr>
      <w:hyperlink w:anchor="_Toc73516089" w:history="1">
        <w:r w:rsidR="006975FE" w:rsidRPr="00CD3EF4">
          <w:rPr>
            <w:rStyle w:val="Hipercze"/>
            <w:noProof/>
          </w:rPr>
          <w:t xml:space="preserve">Wykres 28. </w:t>
        </w:r>
        <w:r w:rsidR="006975FE" w:rsidRPr="00CD3EF4">
          <w:rPr>
            <w:rStyle w:val="Hipercze"/>
            <w:bCs/>
            <w:noProof/>
          </w:rPr>
          <w:t>Liczba zdarzeń drogowych na obszarze miasta Olsztyna w latach 2015-2019</w:t>
        </w:r>
        <w:r w:rsidR="006975FE">
          <w:rPr>
            <w:noProof/>
            <w:webHidden/>
          </w:rPr>
          <w:tab/>
        </w:r>
        <w:r w:rsidR="006975FE">
          <w:rPr>
            <w:noProof/>
            <w:webHidden/>
          </w:rPr>
          <w:fldChar w:fldCharType="begin"/>
        </w:r>
        <w:r w:rsidR="006975FE">
          <w:rPr>
            <w:noProof/>
            <w:webHidden/>
          </w:rPr>
          <w:instrText xml:space="preserve"> PAGEREF _Toc73516089 \h </w:instrText>
        </w:r>
        <w:r w:rsidR="006975FE">
          <w:rPr>
            <w:noProof/>
            <w:webHidden/>
          </w:rPr>
        </w:r>
        <w:r w:rsidR="006975FE">
          <w:rPr>
            <w:noProof/>
            <w:webHidden/>
          </w:rPr>
          <w:fldChar w:fldCharType="separate"/>
        </w:r>
        <w:r w:rsidR="00AD58C3">
          <w:rPr>
            <w:noProof/>
            <w:webHidden/>
          </w:rPr>
          <w:t>34</w:t>
        </w:r>
        <w:r w:rsidR="006975FE">
          <w:rPr>
            <w:noProof/>
            <w:webHidden/>
          </w:rPr>
          <w:fldChar w:fldCharType="end"/>
        </w:r>
      </w:hyperlink>
    </w:p>
    <w:p w14:paraId="64DB33CD" w14:textId="4B473128" w:rsidR="006975FE" w:rsidRDefault="00D22FE8">
      <w:pPr>
        <w:pStyle w:val="Spisilustracji"/>
        <w:tabs>
          <w:tab w:val="right" w:leader="dot" w:pos="9062"/>
        </w:tabs>
        <w:rPr>
          <w:rFonts w:eastAsiaTheme="minorEastAsia"/>
          <w:noProof/>
          <w:lang w:eastAsia="pl-PL"/>
        </w:rPr>
      </w:pPr>
      <w:hyperlink w:anchor="_Toc73516090" w:history="1">
        <w:r w:rsidR="006975FE" w:rsidRPr="00CD3EF4">
          <w:rPr>
            <w:rStyle w:val="Hipercze"/>
            <w:noProof/>
          </w:rPr>
          <w:t xml:space="preserve">Wykres 29. </w:t>
        </w:r>
        <w:r w:rsidR="006975FE" w:rsidRPr="00CD3EF4">
          <w:rPr>
            <w:rStyle w:val="Hipercze"/>
            <w:bCs/>
            <w:noProof/>
          </w:rPr>
          <w:t>Liczba rannych i zabitych w zdarzeniach drogowych na obszarze miasta Olsztyna w latach 2015-2019</w:t>
        </w:r>
        <w:r w:rsidR="006975FE">
          <w:rPr>
            <w:noProof/>
            <w:webHidden/>
          </w:rPr>
          <w:tab/>
        </w:r>
        <w:r w:rsidR="006975FE">
          <w:rPr>
            <w:noProof/>
            <w:webHidden/>
          </w:rPr>
          <w:fldChar w:fldCharType="begin"/>
        </w:r>
        <w:r w:rsidR="006975FE">
          <w:rPr>
            <w:noProof/>
            <w:webHidden/>
          </w:rPr>
          <w:instrText xml:space="preserve"> PAGEREF _Toc73516090 \h </w:instrText>
        </w:r>
        <w:r w:rsidR="006975FE">
          <w:rPr>
            <w:noProof/>
            <w:webHidden/>
          </w:rPr>
        </w:r>
        <w:r w:rsidR="006975FE">
          <w:rPr>
            <w:noProof/>
            <w:webHidden/>
          </w:rPr>
          <w:fldChar w:fldCharType="separate"/>
        </w:r>
        <w:r w:rsidR="00AD58C3">
          <w:rPr>
            <w:noProof/>
            <w:webHidden/>
          </w:rPr>
          <w:t>34</w:t>
        </w:r>
        <w:r w:rsidR="006975FE">
          <w:rPr>
            <w:noProof/>
            <w:webHidden/>
          </w:rPr>
          <w:fldChar w:fldCharType="end"/>
        </w:r>
      </w:hyperlink>
    </w:p>
    <w:p w14:paraId="485F3B7B" w14:textId="743314E8" w:rsidR="006975FE" w:rsidRDefault="00D22FE8">
      <w:pPr>
        <w:pStyle w:val="Spisilustracji"/>
        <w:tabs>
          <w:tab w:val="right" w:leader="dot" w:pos="9062"/>
        </w:tabs>
        <w:rPr>
          <w:rFonts w:eastAsiaTheme="minorEastAsia"/>
          <w:noProof/>
          <w:lang w:eastAsia="pl-PL"/>
        </w:rPr>
      </w:pPr>
      <w:hyperlink w:anchor="_Toc73516091" w:history="1">
        <w:r w:rsidR="006975FE" w:rsidRPr="00CD3EF4">
          <w:rPr>
            <w:rStyle w:val="Hipercze"/>
            <w:noProof/>
          </w:rPr>
          <w:t xml:space="preserve">Wykres 30. </w:t>
        </w:r>
        <w:r w:rsidR="006975FE" w:rsidRPr="00CD3EF4">
          <w:rPr>
            <w:rStyle w:val="Hipercze"/>
            <w:bCs/>
            <w:noProof/>
            <w:lang w:val="en-US"/>
          </w:rPr>
          <w:t>Frekwencja wyborcza w wyborach</w:t>
        </w:r>
        <w:r w:rsidR="006975FE" w:rsidRPr="00CD3EF4">
          <w:rPr>
            <w:rStyle w:val="Hipercze"/>
            <w:bCs/>
            <w:noProof/>
          </w:rPr>
          <w:t xml:space="preserve"> do rad gmin (2014 i 2018)</w:t>
        </w:r>
        <w:r w:rsidR="006975FE">
          <w:rPr>
            <w:noProof/>
            <w:webHidden/>
          </w:rPr>
          <w:tab/>
        </w:r>
        <w:r w:rsidR="006975FE">
          <w:rPr>
            <w:noProof/>
            <w:webHidden/>
          </w:rPr>
          <w:fldChar w:fldCharType="begin"/>
        </w:r>
        <w:r w:rsidR="006975FE">
          <w:rPr>
            <w:noProof/>
            <w:webHidden/>
          </w:rPr>
          <w:instrText xml:space="preserve"> PAGEREF _Toc73516091 \h </w:instrText>
        </w:r>
        <w:r w:rsidR="006975FE">
          <w:rPr>
            <w:noProof/>
            <w:webHidden/>
          </w:rPr>
        </w:r>
        <w:r w:rsidR="006975FE">
          <w:rPr>
            <w:noProof/>
            <w:webHidden/>
          </w:rPr>
          <w:fldChar w:fldCharType="separate"/>
        </w:r>
        <w:r w:rsidR="00AD58C3">
          <w:rPr>
            <w:noProof/>
            <w:webHidden/>
          </w:rPr>
          <w:t>35</w:t>
        </w:r>
        <w:r w:rsidR="006975FE">
          <w:rPr>
            <w:noProof/>
            <w:webHidden/>
          </w:rPr>
          <w:fldChar w:fldCharType="end"/>
        </w:r>
      </w:hyperlink>
    </w:p>
    <w:p w14:paraId="0879A8C4" w14:textId="70A40C77" w:rsidR="006975FE" w:rsidRDefault="00D22FE8">
      <w:pPr>
        <w:pStyle w:val="Spisilustracji"/>
        <w:tabs>
          <w:tab w:val="right" w:leader="dot" w:pos="9062"/>
        </w:tabs>
        <w:rPr>
          <w:rFonts w:eastAsiaTheme="minorEastAsia"/>
          <w:noProof/>
          <w:lang w:eastAsia="pl-PL"/>
        </w:rPr>
      </w:pPr>
      <w:hyperlink w:anchor="_Toc73516092" w:history="1">
        <w:r w:rsidR="006975FE" w:rsidRPr="00CD3EF4">
          <w:rPr>
            <w:rStyle w:val="Hipercze"/>
            <w:noProof/>
          </w:rPr>
          <w:t xml:space="preserve">Wykres 31. </w:t>
        </w:r>
        <w:r w:rsidR="006975FE" w:rsidRPr="00CD3EF4">
          <w:rPr>
            <w:rStyle w:val="Hipercze"/>
            <w:bCs/>
            <w:noProof/>
            <w:lang w:val="en-US"/>
          </w:rPr>
          <w:t xml:space="preserve">Frekwencja wyborcza w wyborach </w:t>
        </w:r>
        <w:r w:rsidR="006975FE" w:rsidRPr="00CD3EF4">
          <w:rPr>
            <w:rStyle w:val="Hipercze"/>
            <w:bCs/>
            <w:noProof/>
          </w:rPr>
          <w:t>na wójtów, burmistrzów, prezydentów (</w:t>
        </w:r>
        <w:r w:rsidR="006975FE" w:rsidRPr="00CD3EF4">
          <w:rPr>
            <w:rStyle w:val="Hipercze"/>
            <w:bCs/>
            <w:noProof/>
            <w:lang w:val="en-US"/>
          </w:rPr>
          <w:t>2014 i 2018)</w:t>
        </w:r>
        <w:r w:rsidR="006975FE">
          <w:rPr>
            <w:noProof/>
            <w:webHidden/>
          </w:rPr>
          <w:tab/>
        </w:r>
        <w:r w:rsidR="006975FE">
          <w:rPr>
            <w:noProof/>
            <w:webHidden/>
          </w:rPr>
          <w:fldChar w:fldCharType="begin"/>
        </w:r>
        <w:r w:rsidR="006975FE">
          <w:rPr>
            <w:noProof/>
            <w:webHidden/>
          </w:rPr>
          <w:instrText xml:space="preserve"> PAGEREF _Toc73516092 \h </w:instrText>
        </w:r>
        <w:r w:rsidR="006975FE">
          <w:rPr>
            <w:noProof/>
            <w:webHidden/>
          </w:rPr>
        </w:r>
        <w:r w:rsidR="006975FE">
          <w:rPr>
            <w:noProof/>
            <w:webHidden/>
          </w:rPr>
          <w:fldChar w:fldCharType="separate"/>
        </w:r>
        <w:r w:rsidR="00AD58C3">
          <w:rPr>
            <w:noProof/>
            <w:webHidden/>
          </w:rPr>
          <w:t>36</w:t>
        </w:r>
        <w:r w:rsidR="006975FE">
          <w:rPr>
            <w:noProof/>
            <w:webHidden/>
          </w:rPr>
          <w:fldChar w:fldCharType="end"/>
        </w:r>
      </w:hyperlink>
    </w:p>
    <w:p w14:paraId="3E4C1AD4" w14:textId="06345391" w:rsidR="006975FE" w:rsidRDefault="00D22FE8">
      <w:pPr>
        <w:pStyle w:val="Spisilustracji"/>
        <w:tabs>
          <w:tab w:val="right" w:leader="dot" w:pos="9062"/>
        </w:tabs>
        <w:rPr>
          <w:rFonts w:eastAsiaTheme="minorEastAsia"/>
          <w:noProof/>
          <w:lang w:eastAsia="pl-PL"/>
        </w:rPr>
      </w:pPr>
      <w:hyperlink w:anchor="_Toc73516093" w:history="1">
        <w:r w:rsidR="006975FE" w:rsidRPr="00CD3EF4">
          <w:rPr>
            <w:rStyle w:val="Hipercze"/>
            <w:noProof/>
          </w:rPr>
          <w:t xml:space="preserve">Wykres 32. </w:t>
        </w:r>
        <w:r w:rsidR="006975FE" w:rsidRPr="00CD3EF4">
          <w:rPr>
            <w:rStyle w:val="Hipercze"/>
            <w:bCs/>
            <w:noProof/>
            <w:lang w:val="en-US"/>
          </w:rPr>
          <w:t xml:space="preserve">Frekwencja w wyborach </w:t>
        </w:r>
        <w:r w:rsidR="006975FE" w:rsidRPr="00CD3EF4">
          <w:rPr>
            <w:rStyle w:val="Hipercze"/>
            <w:bCs/>
            <w:noProof/>
          </w:rPr>
          <w:t>do Sejmu RP (2015 i 2019)</w:t>
        </w:r>
        <w:r w:rsidR="006975FE">
          <w:rPr>
            <w:noProof/>
            <w:webHidden/>
          </w:rPr>
          <w:tab/>
        </w:r>
        <w:r w:rsidR="006975FE">
          <w:rPr>
            <w:noProof/>
            <w:webHidden/>
          </w:rPr>
          <w:fldChar w:fldCharType="begin"/>
        </w:r>
        <w:r w:rsidR="006975FE">
          <w:rPr>
            <w:noProof/>
            <w:webHidden/>
          </w:rPr>
          <w:instrText xml:space="preserve"> PAGEREF _Toc73516093 \h </w:instrText>
        </w:r>
        <w:r w:rsidR="006975FE">
          <w:rPr>
            <w:noProof/>
            <w:webHidden/>
          </w:rPr>
        </w:r>
        <w:r w:rsidR="006975FE">
          <w:rPr>
            <w:noProof/>
            <w:webHidden/>
          </w:rPr>
          <w:fldChar w:fldCharType="separate"/>
        </w:r>
        <w:r w:rsidR="00AD58C3">
          <w:rPr>
            <w:noProof/>
            <w:webHidden/>
          </w:rPr>
          <w:t>36</w:t>
        </w:r>
        <w:r w:rsidR="006975FE">
          <w:rPr>
            <w:noProof/>
            <w:webHidden/>
          </w:rPr>
          <w:fldChar w:fldCharType="end"/>
        </w:r>
      </w:hyperlink>
    </w:p>
    <w:p w14:paraId="08AE16A1" w14:textId="00366B7E" w:rsidR="006975FE" w:rsidRDefault="00D22FE8">
      <w:pPr>
        <w:pStyle w:val="Spisilustracji"/>
        <w:tabs>
          <w:tab w:val="right" w:leader="dot" w:pos="9062"/>
        </w:tabs>
        <w:rPr>
          <w:rFonts w:eastAsiaTheme="minorEastAsia"/>
          <w:noProof/>
          <w:lang w:eastAsia="pl-PL"/>
        </w:rPr>
      </w:pPr>
      <w:hyperlink w:anchor="_Toc73516094" w:history="1">
        <w:r w:rsidR="006975FE" w:rsidRPr="00CD3EF4">
          <w:rPr>
            <w:rStyle w:val="Hipercze"/>
            <w:noProof/>
          </w:rPr>
          <w:t xml:space="preserve">Wykres 33. </w:t>
        </w:r>
        <w:r w:rsidR="006975FE" w:rsidRPr="00CD3EF4">
          <w:rPr>
            <w:rStyle w:val="Hipercze"/>
            <w:bCs/>
            <w:noProof/>
            <w:lang w:val="en-US"/>
          </w:rPr>
          <w:t xml:space="preserve">Frekwencja w wyborach </w:t>
        </w:r>
        <w:r w:rsidR="006975FE" w:rsidRPr="00CD3EF4">
          <w:rPr>
            <w:rStyle w:val="Hipercze"/>
            <w:bCs/>
            <w:noProof/>
          </w:rPr>
          <w:t>na Prezydenta RP, II tura (2015 i 2020)</w:t>
        </w:r>
        <w:r w:rsidR="006975FE">
          <w:rPr>
            <w:noProof/>
            <w:webHidden/>
          </w:rPr>
          <w:tab/>
        </w:r>
        <w:r w:rsidR="006975FE">
          <w:rPr>
            <w:noProof/>
            <w:webHidden/>
          </w:rPr>
          <w:fldChar w:fldCharType="begin"/>
        </w:r>
        <w:r w:rsidR="006975FE">
          <w:rPr>
            <w:noProof/>
            <w:webHidden/>
          </w:rPr>
          <w:instrText xml:space="preserve"> PAGEREF _Toc73516094 \h </w:instrText>
        </w:r>
        <w:r w:rsidR="006975FE">
          <w:rPr>
            <w:noProof/>
            <w:webHidden/>
          </w:rPr>
        </w:r>
        <w:r w:rsidR="006975FE">
          <w:rPr>
            <w:noProof/>
            <w:webHidden/>
          </w:rPr>
          <w:fldChar w:fldCharType="separate"/>
        </w:r>
        <w:r w:rsidR="00AD58C3">
          <w:rPr>
            <w:noProof/>
            <w:webHidden/>
          </w:rPr>
          <w:t>37</w:t>
        </w:r>
        <w:r w:rsidR="006975FE">
          <w:rPr>
            <w:noProof/>
            <w:webHidden/>
          </w:rPr>
          <w:fldChar w:fldCharType="end"/>
        </w:r>
      </w:hyperlink>
    </w:p>
    <w:p w14:paraId="19A6C946" w14:textId="4FAC0C59" w:rsidR="006975FE" w:rsidRDefault="00D22FE8">
      <w:pPr>
        <w:pStyle w:val="Spisilustracji"/>
        <w:tabs>
          <w:tab w:val="right" w:leader="dot" w:pos="9062"/>
        </w:tabs>
        <w:rPr>
          <w:rFonts w:eastAsiaTheme="minorEastAsia"/>
          <w:noProof/>
          <w:lang w:eastAsia="pl-PL"/>
        </w:rPr>
      </w:pPr>
      <w:hyperlink w:anchor="_Toc73516095" w:history="1">
        <w:r w:rsidR="006975FE" w:rsidRPr="00CD3EF4">
          <w:rPr>
            <w:rStyle w:val="Hipercze"/>
            <w:noProof/>
          </w:rPr>
          <w:t xml:space="preserve">Wykres 34.  </w:t>
        </w:r>
        <w:r w:rsidR="006975FE" w:rsidRPr="00CD3EF4">
          <w:rPr>
            <w:rStyle w:val="Hipercze"/>
            <w:bCs/>
            <w:noProof/>
            <w:lang w:val="en-US"/>
          </w:rPr>
          <w:t>Lesistość w latach 2013-2019 (%)</w:t>
        </w:r>
        <w:r w:rsidR="006975FE">
          <w:rPr>
            <w:noProof/>
            <w:webHidden/>
          </w:rPr>
          <w:tab/>
        </w:r>
        <w:r w:rsidR="006975FE">
          <w:rPr>
            <w:noProof/>
            <w:webHidden/>
          </w:rPr>
          <w:fldChar w:fldCharType="begin"/>
        </w:r>
        <w:r w:rsidR="006975FE">
          <w:rPr>
            <w:noProof/>
            <w:webHidden/>
          </w:rPr>
          <w:instrText xml:space="preserve"> PAGEREF _Toc73516095 \h </w:instrText>
        </w:r>
        <w:r w:rsidR="006975FE">
          <w:rPr>
            <w:noProof/>
            <w:webHidden/>
          </w:rPr>
        </w:r>
        <w:r w:rsidR="006975FE">
          <w:rPr>
            <w:noProof/>
            <w:webHidden/>
          </w:rPr>
          <w:fldChar w:fldCharType="separate"/>
        </w:r>
        <w:r w:rsidR="00AD58C3">
          <w:rPr>
            <w:noProof/>
            <w:webHidden/>
          </w:rPr>
          <w:t>40</w:t>
        </w:r>
        <w:r w:rsidR="006975FE">
          <w:rPr>
            <w:noProof/>
            <w:webHidden/>
          </w:rPr>
          <w:fldChar w:fldCharType="end"/>
        </w:r>
      </w:hyperlink>
    </w:p>
    <w:p w14:paraId="2E845168" w14:textId="605746BF" w:rsidR="006975FE" w:rsidRDefault="00D22FE8">
      <w:pPr>
        <w:pStyle w:val="Spisilustracji"/>
        <w:tabs>
          <w:tab w:val="right" w:leader="dot" w:pos="9062"/>
        </w:tabs>
        <w:rPr>
          <w:rFonts w:eastAsiaTheme="minorEastAsia"/>
          <w:noProof/>
          <w:lang w:eastAsia="pl-PL"/>
        </w:rPr>
      </w:pPr>
      <w:hyperlink w:anchor="_Toc73516096" w:history="1">
        <w:r w:rsidR="006975FE" w:rsidRPr="00CD3EF4">
          <w:rPr>
            <w:rStyle w:val="Hipercze"/>
            <w:noProof/>
          </w:rPr>
          <w:t xml:space="preserve">Wykres 35. </w:t>
        </w:r>
        <w:r w:rsidR="006975FE" w:rsidRPr="00CD3EF4">
          <w:rPr>
            <w:rStyle w:val="Hipercze"/>
            <w:bCs/>
            <w:noProof/>
            <w:lang w:val="en-US"/>
          </w:rPr>
          <w:t xml:space="preserve">Stężenia średnioroczne </w:t>
        </w:r>
        <w:r w:rsidR="006975FE" w:rsidRPr="00CD3EF4">
          <w:rPr>
            <w:rStyle w:val="Hipercze"/>
            <w:bCs/>
            <w:noProof/>
          </w:rPr>
          <w:t>d</w:t>
        </w:r>
        <w:r w:rsidR="006975FE" w:rsidRPr="00CD3EF4">
          <w:rPr>
            <w:rStyle w:val="Hipercze"/>
            <w:bCs/>
            <w:noProof/>
            <w:lang w:val="en-US"/>
          </w:rPr>
          <w:t>wutlenk</w:t>
        </w:r>
        <w:r w:rsidR="006975FE" w:rsidRPr="00CD3EF4">
          <w:rPr>
            <w:rStyle w:val="Hipercze"/>
            <w:bCs/>
            <w:noProof/>
          </w:rPr>
          <w:t>u</w:t>
        </w:r>
        <w:r w:rsidR="006975FE" w:rsidRPr="00CD3EF4">
          <w:rPr>
            <w:rStyle w:val="Hipercze"/>
            <w:bCs/>
            <w:noProof/>
            <w:lang w:val="en-US"/>
          </w:rPr>
          <w:t xml:space="preserve"> azotu</w:t>
        </w:r>
        <w:r w:rsidR="006975FE" w:rsidRPr="00CD3EF4">
          <w:rPr>
            <w:rStyle w:val="Hipercze"/>
            <w:bCs/>
            <w:noProof/>
          </w:rPr>
          <w:t xml:space="preserve"> w latach 2013 i 2019 (µg/m</w:t>
        </w:r>
        <w:r w:rsidR="006975FE" w:rsidRPr="00CD3EF4">
          <w:rPr>
            <w:rStyle w:val="Hipercze"/>
            <w:bCs/>
            <w:noProof/>
            <w:vertAlign w:val="superscript"/>
          </w:rPr>
          <w:t>3</w:t>
        </w:r>
        <w:r w:rsidR="006975FE" w:rsidRPr="00CD3EF4">
          <w:rPr>
            <w:rStyle w:val="Hipercze"/>
            <w:bCs/>
            <w:noProof/>
          </w:rPr>
          <w:t>)</w:t>
        </w:r>
        <w:r w:rsidR="006975FE">
          <w:rPr>
            <w:noProof/>
            <w:webHidden/>
          </w:rPr>
          <w:tab/>
        </w:r>
        <w:r w:rsidR="006975FE">
          <w:rPr>
            <w:noProof/>
            <w:webHidden/>
          </w:rPr>
          <w:fldChar w:fldCharType="begin"/>
        </w:r>
        <w:r w:rsidR="006975FE">
          <w:rPr>
            <w:noProof/>
            <w:webHidden/>
          </w:rPr>
          <w:instrText xml:space="preserve"> PAGEREF _Toc73516096 \h </w:instrText>
        </w:r>
        <w:r w:rsidR="006975FE">
          <w:rPr>
            <w:noProof/>
            <w:webHidden/>
          </w:rPr>
        </w:r>
        <w:r w:rsidR="006975FE">
          <w:rPr>
            <w:noProof/>
            <w:webHidden/>
          </w:rPr>
          <w:fldChar w:fldCharType="separate"/>
        </w:r>
        <w:r w:rsidR="00AD58C3">
          <w:rPr>
            <w:noProof/>
            <w:webHidden/>
          </w:rPr>
          <w:t>44</w:t>
        </w:r>
        <w:r w:rsidR="006975FE">
          <w:rPr>
            <w:noProof/>
            <w:webHidden/>
          </w:rPr>
          <w:fldChar w:fldCharType="end"/>
        </w:r>
      </w:hyperlink>
    </w:p>
    <w:p w14:paraId="2533C77E" w14:textId="701F38EB" w:rsidR="006975FE" w:rsidRDefault="00D22FE8">
      <w:pPr>
        <w:pStyle w:val="Spisilustracji"/>
        <w:tabs>
          <w:tab w:val="right" w:leader="dot" w:pos="9062"/>
        </w:tabs>
        <w:rPr>
          <w:rFonts w:eastAsiaTheme="minorEastAsia"/>
          <w:noProof/>
          <w:lang w:eastAsia="pl-PL"/>
        </w:rPr>
      </w:pPr>
      <w:hyperlink w:anchor="_Toc73516097" w:history="1">
        <w:r w:rsidR="006975FE" w:rsidRPr="00CD3EF4">
          <w:rPr>
            <w:rStyle w:val="Hipercze"/>
            <w:noProof/>
          </w:rPr>
          <w:t xml:space="preserve">Wykres 36. </w:t>
        </w:r>
        <w:r w:rsidR="006975FE" w:rsidRPr="00CD3EF4">
          <w:rPr>
            <w:rStyle w:val="Hipercze"/>
            <w:bCs/>
            <w:noProof/>
            <w:lang w:val="en-US"/>
          </w:rPr>
          <w:t>Stężenia średnioroczne dwutlenku siarki w latach 2013 i 2019</w:t>
        </w:r>
        <w:r w:rsidR="006975FE" w:rsidRPr="00CD3EF4">
          <w:rPr>
            <w:rStyle w:val="Hipercze"/>
            <w:bCs/>
            <w:noProof/>
          </w:rPr>
          <w:t xml:space="preserve"> (µg/m</w:t>
        </w:r>
        <w:r w:rsidR="006975FE" w:rsidRPr="00CD3EF4">
          <w:rPr>
            <w:rStyle w:val="Hipercze"/>
            <w:bCs/>
            <w:noProof/>
            <w:vertAlign w:val="superscript"/>
          </w:rPr>
          <w:t>3</w:t>
        </w:r>
        <w:r w:rsidR="006975FE" w:rsidRPr="00CD3EF4">
          <w:rPr>
            <w:rStyle w:val="Hipercze"/>
            <w:bCs/>
            <w:noProof/>
          </w:rPr>
          <w:t>)</w:t>
        </w:r>
        <w:r w:rsidR="006975FE">
          <w:rPr>
            <w:noProof/>
            <w:webHidden/>
          </w:rPr>
          <w:tab/>
        </w:r>
        <w:r w:rsidR="006975FE">
          <w:rPr>
            <w:noProof/>
            <w:webHidden/>
          </w:rPr>
          <w:fldChar w:fldCharType="begin"/>
        </w:r>
        <w:r w:rsidR="006975FE">
          <w:rPr>
            <w:noProof/>
            <w:webHidden/>
          </w:rPr>
          <w:instrText xml:space="preserve"> PAGEREF _Toc73516097 \h </w:instrText>
        </w:r>
        <w:r w:rsidR="006975FE">
          <w:rPr>
            <w:noProof/>
            <w:webHidden/>
          </w:rPr>
        </w:r>
        <w:r w:rsidR="006975FE">
          <w:rPr>
            <w:noProof/>
            <w:webHidden/>
          </w:rPr>
          <w:fldChar w:fldCharType="separate"/>
        </w:r>
        <w:r w:rsidR="00AD58C3">
          <w:rPr>
            <w:noProof/>
            <w:webHidden/>
          </w:rPr>
          <w:t>45</w:t>
        </w:r>
        <w:r w:rsidR="006975FE">
          <w:rPr>
            <w:noProof/>
            <w:webHidden/>
          </w:rPr>
          <w:fldChar w:fldCharType="end"/>
        </w:r>
      </w:hyperlink>
    </w:p>
    <w:p w14:paraId="4E78F5E7" w14:textId="7EE88086" w:rsidR="006975FE" w:rsidRDefault="00D22FE8">
      <w:pPr>
        <w:pStyle w:val="Spisilustracji"/>
        <w:tabs>
          <w:tab w:val="right" w:leader="dot" w:pos="9062"/>
        </w:tabs>
        <w:rPr>
          <w:rFonts w:eastAsiaTheme="minorEastAsia"/>
          <w:noProof/>
          <w:lang w:eastAsia="pl-PL"/>
        </w:rPr>
      </w:pPr>
      <w:hyperlink w:anchor="_Toc73516098" w:history="1">
        <w:r w:rsidR="006975FE" w:rsidRPr="00CD3EF4">
          <w:rPr>
            <w:rStyle w:val="Hipercze"/>
            <w:noProof/>
          </w:rPr>
          <w:t xml:space="preserve">Wykres 37. </w:t>
        </w:r>
        <w:r w:rsidR="006975FE" w:rsidRPr="00CD3EF4">
          <w:rPr>
            <w:rStyle w:val="Hipercze"/>
            <w:bCs/>
            <w:noProof/>
            <w:lang w:val="en-US"/>
          </w:rPr>
          <w:t>Stężenia średnioroczne pyłu zawieszonego PM10</w:t>
        </w:r>
        <w:r w:rsidR="006975FE" w:rsidRPr="00CD3EF4">
          <w:rPr>
            <w:rStyle w:val="Hipercze"/>
            <w:bCs/>
            <w:noProof/>
          </w:rPr>
          <w:t xml:space="preserve"> </w:t>
        </w:r>
        <w:r w:rsidR="006975FE" w:rsidRPr="00CD3EF4">
          <w:rPr>
            <w:rStyle w:val="Hipercze"/>
            <w:bCs/>
            <w:noProof/>
            <w:lang w:val="en-US"/>
          </w:rPr>
          <w:t>w latach 2013 i 2019</w:t>
        </w:r>
        <w:r w:rsidR="006975FE" w:rsidRPr="00CD3EF4">
          <w:rPr>
            <w:rStyle w:val="Hipercze"/>
            <w:bCs/>
            <w:noProof/>
          </w:rPr>
          <w:t xml:space="preserve"> (µg/m</w:t>
        </w:r>
        <w:r w:rsidR="006975FE" w:rsidRPr="00CD3EF4">
          <w:rPr>
            <w:rStyle w:val="Hipercze"/>
            <w:bCs/>
            <w:noProof/>
            <w:vertAlign w:val="superscript"/>
          </w:rPr>
          <w:t>3</w:t>
        </w:r>
        <w:r w:rsidR="006975FE" w:rsidRPr="00CD3EF4">
          <w:rPr>
            <w:rStyle w:val="Hipercze"/>
            <w:bCs/>
            <w:noProof/>
          </w:rPr>
          <w:t>)</w:t>
        </w:r>
        <w:r w:rsidR="006975FE">
          <w:rPr>
            <w:noProof/>
            <w:webHidden/>
          </w:rPr>
          <w:tab/>
        </w:r>
        <w:r w:rsidR="006975FE">
          <w:rPr>
            <w:noProof/>
            <w:webHidden/>
          </w:rPr>
          <w:fldChar w:fldCharType="begin"/>
        </w:r>
        <w:r w:rsidR="006975FE">
          <w:rPr>
            <w:noProof/>
            <w:webHidden/>
          </w:rPr>
          <w:instrText xml:space="preserve"> PAGEREF _Toc73516098 \h </w:instrText>
        </w:r>
        <w:r w:rsidR="006975FE">
          <w:rPr>
            <w:noProof/>
            <w:webHidden/>
          </w:rPr>
        </w:r>
        <w:r w:rsidR="006975FE">
          <w:rPr>
            <w:noProof/>
            <w:webHidden/>
          </w:rPr>
          <w:fldChar w:fldCharType="separate"/>
        </w:r>
        <w:r w:rsidR="00AD58C3">
          <w:rPr>
            <w:noProof/>
            <w:webHidden/>
          </w:rPr>
          <w:t>46</w:t>
        </w:r>
        <w:r w:rsidR="006975FE">
          <w:rPr>
            <w:noProof/>
            <w:webHidden/>
          </w:rPr>
          <w:fldChar w:fldCharType="end"/>
        </w:r>
      </w:hyperlink>
    </w:p>
    <w:p w14:paraId="117E838D" w14:textId="2B79655E" w:rsidR="006975FE" w:rsidRDefault="00D22FE8">
      <w:pPr>
        <w:pStyle w:val="Spisilustracji"/>
        <w:tabs>
          <w:tab w:val="right" w:leader="dot" w:pos="9062"/>
        </w:tabs>
        <w:rPr>
          <w:rFonts w:eastAsiaTheme="minorEastAsia"/>
          <w:noProof/>
          <w:lang w:eastAsia="pl-PL"/>
        </w:rPr>
      </w:pPr>
      <w:hyperlink w:anchor="_Toc73516099" w:history="1">
        <w:r w:rsidR="006975FE" w:rsidRPr="00CD3EF4">
          <w:rPr>
            <w:rStyle w:val="Hipercze"/>
            <w:noProof/>
          </w:rPr>
          <w:t xml:space="preserve">Wykres 38. </w:t>
        </w:r>
        <w:r w:rsidR="006975FE" w:rsidRPr="00CD3EF4">
          <w:rPr>
            <w:rStyle w:val="Hipercze"/>
            <w:bCs/>
            <w:noProof/>
            <w:lang w:val="en-US"/>
          </w:rPr>
          <w:t>Stężenia średnioroczne pyłu zawieszonego PM2.5 w latach 2013 i 2019</w:t>
        </w:r>
        <w:r w:rsidR="006975FE" w:rsidRPr="00CD3EF4">
          <w:rPr>
            <w:rStyle w:val="Hipercze"/>
            <w:bCs/>
            <w:noProof/>
          </w:rPr>
          <w:t xml:space="preserve"> (µg/m</w:t>
        </w:r>
        <w:r w:rsidR="006975FE" w:rsidRPr="00CD3EF4">
          <w:rPr>
            <w:rStyle w:val="Hipercze"/>
            <w:bCs/>
            <w:noProof/>
            <w:vertAlign w:val="superscript"/>
          </w:rPr>
          <w:t>3</w:t>
        </w:r>
        <w:r w:rsidR="006975FE" w:rsidRPr="00CD3EF4">
          <w:rPr>
            <w:rStyle w:val="Hipercze"/>
            <w:bCs/>
            <w:noProof/>
          </w:rPr>
          <w:t>)</w:t>
        </w:r>
        <w:r w:rsidR="006975FE">
          <w:rPr>
            <w:noProof/>
            <w:webHidden/>
          </w:rPr>
          <w:tab/>
        </w:r>
        <w:r w:rsidR="006975FE">
          <w:rPr>
            <w:noProof/>
            <w:webHidden/>
          </w:rPr>
          <w:fldChar w:fldCharType="begin"/>
        </w:r>
        <w:r w:rsidR="006975FE">
          <w:rPr>
            <w:noProof/>
            <w:webHidden/>
          </w:rPr>
          <w:instrText xml:space="preserve"> PAGEREF _Toc73516099 \h </w:instrText>
        </w:r>
        <w:r w:rsidR="006975FE">
          <w:rPr>
            <w:noProof/>
            <w:webHidden/>
          </w:rPr>
        </w:r>
        <w:r w:rsidR="006975FE">
          <w:rPr>
            <w:noProof/>
            <w:webHidden/>
          </w:rPr>
          <w:fldChar w:fldCharType="separate"/>
        </w:r>
        <w:r w:rsidR="00AD58C3">
          <w:rPr>
            <w:noProof/>
            <w:webHidden/>
          </w:rPr>
          <w:t>48</w:t>
        </w:r>
        <w:r w:rsidR="006975FE">
          <w:rPr>
            <w:noProof/>
            <w:webHidden/>
          </w:rPr>
          <w:fldChar w:fldCharType="end"/>
        </w:r>
      </w:hyperlink>
    </w:p>
    <w:p w14:paraId="3D896987" w14:textId="0B63349E" w:rsidR="006975FE" w:rsidRDefault="00D22FE8">
      <w:pPr>
        <w:pStyle w:val="Spisilustracji"/>
        <w:tabs>
          <w:tab w:val="right" w:leader="dot" w:pos="9062"/>
        </w:tabs>
        <w:rPr>
          <w:rFonts w:eastAsiaTheme="minorEastAsia"/>
          <w:noProof/>
          <w:lang w:eastAsia="pl-PL"/>
        </w:rPr>
      </w:pPr>
      <w:hyperlink w:anchor="_Toc73516100" w:history="1">
        <w:r w:rsidR="006975FE" w:rsidRPr="00CD3EF4">
          <w:rPr>
            <w:rStyle w:val="Hipercze"/>
            <w:noProof/>
          </w:rPr>
          <w:t xml:space="preserve">Wykres 39. </w:t>
        </w:r>
        <w:r w:rsidR="006975FE" w:rsidRPr="00CD3EF4">
          <w:rPr>
            <w:rStyle w:val="Hipercze"/>
            <w:bCs/>
            <w:noProof/>
          </w:rPr>
          <w:t xml:space="preserve">Maksimum ze średnich 8-godzinnych stężenia tlenku węgla </w:t>
        </w:r>
        <w:r w:rsidR="006975FE" w:rsidRPr="00CD3EF4">
          <w:rPr>
            <w:rStyle w:val="Hipercze"/>
            <w:bCs/>
            <w:noProof/>
            <w:lang w:val="en-US"/>
          </w:rPr>
          <w:t>w latach 2013 i 2019</w:t>
        </w:r>
        <w:r w:rsidR="006975FE" w:rsidRPr="00CD3EF4">
          <w:rPr>
            <w:rStyle w:val="Hipercze"/>
            <w:bCs/>
            <w:noProof/>
          </w:rPr>
          <w:t xml:space="preserve"> (µg/m</w:t>
        </w:r>
        <w:r w:rsidR="006975FE" w:rsidRPr="00CD3EF4">
          <w:rPr>
            <w:rStyle w:val="Hipercze"/>
            <w:bCs/>
            <w:noProof/>
            <w:vertAlign w:val="superscript"/>
          </w:rPr>
          <w:t>3</w:t>
        </w:r>
        <w:r w:rsidR="006975FE" w:rsidRPr="00CD3EF4">
          <w:rPr>
            <w:rStyle w:val="Hipercze"/>
            <w:bCs/>
            <w:noProof/>
          </w:rPr>
          <w:t>)</w:t>
        </w:r>
        <w:r w:rsidR="006975FE">
          <w:rPr>
            <w:noProof/>
            <w:webHidden/>
          </w:rPr>
          <w:tab/>
        </w:r>
        <w:r w:rsidR="006975FE">
          <w:rPr>
            <w:noProof/>
            <w:webHidden/>
          </w:rPr>
          <w:fldChar w:fldCharType="begin"/>
        </w:r>
        <w:r w:rsidR="006975FE">
          <w:rPr>
            <w:noProof/>
            <w:webHidden/>
          </w:rPr>
          <w:instrText xml:space="preserve"> PAGEREF _Toc73516100 \h </w:instrText>
        </w:r>
        <w:r w:rsidR="006975FE">
          <w:rPr>
            <w:noProof/>
            <w:webHidden/>
          </w:rPr>
        </w:r>
        <w:r w:rsidR="006975FE">
          <w:rPr>
            <w:noProof/>
            <w:webHidden/>
          </w:rPr>
          <w:fldChar w:fldCharType="separate"/>
        </w:r>
        <w:r w:rsidR="00AD58C3">
          <w:rPr>
            <w:noProof/>
            <w:webHidden/>
          </w:rPr>
          <w:t>49</w:t>
        </w:r>
        <w:r w:rsidR="006975FE">
          <w:rPr>
            <w:noProof/>
            <w:webHidden/>
          </w:rPr>
          <w:fldChar w:fldCharType="end"/>
        </w:r>
      </w:hyperlink>
    </w:p>
    <w:p w14:paraId="5BA22773" w14:textId="5A03BEFE" w:rsidR="006975FE" w:rsidRDefault="00D22FE8">
      <w:pPr>
        <w:pStyle w:val="Spisilustracji"/>
        <w:tabs>
          <w:tab w:val="right" w:leader="dot" w:pos="9062"/>
        </w:tabs>
        <w:rPr>
          <w:rFonts w:eastAsiaTheme="minorEastAsia"/>
          <w:noProof/>
          <w:lang w:eastAsia="pl-PL"/>
        </w:rPr>
      </w:pPr>
      <w:hyperlink w:anchor="_Toc73516101" w:history="1">
        <w:r w:rsidR="006975FE" w:rsidRPr="00CD3EF4">
          <w:rPr>
            <w:rStyle w:val="Hipercze"/>
            <w:noProof/>
          </w:rPr>
          <w:t xml:space="preserve">Wykres 40. </w:t>
        </w:r>
        <w:r w:rsidR="006975FE" w:rsidRPr="00CD3EF4">
          <w:rPr>
            <w:rStyle w:val="Hipercze"/>
            <w:bCs/>
            <w:noProof/>
            <w:lang w:val="en-US"/>
          </w:rPr>
          <w:t xml:space="preserve">Stężenia średnioroczne </w:t>
        </w:r>
        <w:r w:rsidR="006975FE" w:rsidRPr="00CD3EF4">
          <w:rPr>
            <w:rStyle w:val="Hipercze"/>
            <w:bCs/>
            <w:noProof/>
          </w:rPr>
          <w:t>benzenu w latach 2013 i 2019 (µg/m</w:t>
        </w:r>
        <w:r w:rsidR="006975FE" w:rsidRPr="00CD3EF4">
          <w:rPr>
            <w:rStyle w:val="Hipercze"/>
            <w:bCs/>
            <w:noProof/>
            <w:vertAlign w:val="superscript"/>
          </w:rPr>
          <w:t>3</w:t>
        </w:r>
        <w:r w:rsidR="006975FE" w:rsidRPr="00CD3EF4">
          <w:rPr>
            <w:rStyle w:val="Hipercze"/>
            <w:bCs/>
            <w:noProof/>
          </w:rPr>
          <w:t>)</w:t>
        </w:r>
        <w:r w:rsidR="006975FE">
          <w:rPr>
            <w:noProof/>
            <w:webHidden/>
          </w:rPr>
          <w:tab/>
        </w:r>
        <w:r w:rsidR="006975FE">
          <w:rPr>
            <w:noProof/>
            <w:webHidden/>
          </w:rPr>
          <w:fldChar w:fldCharType="begin"/>
        </w:r>
        <w:r w:rsidR="006975FE">
          <w:rPr>
            <w:noProof/>
            <w:webHidden/>
          </w:rPr>
          <w:instrText xml:space="preserve"> PAGEREF _Toc73516101 \h </w:instrText>
        </w:r>
        <w:r w:rsidR="006975FE">
          <w:rPr>
            <w:noProof/>
            <w:webHidden/>
          </w:rPr>
        </w:r>
        <w:r w:rsidR="006975FE">
          <w:rPr>
            <w:noProof/>
            <w:webHidden/>
          </w:rPr>
          <w:fldChar w:fldCharType="separate"/>
        </w:r>
        <w:r w:rsidR="00AD58C3">
          <w:rPr>
            <w:noProof/>
            <w:webHidden/>
          </w:rPr>
          <w:t>49</w:t>
        </w:r>
        <w:r w:rsidR="006975FE">
          <w:rPr>
            <w:noProof/>
            <w:webHidden/>
          </w:rPr>
          <w:fldChar w:fldCharType="end"/>
        </w:r>
      </w:hyperlink>
    </w:p>
    <w:p w14:paraId="76D04496" w14:textId="3D8DD9B1" w:rsidR="006975FE" w:rsidRDefault="00D22FE8">
      <w:pPr>
        <w:pStyle w:val="Spisilustracji"/>
        <w:tabs>
          <w:tab w:val="right" w:leader="dot" w:pos="9062"/>
        </w:tabs>
        <w:rPr>
          <w:rFonts w:eastAsiaTheme="minorEastAsia"/>
          <w:noProof/>
          <w:lang w:eastAsia="pl-PL"/>
        </w:rPr>
      </w:pPr>
      <w:hyperlink w:anchor="_Toc73516102" w:history="1">
        <w:r w:rsidR="006975FE" w:rsidRPr="00CD3EF4">
          <w:rPr>
            <w:rStyle w:val="Hipercze"/>
            <w:noProof/>
          </w:rPr>
          <w:t xml:space="preserve">Wykres 41. </w:t>
        </w:r>
        <w:r w:rsidR="006975FE" w:rsidRPr="00CD3EF4">
          <w:rPr>
            <w:rStyle w:val="Hipercze"/>
            <w:bCs/>
            <w:noProof/>
            <w:lang w:val="en-US"/>
          </w:rPr>
          <w:t>Stężenia średnioroczne ołowiu w PM10 w latach 2013 i 2019</w:t>
        </w:r>
        <w:r w:rsidR="006975FE" w:rsidRPr="00CD3EF4">
          <w:rPr>
            <w:rStyle w:val="Hipercze"/>
            <w:bCs/>
            <w:noProof/>
          </w:rPr>
          <w:t xml:space="preserve"> (µg/m</w:t>
        </w:r>
        <w:r w:rsidR="006975FE" w:rsidRPr="00CD3EF4">
          <w:rPr>
            <w:rStyle w:val="Hipercze"/>
            <w:bCs/>
            <w:noProof/>
            <w:vertAlign w:val="superscript"/>
          </w:rPr>
          <w:t>3</w:t>
        </w:r>
        <w:r w:rsidR="006975FE" w:rsidRPr="00CD3EF4">
          <w:rPr>
            <w:rStyle w:val="Hipercze"/>
            <w:bCs/>
            <w:noProof/>
          </w:rPr>
          <w:t>)</w:t>
        </w:r>
        <w:r w:rsidR="006975FE">
          <w:rPr>
            <w:noProof/>
            <w:webHidden/>
          </w:rPr>
          <w:tab/>
        </w:r>
        <w:r w:rsidR="006975FE">
          <w:rPr>
            <w:noProof/>
            <w:webHidden/>
          </w:rPr>
          <w:fldChar w:fldCharType="begin"/>
        </w:r>
        <w:r w:rsidR="006975FE">
          <w:rPr>
            <w:noProof/>
            <w:webHidden/>
          </w:rPr>
          <w:instrText xml:space="preserve"> PAGEREF _Toc73516102 \h </w:instrText>
        </w:r>
        <w:r w:rsidR="006975FE">
          <w:rPr>
            <w:noProof/>
            <w:webHidden/>
          </w:rPr>
        </w:r>
        <w:r w:rsidR="006975FE">
          <w:rPr>
            <w:noProof/>
            <w:webHidden/>
          </w:rPr>
          <w:fldChar w:fldCharType="separate"/>
        </w:r>
        <w:r w:rsidR="00AD58C3">
          <w:rPr>
            <w:noProof/>
            <w:webHidden/>
          </w:rPr>
          <w:t>50</w:t>
        </w:r>
        <w:r w:rsidR="006975FE">
          <w:rPr>
            <w:noProof/>
            <w:webHidden/>
          </w:rPr>
          <w:fldChar w:fldCharType="end"/>
        </w:r>
      </w:hyperlink>
    </w:p>
    <w:p w14:paraId="2EE41838" w14:textId="42AAD4FA" w:rsidR="006975FE" w:rsidRDefault="00D22FE8">
      <w:pPr>
        <w:pStyle w:val="Spisilustracji"/>
        <w:tabs>
          <w:tab w:val="right" w:leader="dot" w:pos="9062"/>
        </w:tabs>
        <w:rPr>
          <w:rFonts w:eastAsiaTheme="minorEastAsia"/>
          <w:noProof/>
          <w:lang w:eastAsia="pl-PL"/>
        </w:rPr>
      </w:pPr>
      <w:hyperlink w:anchor="_Toc73516103" w:history="1">
        <w:r w:rsidR="006975FE" w:rsidRPr="00CD3EF4">
          <w:rPr>
            <w:rStyle w:val="Hipercze"/>
            <w:noProof/>
          </w:rPr>
          <w:t xml:space="preserve">Wykres 42. </w:t>
        </w:r>
        <w:r w:rsidR="006975FE" w:rsidRPr="00CD3EF4">
          <w:rPr>
            <w:rStyle w:val="Hipercze"/>
            <w:bCs/>
            <w:noProof/>
            <w:lang w:val="en-US"/>
          </w:rPr>
          <w:t xml:space="preserve">Stężenia średnioroczne </w:t>
        </w:r>
        <w:r w:rsidR="006975FE" w:rsidRPr="00CD3EF4">
          <w:rPr>
            <w:rStyle w:val="Hipercze"/>
            <w:bCs/>
            <w:noProof/>
          </w:rPr>
          <w:t>benzo(a)pirenu w PM10 w latach 2013 i 2019</w:t>
        </w:r>
        <w:r w:rsidR="006975FE" w:rsidRPr="00CD3EF4">
          <w:rPr>
            <w:rStyle w:val="Hipercze"/>
            <w:noProof/>
          </w:rPr>
          <w:t xml:space="preserve"> (</w:t>
        </w:r>
        <w:r w:rsidR="006975FE" w:rsidRPr="00CD3EF4">
          <w:rPr>
            <w:rStyle w:val="Hipercze"/>
            <w:bCs/>
            <w:noProof/>
          </w:rPr>
          <w:t>µg/m</w:t>
        </w:r>
        <w:r w:rsidR="006975FE" w:rsidRPr="00CD3EF4">
          <w:rPr>
            <w:rStyle w:val="Hipercze"/>
            <w:bCs/>
            <w:noProof/>
            <w:vertAlign w:val="superscript"/>
          </w:rPr>
          <w:t>3</w:t>
        </w:r>
        <w:r w:rsidR="006975FE" w:rsidRPr="00CD3EF4">
          <w:rPr>
            <w:rStyle w:val="Hipercze"/>
            <w:bCs/>
            <w:noProof/>
          </w:rPr>
          <w:t>)</w:t>
        </w:r>
        <w:r w:rsidR="006975FE">
          <w:rPr>
            <w:noProof/>
            <w:webHidden/>
          </w:rPr>
          <w:tab/>
        </w:r>
        <w:r w:rsidR="006975FE">
          <w:rPr>
            <w:noProof/>
            <w:webHidden/>
          </w:rPr>
          <w:fldChar w:fldCharType="begin"/>
        </w:r>
        <w:r w:rsidR="006975FE">
          <w:rPr>
            <w:noProof/>
            <w:webHidden/>
          </w:rPr>
          <w:instrText xml:space="preserve"> PAGEREF _Toc73516103 \h </w:instrText>
        </w:r>
        <w:r w:rsidR="006975FE">
          <w:rPr>
            <w:noProof/>
            <w:webHidden/>
          </w:rPr>
        </w:r>
        <w:r w:rsidR="006975FE">
          <w:rPr>
            <w:noProof/>
            <w:webHidden/>
          </w:rPr>
          <w:fldChar w:fldCharType="separate"/>
        </w:r>
        <w:r w:rsidR="00AD58C3">
          <w:rPr>
            <w:noProof/>
            <w:webHidden/>
          </w:rPr>
          <w:t>51</w:t>
        </w:r>
        <w:r w:rsidR="006975FE">
          <w:rPr>
            <w:noProof/>
            <w:webHidden/>
          </w:rPr>
          <w:fldChar w:fldCharType="end"/>
        </w:r>
      </w:hyperlink>
    </w:p>
    <w:p w14:paraId="7F81DB34" w14:textId="1878977B" w:rsidR="006975FE" w:rsidRDefault="00D22FE8">
      <w:pPr>
        <w:pStyle w:val="Spisilustracji"/>
        <w:tabs>
          <w:tab w:val="right" w:leader="dot" w:pos="9062"/>
        </w:tabs>
        <w:rPr>
          <w:rFonts w:eastAsiaTheme="minorEastAsia"/>
          <w:noProof/>
          <w:lang w:eastAsia="pl-PL"/>
        </w:rPr>
      </w:pPr>
      <w:hyperlink w:anchor="_Toc73516104" w:history="1">
        <w:r w:rsidR="006975FE" w:rsidRPr="00CD3EF4">
          <w:rPr>
            <w:rStyle w:val="Hipercze"/>
            <w:noProof/>
          </w:rPr>
          <w:t xml:space="preserve">Wykres 43. </w:t>
        </w:r>
        <w:r w:rsidR="006975FE" w:rsidRPr="00CD3EF4">
          <w:rPr>
            <w:rStyle w:val="Hipercze"/>
            <w:bCs/>
            <w:noProof/>
          </w:rPr>
          <w:t>Średnia roczna temperatura powietrza w roku 2019 (</w:t>
        </w:r>
        <w:r w:rsidR="006975FE" w:rsidRPr="00CD3EF4">
          <w:rPr>
            <w:rStyle w:val="Hipercze"/>
            <w:bCs/>
            <w:noProof/>
            <w:vertAlign w:val="superscript"/>
          </w:rPr>
          <w:t>o</w:t>
        </w:r>
        <w:r w:rsidR="006975FE" w:rsidRPr="00CD3EF4">
          <w:rPr>
            <w:rStyle w:val="Hipercze"/>
            <w:bCs/>
            <w:noProof/>
          </w:rPr>
          <w:t>C)</w:t>
        </w:r>
        <w:r w:rsidR="006975FE">
          <w:rPr>
            <w:noProof/>
            <w:webHidden/>
          </w:rPr>
          <w:tab/>
        </w:r>
        <w:r w:rsidR="006975FE">
          <w:rPr>
            <w:noProof/>
            <w:webHidden/>
          </w:rPr>
          <w:fldChar w:fldCharType="begin"/>
        </w:r>
        <w:r w:rsidR="006975FE">
          <w:rPr>
            <w:noProof/>
            <w:webHidden/>
          </w:rPr>
          <w:instrText xml:space="preserve"> PAGEREF _Toc73516104 \h </w:instrText>
        </w:r>
        <w:r w:rsidR="006975FE">
          <w:rPr>
            <w:noProof/>
            <w:webHidden/>
          </w:rPr>
        </w:r>
        <w:r w:rsidR="006975FE">
          <w:rPr>
            <w:noProof/>
            <w:webHidden/>
          </w:rPr>
          <w:fldChar w:fldCharType="separate"/>
        </w:r>
        <w:r w:rsidR="00AD58C3">
          <w:rPr>
            <w:noProof/>
            <w:webHidden/>
          </w:rPr>
          <w:t>56</w:t>
        </w:r>
        <w:r w:rsidR="006975FE">
          <w:rPr>
            <w:noProof/>
            <w:webHidden/>
          </w:rPr>
          <w:fldChar w:fldCharType="end"/>
        </w:r>
      </w:hyperlink>
    </w:p>
    <w:p w14:paraId="33C3694E" w14:textId="7DC58679" w:rsidR="006975FE" w:rsidRDefault="00D22FE8">
      <w:pPr>
        <w:pStyle w:val="Spisilustracji"/>
        <w:tabs>
          <w:tab w:val="right" w:leader="dot" w:pos="9062"/>
        </w:tabs>
        <w:rPr>
          <w:rFonts w:eastAsiaTheme="minorEastAsia"/>
          <w:noProof/>
          <w:lang w:eastAsia="pl-PL"/>
        </w:rPr>
      </w:pPr>
      <w:hyperlink w:anchor="_Toc73516105" w:history="1">
        <w:r w:rsidR="006975FE" w:rsidRPr="00CD3EF4">
          <w:rPr>
            <w:rStyle w:val="Hipercze"/>
            <w:noProof/>
          </w:rPr>
          <w:t>Wykres 44. Zima w Olsztynie (2014-2019)</w:t>
        </w:r>
        <w:r w:rsidR="006975FE">
          <w:rPr>
            <w:noProof/>
            <w:webHidden/>
          </w:rPr>
          <w:tab/>
        </w:r>
        <w:r w:rsidR="006975FE">
          <w:rPr>
            <w:noProof/>
            <w:webHidden/>
          </w:rPr>
          <w:fldChar w:fldCharType="begin"/>
        </w:r>
        <w:r w:rsidR="006975FE">
          <w:rPr>
            <w:noProof/>
            <w:webHidden/>
          </w:rPr>
          <w:instrText xml:space="preserve"> PAGEREF _Toc73516105 \h </w:instrText>
        </w:r>
        <w:r w:rsidR="006975FE">
          <w:rPr>
            <w:noProof/>
            <w:webHidden/>
          </w:rPr>
        </w:r>
        <w:r w:rsidR="006975FE">
          <w:rPr>
            <w:noProof/>
            <w:webHidden/>
          </w:rPr>
          <w:fldChar w:fldCharType="separate"/>
        </w:r>
        <w:r w:rsidR="00AD58C3">
          <w:rPr>
            <w:noProof/>
            <w:webHidden/>
          </w:rPr>
          <w:t>57</w:t>
        </w:r>
        <w:r w:rsidR="006975FE">
          <w:rPr>
            <w:noProof/>
            <w:webHidden/>
          </w:rPr>
          <w:fldChar w:fldCharType="end"/>
        </w:r>
      </w:hyperlink>
    </w:p>
    <w:p w14:paraId="6AABA249" w14:textId="234CFCD1" w:rsidR="006975FE" w:rsidRDefault="00D22FE8">
      <w:pPr>
        <w:pStyle w:val="Spisilustracji"/>
        <w:tabs>
          <w:tab w:val="right" w:leader="dot" w:pos="9062"/>
        </w:tabs>
        <w:rPr>
          <w:rFonts w:eastAsiaTheme="minorEastAsia"/>
          <w:noProof/>
          <w:lang w:eastAsia="pl-PL"/>
        </w:rPr>
      </w:pPr>
      <w:hyperlink w:anchor="_Toc73516106" w:history="1">
        <w:r w:rsidR="006975FE" w:rsidRPr="00CD3EF4">
          <w:rPr>
            <w:rStyle w:val="Hipercze"/>
            <w:noProof/>
          </w:rPr>
          <w:t>Wykres 45.</w:t>
        </w:r>
        <w:r w:rsidR="006975FE" w:rsidRPr="00CD3EF4">
          <w:rPr>
            <w:rStyle w:val="Hipercze"/>
            <w:rFonts w:hAnsi="Times New Roman"/>
            <w:bCs/>
            <w:noProof/>
            <w:kern w:val="24"/>
            <w:lang w:eastAsia="pl-PL"/>
          </w:rPr>
          <w:t xml:space="preserve"> </w:t>
        </w:r>
        <w:r w:rsidR="006975FE" w:rsidRPr="00CD3EF4">
          <w:rPr>
            <w:rStyle w:val="Hipercze"/>
            <w:bCs/>
            <w:noProof/>
          </w:rPr>
          <w:t>Odsetek ludności korzystającej z infrastruktury technicznej w roku 2019 w stosunku do ogółu ludności</w:t>
        </w:r>
        <w:r w:rsidR="006975FE">
          <w:rPr>
            <w:noProof/>
            <w:webHidden/>
          </w:rPr>
          <w:tab/>
        </w:r>
        <w:r w:rsidR="006975FE">
          <w:rPr>
            <w:noProof/>
            <w:webHidden/>
          </w:rPr>
          <w:fldChar w:fldCharType="begin"/>
        </w:r>
        <w:r w:rsidR="006975FE">
          <w:rPr>
            <w:noProof/>
            <w:webHidden/>
          </w:rPr>
          <w:instrText xml:space="preserve"> PAGEREF _Toc73516106 \h </w:instrText>
        </w:r>
        <w:r w:rsidR="006975FE">
          <w:rPr>
            <w:noProof/>
            <w:webHidden/>
          </w:rPr>
        </w:r>
        <w:r w:rsidR="006975FE">
          <w:rPr>
            <w:noProof/>
            <w:webHidden/>
          </w:rPr>
          <w:fldChar w:fldCharType="separate"/>
        </w:r>
        <w:r w:rsidR="00AD58C3">
          <w:rPr>
            <w:noProof/>
            <w:webHidden/>
          </w:rPr>
          <w:t>61</w:t>
        </w:r>
        <w:r w:rsidR="006975FE">
          <w:rPr>
            <w:noProof/>
            <w:webHidden/>
          </w:rPr>
          <w:fldChar w:fldCharType="end"/>
        </w:r>
      </w:hyperlink>
    </w:p>
    <w:p w14:paraId="557DB943" w14:textId="145E8DB4" w:rsidR="006975FE" w:rsidRDefault="00D22FE8">
      <w:pPr>
        <w:pStyle w:val="Spisilustracji"/>
        <w:tabs>
          <w:tab w:val="right" w:leader="dot" w:pos="9062"/>
        </w:tabs>
        <w:rPr>
          <w:rFonts w:eastAsiaTheme="minorEastAsia"/>
          <w:noProof/>
          <w:lang w:eastAsia="pl-PL"/>
        </w:rPr>
      </w:pPr>
      <w:hyperlink w:anchor="_Toc73516107" w:history="1">
        <w:r w:rsidR="006975FE" w:rsidRPr="00CD3EF4">
          <w:rPr>
            <w:rStyle w:val="Hipercze"/>
            <w:noProof/>
          </w:rPr>
          <w:t>Wykres 46. Przepustowość oczyszczalni (m</w:t>
        </w:r>
        <w:r w:rsidR="006975FE" w:rsidRPr="00CD3EF4">
          <w:rPr>
            <w:rStyle w:val="Hipercze"/>
            <w:noProof/>
            <w:vertAlign w:val="superscript"/>
          </w:rPr>
          <w:t>3</w:t>
        </w:r>
        <w:r w:rsidR="006975FE" w:rsidRPr="00CD3EF4">
          <w:rPr>
            <w:rStyle w:val="Hipercze"/>
            <w:noProof/>
          </w:rPr>
          <w:t>/dobę) w latach 2013 i 2019</w:t>
        </w:r>
        <w:r w:rsidR="006975FE">
          <w:rPr>
            <w:noProof/>
            <w:webHidden/>
          </w:rPr>
          <w:tab/>
        </w:r>
        <w:r w:rsidR="006975FE">
          <w:rPr>
            <w:noProof/>
            <w:webHidden/>
          </w:rPr>
          <w:fldChar w:fldCharType="begin"/>
        </w:r>
        <w:r w:rsidR="006975FE">
          <w:rPr>
            <w:noProof/>
            <w:webHidden/>
          </w:rPr>
          <w:instrText xml:space="preserve"> PAGEREF _Toc73516107 \h </w:instrText>
        </w:r>
        <w:r w:rsidR="006975FE">
          <w:rPr>
            <w:noProof/>
            <w:webHidden/>
          </w:rPr>
        </w:r>
        <w:r w:rsidR="006975FE">
          <w:rPr>
            <w:noProof/>
            <w:webHidden/>
          </w:rPr>
          <w:fldChar w:fldCharType="separate"/>
        </w:r>
        <w:r w:rsidR="00AD58C3">
          <w:rPr>
            <w:noProof/>
            <w:webHidden/>
          </w:rPr>
          <w:t>61</w:t>
        </w:r>
        <w:r w:rsidR="006975FE">
          <w:rPr>
            <w:noProof/>
            <w:webHidden/>
          </w:rPr>
          <w:fldChar w:fldCharType="end"/>
        </w:r>
      </w:hyperlink>
    </w:p>
    <w:p w14:paraId="53392B03" w14:textId="5F497B38" w:rsidR="006975FE" w:rsidRDefault="00D22FE8">
      <w:pPr>
        <w:pStyle w:val="Spisilustracji"/>
        <w:tabs>
          <w:tab w:val="right" w:leader="dot" w:pos="9062"/>
        </w:tabs>
        <w:rPr>
          <w:rFonts w:eastAsiaTheme="minorEastAsia"/>
          <w:noProof/>
          <w:lang w:eastAsia="pl-PL"/>
        </w:rPr>
      </w:pPr>
      <w:hyperlink w:anchor="_Toc73516108" w:history="1">
        <w:r w:rsidR="006975FE" w:rsidRPr="00CD3EF4">
          <w:rPr>
            <w:rStyle w:val="Hipercze"/>
            <w:noProof/>
          </w:rPr>
          <w:t xml:space="preserve">Wykres 47. </w:t>
        </w:r>
        <w:r w:rsidR="006975FE" w:rsidRPr="00CD3EF4">
          <w:rPr>
            <w:rStyle w:val="Hipercze"/>
            <w:bCs/>
            <w:noProof/>
          </w:rPr>
          <w:t>Ludność korzystająca z oczyszczalni ścieków w % ogólnej liczbie mieszkańców w latach 2013 i 2019</w:t>
        </w:r>
        <w:r w:rsidR="006975FE">
          <w:rPr>
            <w:noProof/>
            <w:webHidden/>
          </w:rPr>
          <w:tab/>
        </w:r>
        <w:r w:rsidR="006975FE">
          <w:rPr>
            <w:noProof/>
            <w:webHidden/>
          </w:rPr>
          <w:fldChar w:fldCharType="begin"/>
        </w:r>
        <w:r w:rsidR="006975FE">
          <w:rPr>
            <w:noProof/>
            <w:webHidden/>
          </w:rPr>
          <w:instrText xml:space="preserve"> PAGEREF _Toc73516108 \h </w:instrText>
        </w:r>
        <w:r w:rsidR="006975FE">
          <w:rPr>
            <w:noProof/>
            <w:webHidden/>
          </w:rPr>
        </w:r>
        <w:r w:rsidR="006975FE">
          <w:rPr>
            <w:noProof/>
            <w:webHidden/>
          </w:rPr>
          <w:fldChar w:fldCharType="separate"/>
        </w:r>
        <w:r w:rsidR="00AD58C3">
          <w:rPr>
            <w:noProof/>
            <w:webHidden/>
          </w:rPr>
          <w:t>62</w:t>
        </w:r>
        <w:r w:rsidR="006975FE">
          <w:rPr>
            <w:noProof/>
            <w:webHidden/>
          </w:rPr>
          <w:fldChar w:fldCharType="end"/>
        </w:r>
      </w:hyperlink>
    </w:p>
    <w:p w14:paraId="5333EC9A" w14:textId="708DFE14" w:rsidR="006975FE" w:rsidRDefault="00D22FE8">
      <w:pPr>
        <w:pStyle w:val="Spisilustracji"/>
        <w:tabs>
          <w:tab w:val="right" w:leader="dot" w:pos="9062"/>
        </w:tabs>
        <w:rPr>
          <w:rFonts w:eastAsiaTheme="minorEastAsia"/>
          <w:noProof/>
          <w:lang w:eastAsia="pl-PL"/>
        </w:rPr>
      </w:pPr>
      <w:hyperlink w:anchor="_Toc73516109" w:history="1">
        <w:r w:rsidR="006975FE" w:rsidRPr="00CD3EF4">
          <w:rPr>
            <w:rStyle w:val="Hipercze"/>
            <w:noProof/>
          </w:rPr>
          <w:t xml:space="preserve">Wykres 48. </w:t>
        </w:r>
        <w:r w:rsidR="006975FE" w:rsidRPr="00CD3EF4">
          <w:rPr>
            <w:rStyle w:val="Hipercze"/>
            <w:bCs/>
            <w:noProof/>
          </w:rPr>
          <w:t>Zużycie wody na potrzeby gospodarki narodowej i ludności w ciągu roku ogółem (dam</w:t>
        </w:r>
        <w:r w:rsidR="006975FE" w:rsidRPr="00CD3EF4">
          <w:rPr>
            <w:rStyle w:val="Hipercze"/>
            <w:bCs/>
            <w:noProof/>
            <w:vertAlign w:val="superscript"/>
          </w:rPr>
          <w:t>3</w:t>
        </w:r>
        <w:r w:rsidR="006975FE" w:rsidRPr="00CD3EF4">
          <w:rPr>
            <w:rStyle w:val="Hipercze"/>
            <w:bCs/>
            <w:noProof/>
          </w:rPr>
          <w:t>)  w latach 2013 i 2019</w:t>
        </w:r>
        <w:r w:rsidR="006975FE">
          <w:rPr>
            <w:noProof/>
            <w:webHidden/>
          </w:rPr>
          <w:tab/>
        </w:r>
        <w:r w:rsidR="006975FE">
          <w:rPr>
            <w:noProof/>
            <w:webHidden/>
          </w:rPr>
          <w:fldChar w:fldCharType="begin"/>
        </w:r>
        <w:r w:rsidR="006975FE">
          <w:rPr>
            <w:noProof/>
            <w:webHidden/>
          </w:rPr>
          <w:instrText xml:space="preserve"> PAGEREF _Toc73516109 \h </w:instrText>
        </w:r>
        <w:r w:rsidR="006975FE">
          <w:rPr>
            <w:noProof/>
            <w:webHidden/>
          </w:rPr>
        </w:r>
        <w:r w:rsidR="006975FE">
          <w:rPr>
            <w:noProof/>
            <w:webHidden/>
          </w:rPr>
          <w:fldChar w:fldCharType="separate"/>
        </w:r>
        <w:r w:rsidR="00AD58C3">
          <w:rPr>
            <w:noProof/>
            <w:webHidden/>
          </w:rPr>
          <w:t>62</w:t>
        </w:r>
        <w:r w:rsidR="006975FE">
          <w:rPr>
            <w:noProof/>
            <w:webHidden/>
          </w:rPr>
          <w:fldChar w:fldCharType="end"/>
        </w:r>
      </w:hyperlink>
    </w:p>
    <w:p w14:paraId="0A08B9F9" w14:textId="01F0EAA1" w:rsidR="006975FE" w:rsidRDefault="00D22FE8">
      <w:pPr>
        <w:pStyle w:val="Spisilustracji"/>
        <w:tabs>
          <w:tab w:val="right" w:leader="dot" w:pos="9062"/>
        </w:tabs>
        <w:rPr>
          <w:rFonts w:eastAsiaTheme="minorEastAsia"/>
          <w:noProof/>
          <w:lang w:eastAsia="pl-PL"/>
        </w:rPr>
      </w:pPr>
      <w:hyperlink w:anchor="_Toc73516110" w:history="1">
        <w:r w:rsidR="006975FE" w:rsidRPr="00CD3EF4">
          <w:rPr>
            <w:rStyle w:val="Hipercze"/>
            <w:noProof/>
          </w:rPr>
          <w:t>Wykres 49.</w:t>
        </w:r>
        <w:r w:rsidR="006975FE" w:rsidRPr="00CD3EF4">
          <w:rPr>
            <w:rStyle w:val="Hipercze"/>
            <w:rFonts w:hAnsi="Times New Roman"/>
            <w:bCs/>
            <w:noProof/>
            <w:kern w:val="24"/>
            <w:lang w:eastAsia="pl-PL"/>
          </w:rPr>
          <w:t xml:space="preserve"> </w:t>
        </w:r>
        <w:r w:rsidR="006975FE" w:rsidRPr="00CD3EF4">
          <w:rPr>
            <w:rStyle w:val="Hipercze"/>
            <w:bCs/>
            <w:noProof/>
          </w:rPr>
          <w:t>Udział % przemysłu w zużyciu wody ogółem w latach 2013 i 2019</w:t>
        </w:r>
        <w:r w:rsidR="006975FE">
          <w:rPr>
            <w:noProof/>
            <w:webHidden/>
          </w:rPr>
          <w:tab/>
        </w:r>
        <w:r w:rsidR="006975FE">
          <w:rPr>
            <w:noProof/>
            <w:webHidden/>
          </w:rPr>
          <w:fldChar w:fldCharType="begin"/>
        </w:r>
        <w:r w:rsidR="006975FE">
          <w:rPr>
            <w:noProof/>
            <w:webHidden/>
          </w:rPr>
          <w:instrText xml:space="preserve"> PAGEREF _Toc73516110 \h </w:instrText>
        </w:r>
        <w:r w:rsidR="006975FE">
          <w:rPr>
            <w:noProof/>
            <w:webHidden/>
          </w:rPr>
        </w:r>
        <w:r w:rsidR="006975FE">
          <w:rPr>
            <w:noProof/>
            <w:webHidden/>
          </w:rPr>
          <w:fldChar w:fldCharType="separate"/>
        </w:r>
        <w:r w:rsidR="00AD58C3">
          <w:rPr>
            <w:noProof/>
            <w:webHidden/>
          </w:rPr>
          <w:t>63</w:t>
        </w:r>
        <w:r w:rsidR="006975FE">
          <w:rPr>
            <w:noProof/>
            <w:webHidden/>
          </w:rPr>
          <w:fldChar w:fldCharType="end"/>
        </w:r>
      </w:hyperlink>
    </w:p>
    <w:p w14:paraId="0BD339C3" w14:textId="66D9E165" w:rsidR="006975FE" w:rsidRDefault="00D22FE8">
      <w:pPr>
        <w:pStyle w:val="Spisilustracji"/>
        <w:tabs>
          <w:tab w:val="right" w:leader="dot" w:pos="9062"/>
        </w:tabs>
        <w:rPr>
          <w:rFonts w:eastAsiaTheme="minorEastAsia"/>
          <w:noProof/>
          <w:lang w:eastAsia="pl-PL"/>
        </w:rPr>
      </w:pPr>
      <w:hyperlink w:anchor="_Toc73516111" w:history="1">
        <w:r w:rsidR="006975FE" w:rsidRPr="00CD3EF4">
          <w:rPr>
            <w:rStyle w:val="Hipercze"/>
            <w:noProof/>
          </w:rPr>
          <w:t xml:space="preserve">Wykres 50. </w:t>
        </w:r>
        <w:r w:rsidR="006975FE" w:rsidRPr="00CD3EF4">
          <w:rPr>
            <w:rStyle w:val="Hipercze"/>
            <w:bCs/>
            <w:noProof/>
          </w:rPr>
          <w:t>Zużycie wody ogółem w przeliczeniu na 1 mieszkańca (m</w:t>
        </w:r>
        <w:r w:rsidR="006975FE" w:rsidRPr="00CD3EF4">
          <w:rPr>
            <w:rStyle w:val="Hipercze"/>
            <w:bCs/>
            <w:noProof/>
            <w:vertAlign w:val="superscript"/>
          </w:rPr>
          <w:t>3</w:t>
        </w:r>
        <w:r w:rsidR="006975FE" w:rsidRPr="00CD3EF4">
          <w:rPr>
            <w:rStyle w:val="Hipercze"/>
            <w:bCs/>
            <w:noProof/>
          </w:rPr>
          <w:t>) w latach 2013 i 2019</w:t>
        </w:r>
        <w:r w:rsidR="006975FE">
          <w:rPr>
            <w:noProof/>
            <w:webHidden/>
          </w:rPr>
          <w:tab/>
        </w:r>
        <w:r w:rsidR="006975FE">
          <w:rPr>
            <w:noProof/>
            <w:webHidden/>
          </w:rPr>
          <w:fldChar w:fldCharType="begin"/>
        </w:r>
        <w:r w:rsidR="006975FE">
          <w:rPr>
            <w:noProof/>
            <w:webHidden/>
          </w:rPr>
          <w:instrText xml:space="preserve"> PAGEREF _Toc73516111 \h </w:instrText>
        </w:r>
        <w:r w:rsidR="006975FE">
          <w:rPr>
            <w:noProof/>
            <w:webHidden/>
          </w:rPr>
        </w:r>
        <w:r w:rsidR="006975FE">
          <w:rPr>
            <w:noProof/>
            <w:webHidden/>
          </w:rPr>
          <w:fldChar w:fldCharType="separate"/>
        </w:r>
        <w:r w:rsidR="00AD58C3">
          <w:rPr>
            <w:noProof/>
            <w:webHidden/>
          </w:rPr>
          <w:t>63</w:t>
        </w:r>
        <w:r w:rsidR="006975FE">
          <w:rPr>
            <w:noProof/>
            <w:webHidden/>
          </w:rPr>
          <w:fldChar w:fldCharType="end"/>
        </w:r>
      </w:hyperlink>
    </w:p>
    <w:p w14:paraId="415B9913" w14:textId="1B04387D" w:rsidR="006975FE" w:rsidRDefault="00D22FE8">
      <w:pPr>
        <w:pStyle w:val="Spisilustracji"/>
        <w:tabs>
          <w:tab w:val="right" w:leader="dot" w:pos="9062"/>
        </w:tabs>
        <w:rPr>
          <w:rFonts w:eastAsiaTheme="minorEastAsia"/>
          <w:noProof/>
          <w:lang w:eastAsia="pl-PL"/>
        </w:rPr>
      </w:pPr>
      <w:hyperlink w:anchor="_Toc73516112" w:history="1">
        <w:r w:rsidR="006975FE" w:rsidRPr="00CD3EF4">
          <w:rPr>
            <w:rStyle w:val="Hipercze"/>
            <w:noProof/>
          </w:rPr>
          <w:t xml:space="preserve">Wykres 51. </w:t>
        </w:r>
        <w:r w:rsidR="006975FE" w:rsidRPr="00CD3EF4">
          <w:rPr>
            <w:rStyle w:val="Hipercze"/>
            <w:bCs/>
            <w:noProof/>
          </w:rPr>
          <w:t>Zużycie wody z sieci wodociągowej (m</w:t>
        </w:r>
        <w:r w:rsidR="006975FE" w:rsidRPr="00CD3EF4">
          <w:rPr>
            <w:rStyle w:val="Hipercze"/>
            <w:bCs/>
            <w:noProof/>
            <w:vertAlign w:val="superscript"/>
          </w:rPr>
          <w:t>3</w:t>
        </w:r>
        <w:r w:rsidR="006975FE" w:rsidRPr="00CD3EF4">
          <w:rPr>
            <w:rStyle w:val="Hipercze"/>
            <w:bCs/>
            <w:noProof/>
          </w:rPr>
          <w:t>) w gospodarstwach domowych (w przeliczeniu na 1 korzystającego) w latach 2013 i 2019</w:t>
        </w:r>
        <w:r w:rsidR="006975FE">
          <w:rPr>
            <w:noProof/>
            <w:webHidden/>
          </w:rPr>
          <w:tab/>
        </w:r>
        <w:r w:rsidR="006975FE">
          <w:rPr>
            <w:noProof/>
            <w:webHidden/>
          </w:rPr>
          <w:fldChar w:fldCharType="begin"/>
        </w:r>
        <w:r w:rsidR="006975FE">
          <w:rPr>
            <w:noProof/>
            <w:webHidden/>
          </w:rPr>
          <w:instrText xml:space="preserve"> PAGEREF _Toc73516112 \h </w:instrText>
        </w:r>
        <w:r w:rsidR="006975FE">
          <w:rPr>
            <w:noProof/>
            <w:webHidden/>
          </w:rPr>
        </w:r>
        <w:r w:rsidR="006975FE">
          <w:rPr>
            <w:noProof/>
            <w:webHidden/>
          </w:rPr>
          <w:fldChar w:fldCharType="separate"/>
        </w:r>
        <w:r w:rsidR="00AD58C3">
          <w:rPr>
            <w:noProof/>
            <w:webHidden/>
          </w:rPr>
          <w:t>64</w:t>
        </w:r>
        <w:r w:rsidR="006975FE">
          <w:rPr>
            <w:noProof/>
            <w:webHidden/>
          </w:rPr>
          <w:fldChar w:fldCharType="end"/>
        </w:r>
      </w:hyperlink>
    </w:p>
    <w:p w14:paraId="720C4052" w14:textId="3E3665E0" w:rsidR="006975FE" w:rsidRDefault="00D22FE8">
      <w:pPr>
        <w:pStyle w:val="Spisilustracji"/>
        <w:tabs>
          <w:tab w:val="right" w:leader="dot" w:pos="9062"/>
        </w:tabs>
        <w:rPr>
          <w:rFonts w:eastAsiaTheme="minorEastAsia"/>
          <w:noProof/>
          <w:lang w:eastAsia="pl-PL"/>
        </w:rPr>
      </w:pPr>
      <w:hyperlink w:anchor="_Toc73516113" w:history="1">
        <w:r w:rsidR="006975FE" w:rsidRPr="00CD3EF4">
          <w:rPr>
            <w:rStyle w:val="Hipercze"/>
            <w:noProof/>
          </w:rPr>
          <w:t xml:space="preserve">Wykres 52. </w:t>
        </w:r>
        <w:r w:rsidR="006975FE" w:rsidRPr="00CD3EF4">
          <w:rPr>
            <w:rStyle w:val="Hipercze"/>
            <w:bCs/>
            <w:noProof/>
          </w:rPr>
          <w:t>Odpady zebrane w ciągu roku ogółem w latach 2017-2019 (t)</w:t>
        </w:r>
        <w:r w:rsidR="006975FE">
          <w:rPr>
            <w:noProof/>
            <w:webHidden/>
          </w:rPr>
          <w:tab/>
        </w:r>
        <w:r w:rsidR="006975FE">
          <w:rPr>
            <w:noProof/>
            <w:webHidden/>
          </w:rPr>
          <w:fldChar w:fldCharType="begin"/>
        </w:r>
        <w:r w:rsidR="006975FE">
          <w:rPr>
            <w:noProof/>
            <w:webHidden/>
          </w:rPr>
          <w:instrText xml:space="preserve"> PAGEREF _Toc73516113 \h </w:instrText>
        </w:r>
        <w:r w:rsidR="006975FE">
          <w:rPr>
            <w:noProof/>
            <w:webHidden/>
          </w:rPr>
        </w:r>
        <w:r w:rsidR="006975FE">
          <w:rPr>
            <w:noProof/>
            <w:webHidden/>
          </w:rPr>
          <w:fldChar w:fldCharType="separate"/>
        </w:r>
        <w:r w:rsidR="00AD58C3">
          <w:rPr>
            <w:noProof/>
            <w:webHidden/>
          </w:rPr>
          <w:t>66</w:t>
        </w:r>
        <w:r w:rsidR="006975FE">
          <w:rPr>
            <w:noProof/>
            <w:webHidden/>
          </w:rPr>
          <w:fldChar w:fldCharType="end"/>
        </w:r>
      </w:hyperlink>
    </w:p>
    <w:p w14:paraId="5B0C827F" w14:textId="3A3FC57B" w:rsidR="006975FE" w:rsidRDefault="00D22FE8">
      <w:pPr>
        <w:pStyle w:val="Spisilustracji"/>
        <w:tabs>
          <w:tab w:val="right" w:leader="dot" w:pos="9062"/>
        </w:tabs>
        <w:rPr>
          <w:rFonts w:eastAsiaTheme="minorEastAsia"/>
          <w:noProof/>
          <w:lang w:eastAsia="pl-PL"/>
        </w:rPr>
      </w:pPr>
      <w:hyperlink w:anchor="_Toc73516114" w:history="1">
        <w:r w:rsidR="006975FE" w:rsidRPr="00CD3EF4">
          <w:rPr>
            <w:rStyle w:val="Hipercze"/>
            <w:noProof/>
          </w:rPr>
          <w:t xml:space="preserve">Wykres 53. </w:t>
        </w:r>
        <w:r w:rsidR="006975FE" w:rsidRPr="00CD3EF4">
          <w:rPr>
            <w:rStyle w:val="Hipercze"/>
            <w:bCs/>
            <w:noProof/>
          </w:rPr>
          <w:t>Odpady zebrane selektywnie ogółem w ciągu roku w latach 2017-2019 (t)</w:t>
        </w:r>
        <w:r w:rsidR="006975FE">
          <w:rPr>
            <w:noProof/>
            <w:webHidden/>
          </w:rPr>
          <w:tab/>
        </w:r>
        <w:r w:rsidR="006975FE">
          <w:rPr>
            <w:noProof/>
            <w:webHidden/>
          </w:rPr>
          <w:fldChar w:fldCharType="begin"/>
        </w:r>
        <w:r w:rsidR="006975FE">
          <w:rPr>
            <w:noProof/>
            <w:webHidden/>
          </w:rPr>
          <w:instrText xml:space="preserve"> PAGEREF _Toc73516114 \h </w:instrText>
        </w:r>
        <w:r w:rsidR="006975FE">
          <w:rPr>
            <w:noProof/>
            <w:webHidden/>
          </w:rPr>
        </w:r>
        <w:r w:rsidR="006975FE">
          <w:rPr>
            <w:noProof/>
            <w:webHidden/>
          </w:rPr>
          <w:fldChar w:fldCharType="separate"/>
        </w:r>
        <w:r w:rsidR="00AD58C3">
          <w:rPr>
            <w:noProof/>
            <w:webHidden/>
          </w:rPr>
          <w:t>67</w:t>
        </w:r>
        <w:r w:rsidR="006975FE">
          <w:rPr>
            <w:noProof/>
            <w:webHidden/>
          </w:rPr>
          <w:fldChar w:fldCharType="end"/>
        </w:r>
      </w:hyperlink>
    </w:p>
    <w:p w14:paraId="09F733F5" w14:textId="6690F143" w:rsidR="006975FE" w:rsidRDefault="00D22FE8">
      <w:pPr>
        <w:pStyle w:val="Spisilustracji"/>
        <w:tabs>
          <w:tab w:val="right" w:leader="dot" w:pos="9062"/>
        </w:tabs>
        <w:rPr>
          <w:rFonts w:eastAsiaTheme="minorEastAsia"/>
          <w:noProof/>
          <w:lang w:eastAsia="pl-PL"/>
        </w:rPr>
      </w:pPr>
      <w:hyperlink w:anchor="_Toc73516115" w:history="1">
        <w:r w:rsidR="006975FE" w:rsidRPr="00CD3EF4">
          <w:rPr>
            <w:rStyle w:val="Hipercze"/>
            <w:noProof/>
          </w:rPr>
          <w:t xml:space="preserve">Wykres 54. </w:t>
        </w:r>
        <w:r w:rsidR="006975FE" w:rsidRPr="00CD3EF4">
          <w:rPr>
            <w:rStyle w:val="Hipercze"/>
            <w:bCs/>
            <w:noProof/>
            <w:lang w:val="en-US"/>
          </w:rPr>
          <w:t>Masa odpadów zebranych selektywnie w Olsztynie w ciągu roku wg wybranych frakcji ogółem (t) w lat</w:t>
        </w:r>
        <w:r w:rsidR="006975FE" w:rsidRPr="00CD3EF4">
          <w:rPr>
            <w:rStyle w:val="Hipercze"/>
            <w:bCs/>
            <w:noProof/>
          </w:rPr>
          <w:t>a</w:t>
        </w:r>
        <w:r w:rsidR="006975FE" w:rsidRPr="00CD3EF4">
          <w:rPr>
            <w:rStyle w:val="Hipercze"/>
            <w:bCs/>
            <w:noProof/>
            <w:lang w:val="en-US"/>
          </w:rPr>
          <w:t>ch 2017-2019</w:t>
        </w:r>
        <w:r w:rsidR="006975FE">
          <w:rPr>
            <w:noProof/>
            <w:webHidden/>
          </w:rPr>
          <w:tab/>
        </w:r>
        <w:r w:rsidR="006975FE">
          <w:rPr>
            <w:noProof/>
            <w:webHidden/>
          </w:rPr>
          <w:fldChar w:fldCharType="begin"/>
        </w:r>
        <w:r w:rsidR="006975FE">
          <w:rPr>
            <w:noProof/>
            <w:webHidden/>
          </w:rPr>
          <w:instrText xml:space="preserve"> PAGEREF _Toc73516115 \h </w:instrText>
        </w:r>
        <w:r w:rsidR="006975FE">
          <w:rPr>
            <w:noProof/>
            <w:webHidden/>
          </w:rPr>
        </w:r>
        <w:r w:rsidR="006975FE">
          <w:rPr>
            <w:noProof/>
            <w:webHidden/>
          </w:rPr>
          <w:fldChar w:fldCharType="separate"/>
        </w:r>
        <w:r w:rsidR="00AD58C3">
          <w:rPr>
            <w:noProof/>
            <w:webHidden/>
          </w:rPr>
          <w:t>67</w:t>
        </w:r>
        <w:r w:rsidR="006975FE">
          <w:rPr>
            <w:noProof/>
            <w:webHidden/>
          </w:rPr>
          <w:fldChar w:fldCharType="end"/>
        </w:r>
      </w:hyperlink>
    </w:p>
    <w:p w14:paraId="6B90EE1B" w14:textId="34779B09" w:rsidR="006975FE" w:rsidRDefault="00D22FE8">
      <w:pPr>
        <w:pStyle w:val="Spisilustracji"/>
        <w:tabs>
          <w:tab w:val="right" w:leader="dot" w:pos="9062"/>
        </w:tabs>
        <w:rPr>
          <w:rFonts w:eastAsiaTheme="minorEastAsia"/>
          <w:noProof/>
          <w:lang w:eastAsia="pl-PL"/>
        </w:rPr>
      </w:pPr>
      <w:hyperlink w:anchor="_Toc73516116" w:history="1">
        <w:r w:rsidR="006975FE" w:rsidRPr="00CD3EF4">
          <w:rPr>
            <w:rStyle w:val="Hipercze"/>
            <w:noProof/>
          </w:rPr>
          <w:t xml:space="preserve">Wykres 55. </w:t>
        </w:r>
        <w:r w:rsidR="006975FE" w:rsidRPr="00CD3EF4">
          <w:rPr>
            <w:rStyle w:val="Hipercze"/>
            <w:bCs/>
            <w:noProof/>
          </w:rPr>
          <w:t>Liczba mikro- i małych instalacji - wytwórców OZE w latach 2016, 2018, 2020</w:t>
        </w:r>
        <w:r w:rsidR="006975FE">
          <w:rPr>
            <w:noProof/>
            <w:webHidden/>
          </w:rPr>
          <w:tab/>
        </w:r>
        <w:r w:rsidR="006975FE">
          <w:rPr>
            <w:noProof/>
            <w:webHidden/>
          </w:rPr>
          <w:fldChar w:fldCharType="begin"/>
        </w:r>
        <w:r w:rsidR="006975FE">
          <w:rPr>
            <w:noProof/>
            <w:webHidden/>
          </w:rPr>
          <w:instrText xml:space="preserve"> PAGEREF _Toc73516116 \h </w:instrText>
        </w:r>
        <w:r w:rsidR="006975FE">
          <w:rPr>
            <w:noProof/>
            <w:webHidden/>
          </w:rPr>
        </w:r>
        <w:r w:rsidR="006975FE">
          <w:rPr>
            <w:noProof/>
            <w:webHidden/>
          </w:rPr>
          <w:fldChar w:fldCharType="separate"/>
        </w:r>
        <w:r w:rsidR="00AD58C3">
          <w:rPr>
            <w:noProof/>
            <w:webHidden/>
          </w:rPr>
          <w:t>68</w:t>
        </w:r>
        <w:r w:rsidR="006975FE">
          <w:rPr>
            <w:noProof/>
            <w:webHidden/>
          </w:rPr>
          <w:fldChar w:fldCharType="end"/>
        </w:r>
      </w:hyperlink>
    </w:p>
    <w:p w14:paraId="320B732D" w14:textId="2C1B20C3" w:rsidR="006975FE" w:rsidRDefault="00D22FE8">
      <w:pPr>
        <w:pStyle w:val="Spisilustracji"/>
        <w:tabs>
          <w:tab w:val="right" w:leader="dot" w:pos="9062"/>
        </w:tabs>
        <w:rPr>
          <w:rFonts w:eastAsiaTheme="minorEastAsia"/>
          <w:noProof/>
          <w:lang w:eastAsia="pl-PL"/>
        </w:rPr>
      </w:pPr>
      <w:hyperlink w:anchor="_Toc73516117" w:history="1">
        <w:r w:rsidR="006975FE" w:rsidRPr="00CD3EF4">
          <w:rPr>
            <w:rStyle w:val="Hipercze"/>
            <w:noProof/>
          </w:rPr>
          <w:t xml:space="preserve">Wykres 56. </w:t>
        </w:r>
        <w:r w:rsidR="006975FE" w:rsidRPr="00CD3EF4">
          <w:rPr>
            <w:rStyle w:val="Hipercze"/>
            <w:bCs/>
            <w:noProof/>
          </w:rPr>
          <w:t>Rodzaje instalacji OZE w województwie warmińsko-mazurskim</w:t>
        </w:r>
        <w:r w:rsidR="006975FE">
          <w:rPr>
            <w:noProof/>
            <w:webHidden/>
          </w:rPr>
          <w:tab/>
        </w:r>
        <w:r w:rsidR="006975FE">
          <w:rPr>
            <w:noProof/>
            <w:webHidden/>
          </w:rPr>
          <w:fldChar w:fldCharType="begin"/>
        </w:r>
        <w:r w:rsidR="006975FE">
          <w:rPr>
            <w:noProof/>
            <w:webHidden/>
          </w:rPr>
          <w:instrText xml:space="preserve"> PAGEREF _Toc73516117 \h </w:instrText>
        </w:r>
        <w:r w:rsidR="006975FE">
          <w:rPr>
            <w:noProof/>
            <w:webHidden/>
          </w:rPr>
        </w:r>
        <w:r w:rsidR="006975FE">
          <w:rPr>
            <w:noProof/>
            <w:webHidden/>
          </w:rPr>
          <w:fldChar w:fldCharType="separate"/>
        </w:r>
        <w:r w:rsidR="00AD58C3">
          <w:rPr>
            <w:noProof/>
            <w:webHidden/>
          </w:rPr>
          <w:t>69</w:t>
        </w:r>
        <w:r w:rsidR="006975FE">
          <w:rPr>
            <w:noProof/>
            <w:webHidden/>
          </w:rPr>
          <w:fldChar w:fldCharType="end"/>
        </w:r>
      </w:hyperlink>
    </w:p>
    <w:p w14:paraId="7C4E5871" w14:textId="3FFC0F67" w:rsidR="006975FE" w:rsidRDefault="00D22FE8">
      <w:pPr>
        <w:pStyle w:val="Spisilustracji"/>
        <w:tabs>
          <w:tab w:val="right" w:leader="dot" w:pos="9062"/>
        </w:tabs>
        <w:rPr>
          <w:rFonts w:eastAsiaTheme="minorEastAsia"/>
          <w:noProof/>
          <w:lang w:eastAsia="pl-PL"/>
        </w:rPr>
      </w:pPr>
      <w:hyperlink w:anchor="_Toc73516118" w:history="1">
        <w:r w:rsidR="006975FE" w:rsidRPr="00CD3EF4">
          <w:rPr>
            <w:rStyle w:val="Hipercze"/>
            <w:noProof/>
          </w:rPr>
          <w:t xml:space="preserve">Wykres 57. </w:t>
        </w:r>
        <w:r w:rsidR="006975FE" w:rsidRPr="00CD3EF4">
          <w:rPr>
            <w:rStyle w:val="Hipercze"/>
            <w:bCs/>
            <w:noProof/>
          </w:rPr>
          <w:t>Wytwórcy energii elektrycznej z odnawialnych źródeł energii w małej instalacji w Olsztynie w latach 2016-2019</w:t>
        </w:r>
        <w:r w:rsidR="006975FE">
          <w:rPr>
            <w:noProof/>
            <w:webHidden/>
          </w:rPr>
          <w:tab/>
        </w:r>
        <w:r w:rsidR="006975FE">
          <w:rPr>
            <w:noProof/>
            <w:webHidden/>
          </w:rPr>
          <w:fldChar w:fldCharType="begin"/>
        </w:r>
        <w:r w:rsidR="006975FE">
          <w:rPr>
            <w:noProof/>
            <w:webHidden/>
          </w:rPr>
          <w:instrText xml:space="preserve"> PAGEREF _Toc73516118 \h </w:instrText>
        </w:r>
        <w:r w:rsidR="006975FE">
          <w:rPr>
            <w:noProof/>
            <w:webHidden/>
          </w:rPr>
        </w:r>
        <w:r w:rsidR="006975FE">
          <w:rPr>
            <w:noProof/>
            <w:webHidden/>
          </w:rPr>
          <w:fldChar w:fldCharType="separate"/>
        </w:r>
        <w:r w:rsidR="00AD58C3">
          <w:rPr>
            <w:noProof/>
            <w:webHidden/>
          </w:rPr>
          <w:t>69</w:t>
        </w:r>
        <w:r w:rsidR="006975FE">
          <w:rPr>
            <w:noProof/>
            <w:webHidden/>
          </w:rPr>
          <w:fldChar w:fldCharType="end"/>
        </w:r>
      </w:hyperlink>
    </w:p>
    <w:p w14:paraId="64A3D1BF" w14:textId="28D56830" w:rsidR="006975FE" w:rsidRDefault="00D22FE8">
      <w:pPr>
        <w:pStyle w:val="Spisilustracji"/>
        <w:tabs>
          <w:tab w:val="right" w:leader="dot" w:pos="9062"/>
        </w:tabs>
        <w:rPr>
          <w:rFonts w:eastAsiaTheme="minorEastAsia"/>
          <w:noProof/>
          <w:lang w:eastAsia="pl-PL"/>
        </w:rPr>
      </w:pPr>
      <w:hyperlink w:anchor="_Toc73516119" w:history="1">
        <w:r w:rsidR="006975FE" w:rsidRPr="00CD3EF4">
          <w:rPr>
            <w:rStyle w:val="Hipercze"/>
            <w:noProof/>
          </w:rPr>
          <w:t xml:space="preserve">Wykres 58. </w:t>
        </w:r>
        <w:r w:rsidR="006975FE" w:rsidRPr="00CD3EF4">
          <w:rPr>
            <w:rStyle w:val="Hipercze"/>
            <w:bCs/>
            <w:noProof/>
            <w:lang w:val="en-US"/>
          </w:rPr>
          <w:t>Podmioty gospodar</w:t>
        </w:r>
        <w:r w:rsidR="006975FE" w:rsidRPr="00CD3EF4">
          <w:rPr>
            <w:rStyle w:val="Hipercze"/>
            <w:bCs/>
            <w:noProof/>
          </w:rPr>
          <w:t>cze</w:t>
        </w:r>
        <w:r w:rsidR="006975FE" w:rsidRPr="00CD3EF4">
          <w:rPr>
            <w:rStyle w:val="Hipercze"/>
            <w:bCs/>
            <w:noProof/>
            <w:lang w:val="en-US"/>
          </w:rPr>
          <w:t xml:space="preserve"> w</w:t>
        </w:r>
        <w:r w:rsidR="006975FE" w:rsidRPr="00CD3EF4">
          <w:rPr>
            <w:rStyle w:val="Hipercze"/>
            <w:bCs/>
            <w:noProof/>
          </w:rPr>
          <w:t xml:space="preserve">pisane do </w:t>
        </w:r>
        <w:r w:rsidR="006975FE" w:rsidRPr="00CD3EF4">
          <w:rPr>
            <w:rStyle w:val="Hipercze"/>
            <w:bCs/>
            <w:noProof/>
            <w:lang w:val="en-US"/>
          </w:rPr>
          <w:t>rejestr</w:t>
        </w:r>
        <w:r w:rsidR="006975FE" w:rsidRPr="00CD3EF4">
          <w:rPr>
            <w:rStyle w:val="Hipercze"/>
            <w:bCs/>
            <w:noProof/>
          </w:rPr>
          <w:t>u</w:t>
        </w:r>
        <w:r w:rsidR="006975FE" w:rsidRPr="00CD3EF4">
          <w:rPr>
            <w:rStyle w:val="Hipercze"/>
            <w:bCs/>
            <w:noProof/>
            <w:lang w:val="en-US"/>
          </w:rPr>
          <w:t xml:space="preserve"> REGON w przeliczeniu na 10 tys. mieszkańców</w:t>
        </w:r>
        <w:r w:rsidR="006975FE" w:rsidRPr="00CD3EF4">
          <w:rPr>
            <w:rStyle w:val="Hipercze"/>
            <w:bCs/>
            <w:noProof/>
          </w:rPr>
          <w:t xml:space="preserve">  w latach 2013 i 2019</w:t>
        </w:r>
        <w:r w:rsidR="006975FE">
          <w:rPr>
            <w:noProof/>
            <w:webHidden/>
          </w:rPr>
          <w:tab/>
        </w:r>
        <w:r w:rsidR="006975FE">
          <w:rPr>
            <w:noProof/>
            <w:webHidden/>
          </w:rPr>
          <w:fldChar w:fldCharType="begin"/>
        </w:r>
        <w:r w:rsidR="006975FE">
          <w:rPr>
            <w:noProof/>
            <w:webHidden/>
          </w:rPr>
          <w:instrText xml:space="preserve"> PAGEREF _Toc73516119 \h </w:instrText>
        </w:r>
        <w:r w:rsidR="006975FE">
          <w:rPr>
            <w:noProof/>
            <w:webHidden/>
          </w:rPr>
        </w:r>
        <w:r w:rsidR="006975FE">
          <w:rPr>
            <w:noProof/>
            <w:webHidden/>
          </w:rPr>
          <w:fldChar w:fldCharType="separate"/>
        </w:r>
        <w:r w:rsidR="00AD58C3">
          <w:rPr>
            <w:noProof/>
            <w:webHidden/>
          </w:rPr>
          <w:t>71</w:t>
        </w:r>
        <w:r w:rsidR="006975FE">
          <w:rPr>
            <w:noProof/>
            <w:webHidden/>
          </w:rPr>
          <w:fldChar w:fldCharType="end"/>
        </w:r>
      </w:hyperlink>
    </w:p>
    <w:p w14:paraId="7BB27F66" w14:textId="20581C78" w:rsidR="006975FE" w:rsidRDefault="00D22FE8">
      <w:pPr>
        <w:pStyle w:val="Spisilustracji"/>
        <w:tabs>
          <w:tab w:val="right" w:leader="dot" w:pos="9062"/>
        </w:tabs>
        <w:rPr>
          <w:rFonts w:eastAsiaTheme="minorEastAsia"/>
          <w:noProof/>
          <w:lang w:eastAsia="pl-PL"/>
        </w:rPr>
      </w:pPr>
      <w:hyperlink w:anchor="_Toc73516120" w:history="1">
        <w:r w:rsidR="006975FE" w:rsidRPr="00CD3EF4">
          <w:rPr>
            <w:rStyle w:val="Hipercze"/>
            <w:noProof/>
          </w:rPr>
          <w:t xml:space="preserve">Wykres 59. </w:t>
        </w:r>
        <w:r w:rsidR="006975FE" w:rsidRPr="00CD3EF4">
          <w:rPr>
            <w:rStyle w:val="Hipercze"/>
            <w:bCs/>
            <w:noProof/>
          </w:rPr>
          <w:t>Podmioty nowo utworzone oraz wyrejestrowane ogółem w latach 2013 i 2019</w:t>
        </w:r>
        <w:r w:rsidR="006975FE">
          <w:rPr>
            <w:noProof/>
            <w:webHidden/>
          </w:rPr>
          <w:tab/>
        </w:r>
        <w:r w:rsidR="006975FE">
          <w:rPr>
            <w:noProof/>
            <w:webHidden/>
          </w:rPr>
          <w:fldChar w:fldCharType="begin"/>
        </w:r>
        <w:r w:rsidR="006975FE">
          <w:rPr>
            <w:noProof/>
            <w:webHidden/>
          </w:rPr>
          <w:instrText xml:space="preserve"> PAGEREF _Toc73516120 \h </w:instrText>
        </w:r>
        <w:r w:rsidR="006975FE">
          <w:rPr>
            <w:noProof/>
            <w:webHidden/>
          </w:rPr>
        </w:r>
        <w:r w:rsidR="006975FE">
          <w:rPr>
            <w:noProof/>
            <w:webHidden/>
          </w:rPr>
          <w:fldChar w:fldCharType="separate"/>
        </w:r>
        <w:r w:rsidR="00AD58C3">
          <w:rPr>
            <w:noProof/>
            <w:webHidden/>
          </w:rPr>
          <w:t>71</w:t>
        </w:r>
        <w:r w:rsidR="006975FE">
          <w:rPr>
            <w:noProof/>
            <w:webHidden/>
          </w:rPr>
          <w:fldChar w:fldCharType="end"/>
        </w:r>
      </w:hyperlink>
    </w:p>
    <w:p w14:paraId="09CE654B" w14:textId="58F7D3FC" w:rsidR="006975FE" w:rsidRDefault="00D22FE8">
      <w:pPr>
        <w:pStyle w:val="Spisilustracji"/>
        <w:tabs>
          <w:tab w:val="right" w:leader="dot" w:pos="9062"/>
        </w:tabs>
        <w:rPr>
          <w:rFonts w:eastAsiaTheme="minorEastAsia"/>
          <w:noProof/>
          <w:lang w:eastAsia="pl-PL"/>
        </w:rPr>
      </w:pPr>
      <w:hyperlink w:anchor="_Toc73516121" w:history="1">
        <w:r w:rsidR="006975FE" w:rsidRPr="00CD3EF4">
          <w:rPr>
            <w:rStyle w:val="Hipercze"/>
            <w:noProof/>
          </w:rPr>
          <w:t xml:space="preserve">Wykres 60. </w:t>
        </w:r>
        <w:r w:rsidR="006975FE" w:rsidRPr="00CD3EF4">
          <w:rPr>
            <w:rStyle w:val="Hipercze"/>
            <w:bCs/>
            <w:noProof/>
            <w:lang w:val="en-US"/>
          </w:rPr>
          <w:t>Udział podmiotów sekcji I - zakwaterowanie i usługi gastronomiczne w liczbie przedsiębiorst</w:t>
        </w:r>
        <w:r w:rsidR="006975FE" w:rsidRPr="00CD3EF4">
          <w:rPr>
            <w:rStyle w:val="Hipercze"/>
            <w:bCs/>
            <w:noProof/>
          </w:rPr>
          <w:t>w</w:t>
        </w:r>
        <w:r w:rsidR="006975FE" w:rsidRPr="00CD3EF4">
          <w:rPr>
            <w:rStyle w:val="Hipercze"/>
            <w:bCs/>
            <w:noProof/>
            <w:lang w:val="en-US"/>
          </w:rPr>
          <w:t xml:space="preserve"> ogółem</w:t>
        </w:r>
        <w:r w:rsidR="006975FE" w:rsidRPr="00CD3EF4">
          <w:rPr>
            <w:rStyle w:val="Hipercze"/>
            <w:bCs/>
            <w:noProof/>
          </w:rPr>
          <w:t xml:space="preserve"> w latach 2013 i 2019</w:t>
        </w:r>
        <w:r w:rsidR="006975FE">
          <w:rPr>
            <w:noProof/>
            <w:webHidden/>
          </w:rPr>
          <w:tab/>
        </w:r>
        <w:r w:rsidR="006975FE">
          <w:rPr>
            <w:noProof/>
            <w:webHidden/>
          </w:rPr>
          <w:fldChar w:fldCharType="begin"/>
        </w:r>
        <w:r w:rsidR="006975FE">
          <w:rPr>
            <w:noProof/>
            <w:webHidden/>
          </w:rPr>
          <w:instrText xml:space="preserve"> PAGEREF _Toc73516121 \h </w:instrText>
        </w:r>
        <w:r w:rsidR="006975FE">
          <w:rPr>
            <w:noProof/>
            <w:webHidden/>
          </w:rPr>
        </w:r>
        <w:r w:rsidR="006975FE">
          <w:rPr>
            <w:noProof/>
            <w:webHidden/>
          </w:rPr>
          <w:fldChar w:fldCharType="separate"/>
        </w:r>
        <w:r w:rsidR="00AD58C3">
          <w:rPr>
            <w:noProof/>
            <w:webHidden/>
          </w:rPr>
          <w:t>72</w:t>
        </w:r>
        <w:r w:rsidR="006975FE">
          <w:rPr>
            <w:noProof/>
            <w:webHidden/>
          </w:rPr>
          <w:fldChar w:fldCharType="end"/>
        </w:r>
      </w:hyperlink>
    </w:p>
    <w:p w14:paraId="4E109DD3" w14:textId="41CBB1BC" w:rsidR="006975FE" w:rsidRDefault="00D22FE8">
      <w:pPr>
        <w:pStyle w:val="Spisilustracji"/>
        <w:tabs>
          <w:tab w:val="right" w:leader="dot" w:pos="9062"/>
        </w:tabs>
        <w:rPr>
          <w:rFonts w:eastAsiaTheme="minorEastAsia"/>
          <w:noProof/>
          <w:lang w:eastAsia="pl-PL"/>
        </w:rPr>
      </w:pPr>
      <w:hyperlink w:anchor="_Toc73516122" w:history="1">
        <w:r w:rsidR="006975FE" w:rsidRPr="00CD3EF4">
          <w:rPr>
            <w:rStyle w:val="Hipercze"/>
            <w:noProof/>
          </w:rPr>
          <w:t xml:space="preserve">Wykres 61. </w:t>
        </w:r>
        <w:r w:rsidR="006975FE" w:rsidRPr="00CD3EF4">
          <w:rPr>
            <w:rStyle w:val="Hipercze"/>
            <w:bCs/>
            <w:noProof/>
            <w:lang w:val="en-US"/>
          </w:rPr>
          <w:t>Noclegi udzielone turystom krajowym w turystycznych obiektach noclegowych ogółem na 10 tys. mieszkańców w latach 2013 i 2019</w:t>
        </w:r>
        <w:r w:rsidR="006975FE">
          <w:rPr>
            <w:noProof/>
            <w:webHidden/>
          </w:rPr>
          <w:tab/>
        </w:r>
        <w:r w:rsidR="006975FE">
          <w:rPr>
            <w:noProof/>
            <w:webHidden/>
          </w:rPr>
          <w:fldChar w:fldCharType="begin"/>
        </w:r>
        <w:r w:rsidR="006975FE">
          <w:rPr>
            <w:noProof/>
            <w:webHidden/>
          </w:rPr>
          <w:instrText xml:space="preserve"> PAGEREF _Toc73516122 \h </w:instrText>
        </w:r>
        <w:r w:rsidR="006975FE">
          <w:rPr>
            <w:noProof/>
            <w:webHidden/>
          </w:rPr>
        </w:r>
        <w:r w:rsidR="006975FE">
          <w:rPr>
            <w:noProof/>
            <w:webHidden/>
          </w:rPr>
          <w:fldChar w:fldCharType="separate"/>
        </w:r>
        <w:r w:rsidR="00AD58C3">
          <w:rPr>
            <w:noProof/>
            <w:webHidden/>
          </w:rPr>
          <w:t>73</w:t>
        </w:r>
        <w:r w:rsidR="006975FE">
          <w:rPr>
            <w:noProof/>
            <w:webHidden/>
          </w:rPr>
          <w:fldChar w:fldCharType="end"/>
        </w:r>
      </w:hyperlink>
    </w:p>
    <w:p w14:paraId="6E838E9A" w14:textId="2A866B3B" w:rsidR="006975FE" w:rsidRDefault="00D22FE8">
      <w:pPr>
        <w:pStyle w:val="Spisilustracji"/>
        <w:tabs>
          <w:tab w:val="right" w:leader="dot" w:pos="9062"/>
        </w:tabs>
        <w:rPr>
          <w:rFonts w:eastAsiaTheme="minorEastAsia"/>
          <w:noProof/>
          <w:lang w:eastAsia="pl-PL"/>
        </w:rPr>
      </w:pPr>
      <w:hyperlink w:anchor="_Toc73516123" w:history="1">
        <w:r w:rsidR="006975FE" w:rsidRPr="00CD3EF4">
          <w:rPr>
            <w:rStyle w:val="Hipercze"/>
            <w:noProof/>
          </w:rPr>
          <w:t xml:space="preserve">Wykres 62. </w:t>
        </w:r>
        <w:r w:rsidR="006975FE" w:rsidRPr="00CD3EF4">
          <w:rPr>
            <w:rStyle w:val="Hipercze"/>
            <w:bCs/>
            <w:noProof/>
          </w:rPr>
          <w:t>Noclegi ud</w:t>
        </w:r>
        <w:r w:rsidR="006975FE" w:rsidRPr="00CD3EF4">
          <w:rPr>
            <w:rStyle w:val="Hipercze"/>
            <w:bCs/>
            <w:noProof/>
            <w:lang w:val="en-US"/>
          </w:rPr>
          <w:t>zielone turystom zagranicznym w turystycznych obiektach noclegowych na  10 tys. mieszkańców w latach 2013 i 2019</w:t>
        </w:r>
        <w:r w:rsidR="006975FE">
          <w:rPr>
            <w:noProof/>
            <w:webHidden/>
          </w:rPr>
          <w:tab/>
        </w:r>
        <w:r w:rsidR="006975FE">
          <w:rPr>
            <w:noProof/>
            <w:webHidden/>
          </w:rPr>
          <w:fldChar w:fldCharType="begin"/>
        </w:r>
        <w:r w:rsidR="006975FE">
          <w:rPr>
            <w:noProof/>
            <w:webHidden/>
          </w:rPr>
          <w:instrText xml:space="preserve"> PAGEREF _Toc73516123 \h </w:instrText>
        </w:r>
        <w:r w:rsidR="006975FE">
          <w:rPr>
            <w:noProof/>
            <w:webHidden/>
          </w:rPr>
        </w:r>
        <w:r w:rsidR="006975FE">
          <w:rPr>
            <w:noProof/>
            <w:webHidden/>
          </w:rPr>
          <w:fldChar w:fldCharType="separate"/>
        </w:r>
        <w:r w:rsidR="00AD58C3">
          <w:rPr>
            <w:noProof/>
            <w:webHidden/>
          </w:rPr>
          <w:t>73</w:t>
        </w:r>
        <w:r w:rsidR="006975FE">
          <w:rPr>
            <w:noProof/>
            <w:webHidden/>
          </w:rPr>
          <w:fldChar w:fldCharType="end"/>
        </w:r>
      </w:hyperlink>
    </w:p>
    <w:p w14:paraId="480299D0" w14:textId="1F26A659" w:rsidR="006975FE" w:rsidRDefault="00D22FE8">
      <w:pPr>
        <w:pStyle w:val="Spisilustracji"/>
        <w:tabs>
          <w:tab w:val="right" w:leader="dot" w:pos="9062"/>
        </w:tabs>
        <w:rPr>
          <w:rFonts w:eastAsiaTheme="minorEastAsia"/>
          <w:noProof/>
          <w:lang w:eastAsia="pl-PL"/>
        </w:rPr>
      </w:pPr>
      <w:hyperlink w:anchor="_Toc73516124" w:history="1">
        <w:r w:rsidR="006975FE" w:rsidRPr="00CD3EF4">
          <w:rPr>
            <w:rStyle w:val="Hipercze"/>
            <w:noProof/>
          </w:rPr>
          <w:t xml:space="preserve">Wykres 63. </w:t>
        </w:r>
        <w:r w:rsidR="006975FE" w:rsidRPr="00CD3EF4">
          <w:rPr>
            <w:rStyle w:val="Hipercze"/>
            <w:bCs/>
            <w:noProof/>
            <w:lang w:val="en-US"/>
          </w:rPr>
          <w:t>Liczba obiektów noclegowych w latach 2013 i 2019</w:t>
        </w:r>
        <w:r w:rsidR="006975FE">
          <w:rPr>
            <w:noProof/>
            <w:webHidden/>
          </w:rPr>
          <w:tab/>
        </w:r>
        <w:r w:rsidR="006975FE">
          <w:rPr>
            <w:noProof/>
            <w:webHidden/>
          </w:rPr>
          <w:fldChar w:fldCharType="begin"/>
        </w:r>
        <w:r w:rsidR="006975FE">
          <w:rPr>
            <w:noProof/>
            <w:webHidden/>
          </w:rPr>
          <w:instrText xml:space="preserve"> PAGEREF _Toc73516124 \h </w:instrText>
        </w:r>
        <w:r w:rsidR="006975FE">
          <w:rPr>
            <w:noProof/>
            <w:webHidden/>
          </w:rPr>
        </w:r>
        <w:r w:rsidR="006975FE">
          <w:rPr>
            <w:noProof/>
            <w:webHidden/>
          </w:rPr>
          <w:fldChar w:fldCharType="separate"/>
        </w:r>
        <w:r w:rsidR="00AD58C3">
          <w:rPr>
            <w:noProof/>
            <w:webHidden/>
          </w:rPr>
          <w:t>74</w:t>
        </w:r>
        <w:r w:rsidR="006975FE">
          <w:rPr>
            <w:noProof/>
            <w:webHidden/>
          </w:rPr>
          <w:fldChar w:fldCharType="end"/>
        </w:r>
      </w:hyperlink>
    </w:p>
    <w:p w14:paraId="26D3A1BF" w14:textId="28E3489E" w:rsidR="006975FE" w:rsidRDefault="00D22FE8">
      <w:pPr>
        <w:pStyle w:val="Spisilustracji"/>
        <w:tabs>
          <w:tab w:val="right" w:leader="dot" w:pos="9062"/>
        </w:tabs>
        <w:rPr>
          <w:rFonts w:eastAsiaTheme="minorEastAsia"/>
          <w:noProof/>
          <w:lang w:eastAsia="pl-PL"/>
        </w:rPr>
      </w:pPr>
      <w:hyperlink w:anchor="_Toc73516125" w:history="1">
        <w:r w:rsidR="006975FE" w:rsidRPr="00CD3EF4">
          <w:rPr>
            <w:rStyle w:val="Hipercze"/>
            <w:noProof/>
          </w:rPr>
          <w:t xml:space="preserve">Wykres 64. </w:t>
        </w:r>
        <w:r w:rsidR="006975FE" w:rsidRPr="00CD3EF4">
          <w:rPr>
            <w:rStyle w:val="Hipercze"/>
            <w:bCs/>
            <w:noProof/>
          </w:rPr>
          <w:t>Liczba miejsc noclegowych na 1000 ludności w latach 2013 i 2019</w:t>
        </w:r>
        <w:r w:rsidR="006975FE">
          <w:rPr>
            <w:noProof/>
            <w:webHidden/>
          </w:rPr>
          <w:tab/>
        </w:r>
        <w:r w:rsidR="006975FE">
          <w:rPr>
            <w:noProof/>
            <w:webHidden/>
          </w:rPr>
          <w:fldChar w:fldCharType="begin"/>
        </w:r>
        <w:r w:rsidR="006975FE">
          <w:rPr>
            <w:noProof/>
            <w:webHidden/>
          </w:rPr>
          <w:instrText xml:space="preserve"> PAGEREF _Toc73516125 \h </w:instrText>
        </w:r>
        <w:r w:rsidR="006975FE">
          <w:rPr>
            <w:noProof/>
            <w:webHidden/>
          </w:rPr>
        </w:r>
        <w:r w:rsidR="006975FE">
          <w:rPr>
            <w:noProof/>
            <w:webHidden/>
          </w:rPr>
          <w:fldChar w:fldCharType="separate"/>
        </w:r>
        <w:r w:rsidR="00AD58C3">
          <w:rPr>
            <w:noProof/>
            <w:webHidden/>
          </w:rPr>
          <w:t>75</w:t>
        </w:r>
        <w:r w:rsidR="006975FE">
          <w:rPr>
            <w:noProof/>
            <w:webHidden/>
          </w:rPr>
          <w:fldChar w:fldCharType="end"/>
        </w:r>
      </w:hyperlink>
    </w:p>
    <w:p w14:paraId="1FF0E66B" w14:textId="7F57477B" w:rsidR="006975FE" w:rsidRDefault="00D22FE8">
      <w:pPr>
        <w:pStyle w:val="Spisilustracji"/>
        <w:tabs>
          <w:tab w:val="right" w:leader="dot" w:pos="9062"/>
        </w:tabs>
        <w:rPr>
          <w:rFonts w:eastAsiaTheme="minorEastAsia"/>
          <w:noProof/>
          <w:lang w:eastAsia="pl-PL"/>
        </w:rPr>
      </w:pPr>
      <w:hyperlink w:anchor="_Toc73516126" w:history="1">
        <w:r w:rsidR="006975FE" w:rsidRPr="00CD3EF4">
          <w:rPr>
            <w:rStyle w:val="Hipercze"/>
            <w:noProof/>
          </w:rPr>
          <w:t>Wykres 65.</w:t>
        </w:r>
        <w:r w:rsidR="006975FE" w:rsidRPr="00CD3EF4">
          <w:rPr>
            <w:rStyle w:val="Hipercze"/>
            <w:rFonts w:hAnsi="Times New Roman"/>
            <w:bCs/>
            <w:noProof/>
            <w:kern w:val="24"/>
            <w:lang w:val="en-US" w:eastAsia="pl-PL"/>
          </w:rPr>
          <w:t xml:space="preserve"> </w:t>
        </w:r>
        <w:r w:rsidR="006975FE" w:rsidRPr="00CD3EF4">
          <w:rPr>
            <w:rStyle w:val="Hipercze"/>
            <w:bCs/>
            <w:noProof/>
            <w:lang w:val="en-US"/>
          </w:rPr>
          <w:t>Turyści korzystający z noclegów na 1000 ludności w latach 2013 i 2019</w:t>
        </w:r>
        <w:r w:rsidR="006975FE">
          <w:rPr>
            <w:noProof/>
            <w:webHidden/>
          </w:rPr>
          <w:tab/>
        </w:r>
        <w:r w:rsidR="006975FE">
          <w:rPr>
            <w:noProof/>
            <w:webHidden/>
          </w:rPr>
          <w:fldChar w:fldCharType="begin"/>
        </w:r>
        <w:r w:rsidR="006975FE">
          <w:rPr>
            <w:noProof/>
            <w:webHidden/>
          </w:rPr>
          <w:instrText xml:space="preserve"> PAGEREF _Toc73516126 \h </w:instrText>
        </w:r>
        <w:r w:rsidR="006975FE">
          <w:rPr>
            <w:noProof/>
            <w:webHidden/>
          </w:rPr>
        </w:r>
        <w:r w:rsidR="006975FE">
          <w:rPr>
            <w:noProof/>
            <w:webHidden/>
          </w:rPr>
          <w:fldChar w:fldCharType="separate"/>
        </w:r>
        <w:r w:rsidR="00AD58C3">
          <w:rPr>
            <w:noProof/>
            <w:webHidden/>
          </w:rPr>
          <w:t>75</w:t>
        </w:r>
        <w:r w:rsidR="006975FE">
          <w:rPr>
            <w:noProof/>
            <w:webHidden/>
          </w:rPr>
          <w:fldChar w:fldCharType="end"/>
        </w:r>
      </w:hyperlink>
    </w:p>
    <w:p w14:paraId="77C45C07" w14:textId="00B20FBD" w:rsidR="006975FE" w:rsidRDefault="00D22FE8">
      <w:pPr>
        <w:pStyle w:val="Spisilustracji"/>
        <w:tabs>
          <w:tab w:val="right" w:leader="dot" w:pos="9062"/>
        </w:tabs>
        <w:rPr>
          <w:rFonts w:eastAsiaTheme="minorEastAsia"/>
          <w:noProof/>
          <w:lang w:eastAsia="pl-PL"/>
        </w:rPr>
      </w:pPr>
      <w:hyperlink w:anchor="_Toc73516127" w:history="1">
        <w:r w:rsidR="006975FE" w:rsidRPr="00CD3EF4">
          <w:rPr>
            <w:rStyle w:val="Hipercze"/>
            <w:noProof/>
          </w:rPr>
          <w:t>Wykres 66.</w:t>
        </w:r>
        <w:r w:rsidR="006975FE" w:rsidRPr="00CD3EF4">
          <w:rPr>
            <w:rStyle w:val="Hipercze"/>
            <w:rFonts w:hAnsi="Times New Roman"/>
            <w:bCs/>
            <w:noProof/>
            <w:kern w:val="24"/>
            <w:lang w:eastAsia="pl-PL"/>
          </w:rPr>
          <w:t xml:space="preserve"> </w:t>
        </w:r>
        <w:r w:rsidR="006975FE" w:rsidRPr="00CD3EF4">
          <w:rPr>
            <w:rStyle w:val="Hipercze"/>
            <w:bCs/>
            <w:noProof/>
          </w:rPr>
          <w:t>Turyści korzystający z noclegów  na 1000 ludności w Olsztynie w latach 2013-2019</w:t>
        </w:r>
        <w:r w:rsidR="006975FE">
          <w:rPr>
            <w:noProof/>
            <w:webHidden/>
          </w:rPr>
          <w:tab/>
        </w:r>
        <w:r w:rsidR="006975FE">
          <w:rPr>
            <w:noProof/>
            <w:webHidden/>
          </w:rPr>
          <w:fldChar w:fldCharType="begin"/>
        </w:r>
        <w:r w:rsidR="006975FE">
          <w:rPr>
            <w:noProof/>
            <w:webHidden/>
          </w:rPr>
          <w:instrText xml:space="preserve"> PAGEREF _Toc73516127 \h </w:instrText>
        </w:r>
        <w:r w:rsidR="006975FE">
          <w:rPr>
            <w:noProof/>
            <w:webHidden/>
          </w:rPr>
        </w:r>
        <w:r w:rsidR="006975FE">
          <w:rPr>
            <w:noProof/>
            <w:webHidden/>
          </w:rPr>
          <w:fldChar w:fldCharType="separate"/>
        </w:r>
        <w:r w:rsidR="00AD58C3">
          <w:rPr>
            <w:noProof/>
            <w:webHidden/>
          </w:rPr>
          <w:t>76</w:t>
        </w:r>
        <w:r w:rsidR="006975FE">
          <w:rPr>
            <w:noProof/>
            <w:webHidden/>
          </w:rPr>
          <w:fldChar w:fldCharType="end"/>
        </w:r>
      </w:hyperlink>
    </w:p>
    <w:p w14:paraId="430B6B7C" w14:textId="43FA0BA7" w:rsidR="006975FE" w:rsidRDefault="00D22FE8">
      <w:pPr>
        <w:pStyle w:val="Spisilustracji"/>
        <w:tabs>
          <w:tab w:val="right" w:leader="dot" w:pos="9062"/>
        </w:tabs>
        <w:rPr>
          <w:rFonts w:eastAsiaTheme="minorEastAsia"/>
          <w:noProof/>
          <w:lang w:eastAsia="pl-PL"/>
        </w:rPr>
      </w:pPr>
      <w:hyperlink w:anchor="_Toc73516128" w:history="1">
        <w:r w:rsidR="006975FE" w:rsidRPr="00CD3EF4">
          <w:rPr>
            <w:rStyle w:val="Hipercze"/>
            <w:noProof/>
          </w:rPr>
          <w:t xml:space="preserve">Wykres 67. </w:t>
        </w:r>
        <w:r w:rsidR="006975FE" w:rsidRPr="00CD3EF4">
          <w:rPr>
            <w:rStyle w:val="Hipercze"/>
            <w:noProof/>
            <w:lang w:val="en-US"/>
          </w:rPr>
          <w:t>Udział podmiotów sekcji A - rolnictwo, leśnictwo, łowiectwo, rybactwo w liczbie przedsiębiorst</w:t>
        </w:r>
        <w:r w:rsidR="006975FE" w:rsidRPr="00CD3EF4">
          <w:rPr>
            <w:rStyle w:val="Hipercze"/>
            <w:noProof/>
          </w:rPr>
          <w:t>w</w:t>
        </w:r>
        <w:r w:rsidR="006975FE" w:rsidRPr="00CD3EF4">
          <w:rPr>
            <w:rStyle w:val="Hipercze"/>
            <w:noProof/>
            <w:lang w:val="en-US"/>
          </w:rPr>
          <w:t xml:space="preserve"> ogółem</w:t>
        </w:r>
        <w:r w:rsidR="006975FE" w:rsidRPr="00CD3EF4">
          <w:rPr>
            <w:rStyle w:val="Hipercze"/>
            <w:noProof/>
          </w:rPr>
          <w:t xml:space="preserve"> w latach 2013 i 2019</w:t>
        </w:r>
        <w:r w:rsidR="006975FE">
          <w:rPr>
            <w:noProof/>
            <w:webHidden/>
          </w:rPr>
          <w:tab/>
        </w:r>
        <w:r w:rsidR="006975FE">
          <w:rPr>
            <w:noProof/>
            <w:webHidden/>
          </w:rPr>
          <w:fldChar w:fldCharType="begin"/>
        </w:r>
        <w:r w:rsidR="006975FE">
          <w:rPr>
            <w:noProof/>
            <w:webHidden/>
          </w:rPr>
          <w:instrText xml:space="preserve"> PAGEREF _Toc73516128 \h </w:instrText>
        </w:r>
        <w:r w:rsidR="006975FE">
          <w:rPr>
            <w:noProof/>
            <w:webHidden/>
          </w:rPr>
        </w:r>
        <w:r w:rsidR="006975FE">
          <w:rPr>
            <w:noProof/>
            <w:webHidden/>
          </w:rPr>
          <w:fldChar w:fldCharType="separate"/>
        </w:r>
        <w:r w:rsidR="00AD58C3">
          <w:rPr>
            <w:noProof/>
            <w:webHidden/>
          </w:rPr>
          <w:t>76</w:t>
        </w:r>
        <w:r w:rsidR="006975FE">
          <w:rPr>
            <w:noProof/>
            <w:webHidden/>
          </w:rPr>
          <w:fldChar w:fldCharType="end"/>
        </w:r>
      </w:hyperlink>
    </w:p>
    <w:p w14:paraId="2827401A" w14:textId="451015D9" w:rsidR="006975FE" w:rsidRDefault="00D22FE8">
      <w:pPr>
        <w:pStyle w:val="Spisilustracji"/>
        <w:tabs>
          <w:tab w:val="right" w:leader="dot" w:pos="9062"/>
        </w:tabs>
        <w:rPr>
          <w:rFonts w:eastAsiaTheme="minorEastAsia"/>
          <w:noProof/>
          <w:lang w:eastAsia="pl-PL"/>
        </w:rPr>
      </w:pPr>
      <w:hyperlink w:anchor="_Toc73516129" w:history="1">
        <w:r w:rsidR="006975FE" w:rsidRPr="00CD3EF4">
          <w:rPr>
            <w:rStyle w:val="Hipercze"/>
            <w:noProof/>
          </w:rPr>
          <w:t xml:space="preserve">Wykres 68. </w:t>
        </w:r>
        <w:r w:rsidR="006975FE" w:rsidRPr="00CD3EF4">
          <w:rPr>
            <w:rStyle w:val="Hipercze"/>
            <w:bCs/>
            <w:noProof/>
            <w:lang w:val="en-US"/>
          </w:rPr>
          <w:t>Udział podmiotów sekcji C - przetwórstwo przemysłowe w liczbie przedsiębiorst</w:t>
        </w:r>
        <w:r w:rsidR="006975FE" w:rsidRPr="00CD3EF4">
          <w:rPr>
            <w:rStyle w:val="Hipercze"/>
            <w:bCs/>
            <w:noProof/>
          </w:rPr>
          <w:t>w</w:t>
        </w:r>
        <w:r w:rsidR="006975FE" w:rsidRPr="00CD3EF4">
          <w:rPr>
            <w:rStyle w:val="Hipercze"/>
            <w:bCs/>
            <w:noProof/>
            <w:lang w:val="en-US"/>
          </w:rPr>
          <w:t xml:space="preserve"> ogółem</w:t>
        </w:r>
        <w:r w:rsidR="006975FE" w:rsidRPr="00CD3EF4">
          <w:rPr>
            <w:rStyle w:val="Hipercze"/>
            <w:bCs/>
            <w:noProof/>
          </w:rPr>
          <w:t xml:space="preserve"> w latach 2013 i 2019</w:t>
        </w:r>
        <w:r w:rsidR="006975FE">
          <w:rPr>
            <w:noProof/>
            <w:webHidden/>
          </w:rPr>
          <w:tab/>
        </w:r>
        <w:r w:rsidR="006975FE">
          <w:rPr>
            <w:noProof/>
            <w:webHidden/>
          </w:rPr>
          <w:fldChar w:fldCharType="begin"/>
        </w:r>
        <w:r w:rsidR="006975FE">
          <w:rPr>
            <w:noProof/>
            <w:webHidden/>
          </w:rPr>
          <w:instrText xml:space="preserve"> PAGEREF _Toc73516129 \h </w:instrText>
        </w:r>
        <w:r w:rsidR="006975FE">
          <w:rPr>
            <w:noProof/>
            <w:webHidden/>
          </w:rPr>
        </w:r>
        <w:r w:rsidR="006975FE">
          <w:rPr>
            <w:noProof/>
            <w:webHidden/>
          </w:rPr>
          <w:fldChar w:fldCharType="separate"/>
        </w:r>
        <w:r w:rsidR="00AD58C3">
          <w:rPr>
            <w:noProof/>
            <w:webHidden/>
          </w:rPr>
          <w:t>77</w:t>
        </w:r>
        <w:r w:rsidR="006975FE">
          <w:rPr>
            <w:noProof/>
            <w:webHidden/>
          </w:rPr>
          <w:fldChar w:fldCharType="end"/>
        </w:r>
      </w:hyperlink>
    </w:p>
    <w:p w14:paraId="04D2E6F0" w14:textId="7A4FBFCF" w:rsidR="006975FE" w:rsidRDefault="00D22FE8">
      <w:pPr>
        <w:pStyle w:val="Spisilustracji"/>
        <w:tabs>
          <w:tab w:val="right" w:leader="dot" w:pos="9062"/>
        </w:tabs>
        <w:rPr>
          <w:rFonts w:eastAsiaTheme="minorEastAsia"/>
          <w:noProof/>
          <w:lang w:eastAsia="pl-PL"/>
        </w:rPr>
      </w:pPr>
      <w:hyperlink w:anchor="_Toc73516130" w:history="1">
        <w:r w:rsidR="006975FE" w:rsidRPr="00CD3EF4">
          <w:rPr>
            <w:rStyle w:val="Hipercze"/>
            <w:noProof/>
          </w:rPr>
          <w:t xml:space="preserve">Wykres 69. </w:t>
        </w:r>
        <w:r w:rsidR="006975FE" w:rsidRPr="00CD3EF4">
          <w:rPr>
            <w:rStyle w:val="Hipercze"/>
            <w:bCs/>
            <w:noProof/>
            <w:lang w:val="en-US"/>
          </w:rPr>
          <w:t>Podmioty sektora kreatywnego w latach 2013-2019</w:t>
        </w:r>
        <w:r w:rsidR="006975FE">
          <w:rPr>
            <w:noProof/>
            <w:webHidden/>
          </w:rPr>
          <w:tab/>
        </w:r>
        <w:r w:rsidR="006975FE">
          <w:rPr>
            <w:noProof/>
            <w:webHidden/>
          </w:rPr>
          <w:fldChar w:fldCharType="begin"/>
        </w:r>
        <w:r w:rsidR="006975FE">
          <w:rPr>
            <w:noProof/>
            <w:webHidden/>
          </w:rPr>
          <w:instrText xml:space="preserve"> PAGEREF _Toc73516130 \h </w:instrText>
        </w:r>
        <w:r w:rsidR="006975FE">
          <w:rPr>
            <w:noProof/>
            <w:webHidden/>
          </w:rPr>
        </w:r>
        <w:r w:rsidR="006975FE">
          <w:rPr>
            <w:noProof/>
            <w:webHidden/>
          </w:rPr>
          <w:fldChar w:fldCharType="separate"/>
        </w:r>
        <w:r w:rsidR="00AD58C3">
          <w:rPr>
            <w:noProof/>
            <w:webHidden/>
          </w:rPr>
          <w:t>78</w:t>
        </w:r>
        <w:r w:rsidR="006975FE">
          <w:rPr>
            <w:noProof/>
            <w:webHidden/>
          </w:rPr>
          <w:fldChar w:fldCharType="end"/>
        </w:r>
      </w:hyperlink>
    </w:p>
    <w:p w14:paraId="29F22F39" w14:textId="6BA352BC" w:rsidR="006975FE" w:rsidRDefault="00D22FE8">
      <w:pPr>
        <w:pStyle w:val="Spisilustracji"/>
        <w:tabs>
          <w:tab w:val="right" w:leader="dot" w:pos="9062"/>
        </w:tabs>
        <w:rPr>
          <w:rFonts w:eastAsiaTheme="minorEastAsia"/>
          <w:noProof/>
          <w:lang w:eastAsia="pl-PL"/>
        </w:rPr>
      </w:pPr>
      <w:hyperlink w:anchor="_Toc73516131" w:history="1">
        <w:r w:rsidR="006975FE" w:rsidRPr="00CD3EF4">
          <w:rPr>
            <w:rStyle w:val="Hipercze"/>
            <w:noProof/>
          </w:rPr>
          <w:t xml:space="preserve">Wykres 70. </w:t>
        </w:r>
        <w:r w:rsidR="006975FE" w:rsidRPr="00CD3EF4">
          <w:rPr>
            <w:rStyle w:val="Hipercze"/>
            <w:bCs/>
            <w:noProof/>
          </w:rPr>
          <w:t>Udział nowo zarejestrowanych podmiotów sektora kreatywnego w liczbie nowo zarejestrowanych podmiotów ogółem w latach 2013 i 2019</w:t>
        </w:r>
        <w:r w:rsidR="006975FE">
          <w:rPr>
            <w:noProof/>
            <w:webHidden/>
          </w:rPr>
          <w:tab/>
        </w:r>
        <w:r w:rsidR="006975FE">
          <w:rPr>
            <w:noProof/>
            <w:webHidden/>
          </w:rPr>
          <w:fldChar w:fldCharType="begin"/>
        </w:r>
        <w:r w:rsidR="006975FE">
          <w:rPr>
            <w:noProof/>
            <w:webHidden/>
          </w:rPr>
          <w:instrText xml:space="preserve"> PAGEREF _Toc73516131 \h </w:instrText>
        </w:r>
        <w:r w:rsidR="006975FE">
          <w:rPr>
            <w:noProof/>
            <w:webHidden/>
          </w:rPr>
        </w:r>
        <w:r w:rsidR="006975FE">
          <w:rPr>
            <w:noProof/>
            <w:webHidden/>
          </w:rPr>
          <w:fldChar w:fldCharType="separate"/>
        </w:r>
        <w:r w:rsidR="00AD58C3">
          <w:rPr>
            <w:noProof/>
            <w:webHidden/>
          </w:rPr>
          <w:t>79</w:t>
        </w:r>
        <w:r w:rsidR="006975FE">
          <w:rPr>
            <w:noProof/>
            <w:webHidden/>
          </w:rPr>
          <w:fldChar w:fldCharType="end"/>
        </w:r>
      </w:hyperlink>
    </w:p>
    <w:p w14:paraId="4B0A73B9" w14:textId="5551F87F" w:rsidR="006975FE" w:rsidRDefault="00D22FE8">
      <w:pPr>
        <w:pStyle w:val="Spisilustracji"/>
        <w:tabs>
          <w:tab w:val="right" w:leader="dot" w:pos="9062"/>
        </w:tabs>
        <w:rPr>
          <w:rFonts w:eastAsiaTheme="minorEastAsia"/>
          <w:noProof/>
          <w:lang w:eastAsia="pl-PL"/>
        </w:rPr>
      </w:pPr>
      <w:hyperlink w:anchor="_Toc73516132" w:history="1">
        <w:r w:rsidR="006975FE" w:rsidRPr="00CD3EF4">
          <w:rPr>
            <w:rStyle w:val="Hipercze"/>
            <w:noProof/>
          </w:rPr>
          <w:t xml:space="preserve">Wykres 71. </w:t>
        </w:r>
        <w:r w:rsidR="006975FE" w:rsidRPr="00CD3EF4">
          <w:rPr>
            <w:rStyle w:val="Hipercze"/>
            <w:bCs/>
            <w:noProof/>
            <w:lang w:val="en-US"/>
          </w:rPr>
          <w:t>Liczba ośrodków innowacji</w:t>
        </w:r>
        <w:r w:rsidR="006975FE" w:rsidRPr="00CD3EF4">
          <w:rPr>
            <w:rStyle w:val="Hipercze"/>
            <w:bCs/>
            <w:noProof/>
          </w:rPr>
          <w:t xml:space="preserve"> w MOF Olsztyna</w:t>
        </w:r>
        <w:r w:rsidR="006975FE">
          <w:rPr>
            <w:noProof/>
            <w:webHidden/>
          </w:rPr>
          <w:tab/>
        </w:r>
        <w:r w:rsidR="006975FE">
          <w:rPr>
            <w:noProof/>
            <w:webHidden/>
          </w:rPr>
          <w:fldChar w:fldCharType="begin"/>
        </w:r>
        <w:r w:rsidR="006975FE">
          <w:rPr>
            <w:noProof/>
            <w:webHidden/>
          </w:rPr>
          <w:instrText xml:space="preserve"> PAGEREF _Toc73516132 \h </w:instrText>
        </w:r>
        <w:r w:rsidR="006975FE">
          <w:rPr>
            <w:noProof/>
            <w:webHidden/>
          </w:rPr>
        </w:r>
        <w:r w:rsidR="006975FE">
          <w:rPr>
            <w:noProof/>
            <w:webHidden/>
          </w:rPr>
          <w:fldChar w:fldCharType="separate"/>
        </w:r>
        <w:r w:rsidR="00AD58C3">
          <w:rPr>
            <w:noProof/>
            <w:webHidden/>
          </w:rPr>
          <w:t>88</w:t>
        </w:r>
        <w:r w:rsidR="006975FE">
          <w:rPr>
            <w:noProof/>
            <w:webHidden/>
          </w:rPr>
          <w:fldChar w:fldCharType="end"/>
        </w:r>
      </w:hyperlink>
    </w:p>
    <w:p w14:paraId="6B066E20" w14:textId="3D24A086" w:rsidR="006975FE" w:rsidRDefault="00D22FE8">
      <w:pPr>
        <w:pStyle w:val="Spisilustracji"/>
        <w:tabs>
          <w:tab w:val="right" w:leader="dot" w:pos="9062"/>
        </w:tabs>
        <w:rPr>
          <w:rFonts w:eastAsiaTheme="minorEastAsia"/>
          <w:noProof/>
          <w:lang w:eastAsia="pl-PL"/>
        </w:rPr>
      </w:pPr>
      <w:hyperlink w:anchor="_Toc73516133" w:history="1">
        <w:r w:rsidR="006975FE" w:rsidRPr="00CD3EF4">
          <w:rPr>
            <w:rStyle w:val="Hipercze"/>
            <w:noProof/>
          </w:rPr>
          <w:t xml:space="preserve">Wykres 72. </w:t>
        </w:r>
        <w:r w:rsidR="006975FE" w:rsidRPr="00CD3EF4">
          <w:rPr>
            <w:rStyle w:val="Hipercze"/>
            <w:bCs/>
            <w:noProof/>
          </w:rPr>
          <w:t>Studenci w latach 2013-2019</w:t>
        </w:r>
        <w:r w:rsidR="006975FE">
          <w:rPr>
            <w:noProof/>
            <w:webHidden/>
          </w:rPr>
          <w:tab/>
        </w:r>
        <w:r w:rsidR="006975FE">
          <w:rPr>
            <w:noProof/>
            <w:webHidden/>
          </w:rPr>
          <w:fldChar w:fldCharType="begin"/>
        </w:r>
        <w:r w:rsidR="006975FE">
          <w:rPr>
            <w:noProof/>
            <w:webHidden/>
          </w:rPr>
          <w:instrText xml:space="preserve"> PAGEREF _Toc73516133 \h </w:instrText>
        </w:r>
        <w:r w:rsidR="006975FE">
          <w:rPr>
            <w:noProof/>
            <w:webHidden/>
          </w:rPr>
        </w:r>
        <w:r w:rsidR="006975FE">
          <w:rPr>
            <w:noProof/>
            <w:webHidden/>
          </w:rPr>
          <w:fldChar w:fldCharType="separate"/>
        </w:r>
        <w:r w:rsidR="00AD58C3">
          <w:rPr>
            <w:noProof/>
            <w:webHidden/>
          </w:rPr>
          <w:t>89</w:t>
        </w:r>
        <w:r w:rsidR="006975FE">
          <w:rPr>
            <w:noProof/>
            <w:webHidden/>
          </w:rPr>
          <w:fldChar w:fldCharType="end"/>
        </w:r>
      </w:hyperlink>
    </w:p>
    <w:p w14:paraId="70BBAD5F" w14:textId="44DF9AE7" w:rsidR="006975FE" w:rsidRDefault="00D22FE8">
      <w:pPr>
        <w:pStyle w:val="Spisilustracji"/>
        <w:tabs>
          <w:tab w:val="right" w:leader="dot" w:pos="9062"/>
        </w:tabs>
        <w:rPr>
          <w:rFonts w:eastAsiaTheme="minorEastAsia"/>
          <w:noProof/>
          <w:lang w:eastAsia="pl-PL"/>
        </w:rPr>
      </w:pPr>
      <w:hyperlink w:anchor="_Toc73516134" w:history="1">
        <w:r w:rsidR="006975FE" w:rsidRPr="00CD3EF4">
          <w:rPr>
            <w:rStyle w:val="Hipercze"/>
            <w:noProof/>
          </w:rPr>
          <w:t xml:space="preserve">Wykres 73. </w:t>
        </w:r>
        <w:r w:rsidR="006975FE" w:rsidRPr="00CD3EF4">
          <w:rPr>
            <w:rStyle w:val="Hipercze"/>
            <w:bCs/>
            <w:noProof/>
          </w:rPr>
          <w:t>Pozycja UWM</w:t>
        </w:r>
        <w:r w:rsidR="006975FE" w:rsidRPr="00CD3EF4">
          <w:rPr>
            <w:rStyle w:val="Hipercze"/>
            <w:bCs/>
            <w:noProof/>
            <w:lang w:val="en-US"/>
          </w:rPr>
          <w:t xml:space="preserve"> w rankingu</w:t>
        </w:r>
        <w:r w:rsidR="006975FE" w:rsidRPr="00CD3EF4">
          <w:rPr>
            <w:rStyle w:val="Hipercze"/>
            <w:bCs/>
            <w:noProof/>
          </w:rPr>
          <w:t xml:space="preserve"> uczelni akademickich</w:t>
        </w:r>
        <w:r w:rsidR="006975FE">
          <w:rPr>
            <w:noProof/>
            <w:webHidden/>
          </w:rPr>
          <w:tab/>
        </w:r>
        <w:r w:rsidR="006975FE">
          <w:rPr>
            <w:noProof/>
            <w:webHidden/>
          </w:rPr>
          <w:fldChar w:fldCharType="begin"/>
        </w:r>
        <w:r w:rsidR="006975FE">
          <w:rPr>
            <w:noProof/>
            <w:webHidden/>
          </w:rPr>
          <w:instrText xml:space="preserve"> PAGEREF _Toc73516134 \h </w:instrText>
        </w:r>
        <w:r w:rsidR="006975FE">
          <w:rPr>
            <w:noProof/>
            <w:webHidden/>
          </w:rPr>
        </w:r>
        <w:r w:rsidR="006975FE">
          <w:rPr>
            <w:noProof/>
            <w:webHidden/>
          </w:rPr>
          <w:fldChar w:fldCharType="separate"/>
        </w:r>
        <w:r w:rsidR="00AD58C3">
          <w:rPr>
            <w:noProof/>
            <w:webHidden/>
          </w:rPr>
          <w:t>89</w:t>
        </w:r>
        <w:r w:rsidR="006975FE">
          <w:rPr>
            <w:noProof/>
            <w:webHidden/>
          </w:rPr>
          <w:fldChar w:fldCharType="end"/>
        </w:r>
      </w:hyperlink>
    </w:p>
    <w:p w14:paraId="6AF6F724" w14:textId="15BB847F" w:rsidR="006975FE" w:rsidRDefault="00D22FE8">
      <w:pPr>
        <w:pStyle w:val="Spisilustracji"/>
        <w:tabs>
          <w:tab w:val="right" w:leader="dot" w:pos="9062"/>
        </w:tabs>
        <w:rPr>
          <w:rFonts w:eastAsiaTheme="minorEastAsia"/>
          <w:noProof/>
          <w:lang w:eastAsia="pl-PL"/>
        </w:rPr>
      </w:pPr>
      <w:hyperlink w:anchor="_Toc73516135" w:history="1">
        <w:r w:rsidR="006975FE" w:rsidRPr="00CD3EF4">
          <w:rPr>
            <w:rStyle w:val="Hipercze"/>
            <w:noProof/>
          </w:rPr>
          <w:t xml:space="preserve">Wykres 74. </w:t>
        </w:r>
        <w:r w:rsidR="006975FE" w:rsidRPr="00CD3EF4">
          <w:rPr>
            <w:rStyle w:val="Hipercze"/>
            <w:bCs/>
            <w:noProof/>
          </w:rPr>
          <w:t>Gospodarstwa domowe wyposażone w komputery oraz z dostępem do internetu w roku 2019</w:t>
        </w:r>
        <w:r w:rsidR="006975FE">
          <w:rPr>
            <w:noProof/>
            <w:webHidden/>
          </w:rPr>
          <w:tab/>
        </w:r>
        <w:r w:rsidR="006975FE">
          <w:rPr>
            <w:noProof/>
            <w:webHidden/>
          </w:rPr>
          <w:fldChar w:fldCharType="begin"/>
        </w:r>
        <w:r w:rsidR="006975FE">
          <w:rPr>
            <w:noProof/>
            <w:webHidden/>
          </w:rPr>
          <w:instrText xml:space="preserve"> PAGEREF _Toc73516135 \h </w:instrText>
        </w:r>
        <w:r w:rsidR="006975FE">
          <w:rPr>
            <w:noProof/>
            <w:webHidden/>
          </w:rPr>
        </w:r>
        <w:r w:rsidR="006975FE">
          <w:rPr>
            <w:noProof/>
            <w:webHidden/>
          </w:rPr>
          <w:fldChar w:fldCharType="separate"/>
        </w:r>
        <w:r w:rsidR="00AD58C3">
          <w:rPr>
            <w:noProof/>
            <w:webHidden/>
          </w:rPr>
          <w:t>100</w:t>
        </w:r>
        <w:r w:rsidR="006975FE">
          <w:rPr>
            <w:noProof/>
            <w:webHidden/>
          </w:rPr>
          <w:fldChar w:fldCharType="end"/>
        </w:r>
      </w:hyperlink>
    </w:p>
    <w:p w14:paraId="1F7413FF" w14:textId="28CE23B1" w:rsidR="006975FE" w:rsidRDefault="00D22FE8">
      <w:pPr>
        <w:pStyle w:val="Spisilustracji"/>
        <w:tabs>
          <w:tab w:val="right" w:leader="dot" w:pos="9062"/>
        </w:tabs>
        <w:rPr>
          <w:rFonts w:eastAsiaTheme="minorEastAsia"/>
          <w:noProof/>
          <w:lang w:eastAsia="pl-PL"/>
        </w:rPr>
      </w:pPr>
      <w:hyperlink w:anchor="_Toc73516136" w:history="1">
        <w:r w:rsidR="006975FE" w:rsidRPr="00CD3EF4">
          <w:rPr>
            <w:rStyle w:val="Hipercze"/>
            <w:noProof/>
          </w:rPr>
          <w:t xml:space="preserve">Wykres 75. </w:t>
        </w:r>
        <w:r w:rsidR="006975FE" w:rsidRPr="00CD3EF4">
          <w:rPr>
            <w:rStyle w:val="Hipercze"/>
            <w:bCs/>
            <w:noProof/>
            <w:lang w:val="en-US"/>
          </w:rPr>
          <w:t>Wykorzystanie systemów teleinformatycznych w jednostkach administracji publicznej  w roku 2019</w:t>
        </w:r>
        <w:r w:rsidR="006975FE">
          <w:rPr>
            <w:noProof/>
            <w:webHidden/>
          </w:rPr>
          <w:tab/>
        </w:r>
        <w:r w:rsidR="006975FE">
          <w:rPr>
            <w:noProof/>
            <w:webHidden/>
          </w:rPr>
          <w:fldChar w:fldCharType="begin"/>
        </w:r>
        <w:r w:rsidR="006975FE">
          <w:rPr>
            <w:noProof/>
            <w:webHidden/>
          </w:rPr>
          <w:instrText xml:space="preserve"> PAGEREF _Toc73516136 \h </w:instrText>
        </w:r>
        <w:r w:rsidR="006975FE">
          <w:rPr>
            <w:noProof/>
            <w:webHidden/>
          </w:rPr>
        </w:r>
        <w:r w:rsidR="006975FE">
          <w:rPr>
            <w:noProof/>
            <w:webHidden/>
          </w:rPr>
          <w:fldChar w:fldCharType="separate"/>
        </w:r>
        <w:r w:rsidR="00AD58C3">
          <w:rPr>
            <w:noProof/>
            <w:webHidden/>
          </w:rPr>
          <w:t>101</w:t>
        </w:r>
        <w:r w:rsidR="006975FE">
          <w:rPr>
            <w:noProof/>
            <w:webHidden/>
          </w:rPr>
          <w:fldChar w:fldCharType="end"/>
        </w:r>
      </w:hyperlink>
    </w:p>
    <w:p w14:paraId="432FD11D" w14:textId="2373BE3D" w:rsidR="006975FE" w:rsidRDefault="00D22FE8">
      <w:pPr>
        <w:pStyle w:val="Spisilustracji"/>
        <w:tabs>
          <w:tab w:val="right" w:leader="dot" w:pos="9062"/>
        </w:tabs>
        <w:rPr>
          <w:rFonts w:eastAsiaTheme="minorEastAsia"/>
          <w:noProof/>
          <w:lang w:eastAsia="pl-PL"/>
        </w:rPr>
      </w:pPr>
      <w:hyperlink w:anchor="_Toc73516137" w:history="1">
        <w:r w:rsidR="006975FE" w:rsidRPr="00CD3EF4">
          <w:rPr>
            <w:rStyle w:val="Hipercze"/>
            <w:noProof/>
          </w:rPr>
          <w:t xml:space="preserve">Wykres 76. </w:t>
        </w:r>
        <w:r w:rsidR="006975FE" w:rsidRPr="00CD3EF4">
          <w:rPr>
            <w:rStyle w:val="Hipercze"/>
            <w:bCs/>
            <w:noProof/>
            <w:lang w:val="en-US"/>
          </w:rPr>
          <w:t>Odsetek uczniów uczestniczących w zajęciach i programach z zakresu STEM, języków obcych i kompetencji miękkich w ogólnej liczbie uczniów w gminie (rok szkolny 2018/2019)</w:t>
        </w:r>
        <w:r w:rsidR="006975FE">
          <w:rPr>
            <w:noProof/>
            <w:webHidden/>
          </w:rPr>
          <w:tab/>
        </w:r>
        <w:r w:rsidR="006975FE">
          <w:rPr>
            <w:noProof/>
            <w:webHidden/>
          </w:rPr>
          <w:fldChar w:fldCharType="begin"/>
        </w:r>
        <w:r w:rsidR="006975FE">
          <w:rPr>
            <w:noProof/>
            <w:webHidden/>
          </w:rPr>
          <w:instrText xml:space="preserve"> PAGEREF _Toc73516137 \h </w:instrText>
        </w:r>
        <w:r w:rsidR="006975FE">
          <w:rPr>
            <w:noProof/>
            <w:webHidden/>
          </w:rPr>
        </w:r>
        <w:r w:rsidR="006975FE">
          <w:rPr>
            <w:noProof/>
            <w:webHidden/>
          </w:rPr>
          <w:fldChar w:fldCharType="separate"/>
        </w:r>
        <w:r w:rsidR="00AD58C3">
          <w:rPr>
            <w:noProof/>
            <w:webHidden/>
          </w:rPr>
          <w:t>104</w:t>
        </w:r>
        <w:r w:rsidR="006975FE">
          <w:rPr>
            <w:noProof/>
            <w:webHidden/>
          </w:rPr>
          <w:fldChar w:fldCharType="end"/>
        </w:r>
      </w:hyperlink>
    </w:p>
    <w:p w14:paraId="1C761736" w14:textId="408E098D" w:rsidR="006975FE" w:rsidRDefault="00D22FE8">
      <w:pPr>
        <w:pStyle w:val="Spisilustracji"/>
        <w:tabs>
          <w:tab w:val="right" w:leader="dot" w:pos="9062"/>
        </w:tabs>
        <w:rPr>
          <w:rFonts w:eastAsiaTheme="minorEastAsia"/>
          <w:noProof/>
          <w:lang w:eastAsia="pl-PL"/>
        </w:rPr>
      </w:pPr>
      <w:hyperlink w:anchor="_Toc73516138" w:history="1">
        <w:r w:rsidR="006975FE" w:rsidRPr="00CD3EF4">
          <w:rPr>
            <w:rStyle w:val="Hipercze"/>
            <w:noProof/>
          </w:rPr>
          <w:t xml:space="preserve">Wykres 77. </w:t>
        </w:r>
        <w:r w:rsidR="006975FE" w:rsidRPr="00CD3EF4">
          <w:rPr>
            <w:rStyle w:val="Hipercze"/>
            <w:bCs/>
            <w:noProof/>
          </w:rPr>
          <w:t xml:space="preserve">Miejsca </w:t>
        </w:r>
        <w:r w:rsidR="006975FE" w:rsidRPr="00CD3EF4">
          <w:rPr>
            <w:rStyle w:val="Hipercze"/>
            <w:bCs/>
            <w:noProof/>
            <w:lang w:val="en-US"/>
          </w:rPr>
          <w:t>w żłobkach i klubach dziecięcych na 1000 dzieci w wieku do lat 3 w latach 20</w:t>
        </w:r>
        <w:r w:rsidR="006975FE" w:rsidRPr="00CD3EF4">
          <w:rPr>
            <w:rStyle w:val="Hipercze"/>
            <w:bCs/>
            <w:noProof/>
          </w:rPr>
          <w:t>14</w:t>
        </w:r>
        <w:r w:rsidR="006975FE" w:rsidRPr="00CD3EF4">
          <w:rPr>
            <w:rStyle w:val="Hipercze"/>
            <w:bCs/>
            <w:noProof/>
            <w:lang w:val="en-US"/>
          </w:rPr>
          <w:t xml:space="preserve">  i 2019</w:t>
        </w:r>
        <w:r w:rsidR="006975FE">
          <w:rPr>
            <w:noProof/>
            <w:webHidden/>
          </w:rPr>
          <w:tab/>
        </w:r>
        <w:r w:rsidR="006975FE">
          <w:rPr>
            <w:noProof/>
            <w:webHidden/>
          </w:rPr>
          <w:fldChar w:fldCharType="begin"/>
        </w:r>
        <w:r w:rsidR="006975FE">
          <w:rPr>
            <w:noProof/>
            <w:webHidden/>
          </w:rPr>
          <w:instrText xml:space="preserve"> PAGEREF _Toc73516138 \h </w:instrText>
        </w:r>
        <w:r w:rsidR="006975FE">
          <w:rPr>
            <w:noProof/>
            <w:webHidden/>
          </w:rPr>
        </w:r>
        <w:r w:rsidR="006975FE">
          <w:rPr>
            <w:noProof/>
            <w:webHidden/>
          </w:rPr>
          <w:fldChar w:fldCharType="separate"/>
        </w:r>
        <w:r w:rsidR="00AD58C3">
          <w:rPr>
            <w:noProof/>
            <w:webHidden/>
          </w:rPr>
          <w:t>107</w:t>
        </w:r>
        <w:r w:rsidR="006975FE">
          <w:rPr>
            <w:noProof/>
            <w:webHidden/>
          </w:rPr>
          <w:fldChar w:fldCharType="end"/>
        </w:r>
      </w:hyperlink>
    </w:p>
    <w:p w14:paraId="796525A4" w14:textId="4609E984" w:rsidR="006975FE" w:rsidRDefault="00D22FE8">
      <w:pPr>
        <w:pStyle w:val="Spisilustracji"/>
        <w:tabs>
          <w:tab w:val="right" w:leader="dot" w:pos="9062"/>
        </w:tabs>
        <w:rPr>
          <w:rFonts w:eastAsiaTheme="minorEastAsia"/>
          <w:noProof/>
          <w:lang w:eastAsia="pl-PL"/>
        </w:rPr>
      </w:pPr>
      <w:hyperlink w:anchor="_Toc73516139" w:history="1">
        <w:r w:rsidR="006975FE" w:rsidRPr="00CD3EF4">
          <w:rPr>
            <w:rStyle w:val="Hipercze"/>
            <w:noProof/>
          </w:rPr>
          <w:t xml:space="preserve">Wykres 78. </w:t>
        </w:r>
        <w:r w:rsidR="006975FE" w:rsidRPr="00CD3EF4">
          <w:rPr>
            <w:rStyle w:val="Hipercze"/>
            <w:bCs/>
            <w:noProof/>
          </w:rPr>
          <w:t>Odsetek dzieci objętych opieką w żłobkach i klubach dziecięcych w latach 2014 i 2019</w:t>
        </w:r>
        <w:r w:rsidR="006975FE">
          <w:rPr>
            <w:noProof/>
            <w:webHidden/>
          </w:rPr>
          <w:tab/>
        </w:r>
        <w:r w:rsidR="006975FE">
          <w:rPr>
            <w:noProof/>
            <w:webHidden/>
          </w:rPr>
          <w:fldChar w:fldCharType="begin"/>
        </w:r>
        <w:r w:rsidR="006975FE">
          <w:rPr>
            <w:noProof/>
            <w:webHidden/>
          </w:rPr>
          <w:instrText xml:space="preserve"> PAGEREF _Toc73516139 \h </w:instrText>
        </w:r>
        <w:r w:rsidR="006975FE">
          <w:rPr>
            <w:noProof/>
            <w:webHidden/>
          </w:rPr>
        </w:r>
        <w:r w:rsidR="006975FE">
          <w:rPr>
            <w:noProof/>
            <w:webHidden/>
          </w:rPr>
          <w:fldChar w:fldCharType="separate"/>
        </w:r>
        <w:r w:rsidR="00AD58C3">
          <w:rPr>
            <w:noProof/>
            <w:webHidden/>
          </w:rPr>
          <w:t>107</w:t>
        </w:r>
        <w:r w:rsidR="006975FE">
          <w:rPr>
            <w:noProof/>
            <w:webHidden/>
          </w:rPr>
          <w:fldChar w:fldCharType="end"/>
        </w:r>
      </w:hyperlink>
    </w:p>
    <w:p w14:paraId="3861F92B" w14:textId="75F1D1CF" w:rsidR="006975FE" w:rsidRDefault="00D22FE8">
      <w:pPr>
        <w:pStyle w:val="Spisilustracji"/>
        <w:tabs>
          <w:tab w:val="right" w:leader="dot" w:pos="9062"/>
        </w:tabs>
        <w:rPr>
          <w:rFonts w:eastAsiaTheme="minorEastAsia"/>
          <w:noProof/>
          <w:lang w:eastAsia="pl-PL"/>
        </w:rPr>
      </w:pPr>
      <w:hyperlink w:anchor="_Toc73516140" w:history="1">
        <w:r w:rsidR="006975FE" w:rsidRPr="00CD3EF4">
          <w:rPr>
            <w:rStyle w:val="Hipercze"/>
            <w:noProof/>
          </w:rPr>
          <w:t xml:space="preserve">Wykres 79. </w:t>
        </w:r>
        <w:r w:rsidR="006975FE" w:rsidRPr="00CD3EF4">
          <w:rPr>
            <w:rStyle w:val="Hipercze"/>
            <w:bCs/>
            <w:noProof/>
          </w:rPr>
          <w:t>Dostępność miejsc w żłobkach publicznych w Olsztynie w latach 2015-2019</w:t>
        </w:r>
        <w:r w:rsidR="006975FE">
          <w:rPr>
            <w:noProof/>
            <w:webHidden/>
          </w:rPr>
          <w:tab/>
        </w:r>
        <w:r w:rsidR="006975FE">
          <w:rPr>
            <w:noProof/>
            <w:webHidden/>
          </w:rPr>
          <w:fldChar w:fldCharType="begin"/>
        </w:r>
        <w:r w:rsidR="006975FE">
          <w:rPr>
            <w:noProof/>
            <w:webHidden/>
          </w:rPr>
          <w:instrText xml:space="preserve"> PAGEREF _Toc73516140 \h </w:instrText>
        </w:r>
        <w:r w:rsidR="006975FE">
          <w:rPr>
            <w:noProof/>
            <w:webHidden/>
          </w:rPr>
        </w:r>
        <w:r w:rsidR="006975FE">
          <w:rPr>
            <w:noProof/>
            <w:webHidden/>
          </w:rPr>
          <w:fldChar w:fldCharType="separate"/>
        </w:r>
        <w:r w:rsidR="00AD58C3">
          <w:rPr>
            <w:noProof/>
            <w:webHidden/>
          </w:rPr>
          <w:t>108</w:t>
        </w:r>
        <w:r w:rsidR="006975FE">
          <w:rPr>
            <w:noProof/>
            <w:webHidden/>
          </w:rPr>
          <w:fldChar w:fldCharType="end"/>
        </w:r>
      </w:hyperlink>
    </w:p>
    <w:p w14:paraId="21A0B260" w14:textId="12643DCA" w:rsidR="006975FE" w:rsidRDefault="00D22FE8">
      <w:pPr>
        <w:pStyle w:val="Spisilustracji"/>
        <w:tabs>
          <w:tab w:val="right" w:leader="dot" w:pos="9062"/>
        </w:tabs>
        <w:rPr>
          <w:rFonts w:eastAsiaTheme="minorEastAsia"/>
          <w:noProof/>
          <w:lang w:eastAsia="pl-PL"/>
        </w:rPr>
      </w:pPr>
      <w:hyperlink w:anchor="_Toc73516141" w:history="1">
        <w:r w:rsidR="006975FE" w:rsidRPr="00CD3EF4">
          <w:rPr>
            <w:rStyle w:val="Hipercze"/>
            <w:noProof/>
          </w:rPr>
          <w:t xml:space="preserve">Wykres 80. </w:t>
        </w:r>
        <w:r w:rsidR="006975FE" w:rsidRPr="00CD3EF4">
          <w:rPr>
            <w:rStyle w:val="Hipercze"/>
            <w:bCs/>
            <w:noProof/>
            <w:lang w:val="en-US"/>
          </w:rPr>
          <w:t xml:space="preserve">Odsetek dzieci </w:t>
        </w:r>
        <w:r w:rsidR="006975FE" w:rsidRPr="00CD3EF4">
          <w:rPr>
            <w:rStyle w:val="Hipercze"/>
            <w:bCs/>
            <w:noProof/>
          </w:rPr>
          <w:t xml:space="preserve">w wieku 3-5 lat </w:t>
        </w:r>
        <w:r w:rsidR="006975FE" w:rsidRPr="00CD3EF4">
          <w:rPr>
            <w:rStyle w:val="Hipercze"/>
            <w:bCs/>
            <w:noProof/>
            <w:lang w:val="en-US"/>
          </w:rPr>
          <w:t>objętych wychowaniem przedszkolnym w latach 2013  i 2019</w:t>
        </w:r>
        <w:r w:rsidR="006975FE">
          <w:rPr>
            <w:noProof/>
            <w:webHidden/>
          </w:rPr>
          <w:tab/>
        </w:r>
        <w:r w:rsidR="006975FE">
          <w:rPr>
            <w:noProof/>
            <w:webHidden/>
          </w:rPr>
          <w:fldChar w:fldCharType="begin"/>
        </w:r>
        <w:r w:rsidR="006975FE">
          <w:rPr>
            <w:noProof/>
            <w:webHidden/>
          </w:rPr>
          <w:instrText xml:space="preserve"> PAGEREF _Toc73516141 \h </w:instrText>
        </w:r>
        <w:r w:rsidR="006975FE">
          <w:rPr>
            <w:noProof/>
            <w:webHidden/>
          </w:rPr>
        </w:r>
        <w:r w:rsidR="006975FE">
          <w:rPr>
            <w:noProof/>
            <w:webHidden/>
          </w:rPr>
          <w:fldChar w:fldCharType="separate"/>
        </w:r>
        <w:r w:rsidR="00AD58C3">
          <w:rPr>
            <w:noProof/>
            <w:webHidden/>
          </w:rPr>
          <w:t>109</w:t>
        </w:r>
        <w:r w:rsidR="006975FE">
          <w:rPr>
            <w:noProof/>
            <w:webHidden/>
          </w:rPr>
          <w:fldChar w:fldCharType="end"/>
        </w:r>
      </w:hyperlink>
    </w:p>
    <w:p w14:paraId="2CE7D8DB" w14:textId="5302BC4E" w:rsidR="006975FE" w:rsidRDefault="00D22FE8">
      <w:pPr>
        <w:pStyle w:val="Spisilustracji"/>
        <w:tabs>
          <w:tab w:val="right" w:leader="dot" w:pos="9062"/>
        </w:tabs>
        <w:rPr>
          <w:rFonts w:eastAsiaTheme="minorEastAsia"/>
          <w:noProof/>
          <w:lang w:eastAsia="pl-PL"/>
        </w:rPr>
      </w:pPr>
      <w:hyperlink w:anchor="_Toc73516142" w:history="1">
        <w:r w:rsidR="006975FE" w:rsidRPr="00CD3EF4">
          <w:rPr>
            <w:rStyle w:val="Hipercze"/>
            <w:noProof/>
          </w:rPr>
          <w:t xml:space="preserve">Wykres 81. </w:t>
        </w:r>
        <w:r w:rsidR="006975FE" w:rsidRPr="00CD3EF4">
          <w:rPr>
            <w:rStyle w:val="Hipercze"/>
            <w:bCs/>
            <w:noProof/>
          </w:rPr>
          <w:t>Liczba dzieci w placówkach wychowania przedszkolnego na 1000 dzieci w wieku 3-5 lat  w latach 2013 i 2019</w:t>
        </w:r>
        <w:r w:rsidR="006975FE">
          <w:rPr>
            <w:noProof/>
            <w:webHidden/>
          </w:rPr>
          <w:tab/>
        </w:r>
        <w:r w:rsidR="006975FE">
          <w:rPr>
            <w:noProof/>
            <w:webHidden/>
          </w:rPr>
          <w:fldChar w:fldCharType="begin"/>
        </w:r>
        <w:r w:rsidR="006975FE">
          <w:rPr>
            <w:noProof/>
            <w:webHidden/>
          </w:rPr>
          <w:instrText xml:space="preserve"> PAGEREF _Toc73516142 \h </w:instrText>
        </w:r>
        <w:r w:rsidR="006975FE">
          <w:rPr>
            <w:noProof/>
            <w:webHidden/>
          </w:rPr>
        </w:r>
        <w:r w:rsidR="006975FE">
          <w:rPr>
            <w:noProof/>
            <w:webHidden/>
          </w:rPr>
          <w:fldChar w:fldCharType="separate"/>
        </w:r>
        <w:r w:rsidR="00AD58C3">
          <w:rPr>
            <w:noProof/>
            <w:webHidden/>
          </w:rPr>
          <w:t>109</w:t>
        </w:r>
        <w:r w:rsidR="006975FE">
          <w:rPr>
            <w:noProof/>
            <w:webHidden/>
          </w:rPr>
          <w:fldChar w:fldCharType="end"/>
        </w:r>
      </w:hyperlink>
    </w:p>
    <w:p w14:paraId="55770414" w14:textId="0C9F3735" w:rsidR="006975FE" w:rsidRDefault="00D22FE8">
      <w:pPr>
        <w:pStyle w:val="Spisilustracji"/>
        <w:tabs>
          <w:tab w:val="right" w:leader="dot" w:pos="9062"/>
        </w:tabs>
        <w:rPr>
          <w:rFonts w:eastAsiaTheme="minorEastAsia"/>
          <w:noProof/>
          <w:lang w:eastAsia="pl-PL"/>
        </w:rPr>
      </w:pPr>
      <w:hyperlink w:anchor="_Toc73516143" w:history="1">
        <w:r w:rsidR="006975FE" w:rsidRPr="00CD3EF4">
          <w:rPr>
            <w:rStyle w:val="Hipercze"/>
            <w:noProof/>
          </w:rPr>
          <w:t xml:space="preserve">Wykres 82. </w:t>
        </w:r>
        <w:r w:rsidR="006975FE" w:rsidRPr="00CD3EF4">
          <w:rPr>
            <w:rStyle w:val="Hipercze"/>
            <w:bCs/>
            <w:noProof/>
            <w:lang w:val="en-US"/>
          </w:rPr>
          <w:t xml:space="preserve">Współczynnik skolaryzacji brutto </w:t>
        </w:r>
        <w:r w:rsidR="006975FE" w:rsidRPr="00CD3EF4">
          <w:rPr>
            <w:rStyle w:val="Hipercze"/>
            <w:bCs/>
            <w:noProof/>
          </w:rPr>
          <w:t xml:space="preserve">w szkołach podstawowych </w:t>
        </w:r>
        <w:r w:rsidR="006975FE" w:rsidRPr="00CD3EF4">
          <w:rPr>
            <w:rStyle w:val="Hipercze"/>
            <w:bCs/>
            <w:noProof/>
            <w:lang w:val="en-US"/>
          </w:rPr>
          <w:t>w latach 2013 i 2019</w:t>
        </w:r>
        <w:r w:rsidR="006975FE">
          <w:rPr>
            <w:noProof/>
            <w:webHidden/>
          </w:rPr>
          <w:tab/>
        </w:r>
        <w:r w:rsidR="006975FE">
          <w:rPr>
            <w:noProof/>
            <w:webHidden/>
          </w:rPr>
          <w:fldChar w:fldCharType="begin"/>
        </w:r>
        <w:r w:rsidR="006975FE">
          <w:rPr>
            <w:noProof/>
            <w:webHidden/>
          </w:rPr>
          <w:instrText xml:space="preserve"> PAGEREF _Toc73516143 \h </w:instrText>
        </w:r>
        <w:r w:rsidR="006975FE">
          <w:rPr>
            <w:noProof/>
            <w:webHidden/>
          </w:rPr>
        </w:r>
        <w:r w:rsidR="006975FE">
          <w:rPr>
            <w:noProof/>
            <w:webHidden/>
          </w:rPr>
          <w:fldChar w:fldCharType="separate"/>
        </w:r>
        <w:r w:rsidR="00AD58C3">
          <w:rPr>
            <w:noProof/>
            <w:webHidden/>
          </w:rPr>
          <w:t>110</w:t>
        </w:r>
        <w:r w:rsidR="006975FE">
          <w:rPr>
            <w:noProof/>
            <w:webHidden/>
          </w:rPr>
          <w:fldChar w:fldCharType="end"/>
        </w:r>
      </w:hyperlink>
    </w:p>
    <w:p w14:paraId="51E447C9" w14:textId="7D675414" w:rsidR="006975FE" w:rsidRDefault="00D22FE8">
      <w:pPr>
        <w:pStyle w:val="Spisilustracji"/>
        <w:tabs>
          <w:tab w:val="right" w:leader="dot" w:pos="9062"/>
        </w:tabs>
        <w:rPr>
          <w:rFonts w:eastAsiaTheme="minorEastAsia"/>
          <w:noProof/>
          <w:lang w:eastAsia="pl-PL"/>
        </w:rPr>
      </w:pPr>
      <w:hyperlink w:anchor="_Toc73516144" w:history="1">
        <w:r w:rsidR="006975FE" w:rsidRPr="00CD3EF4">
          <w:rPr>
            <w:rStyle w:val="Hipercze"/>
            <w:noProof/>
          </w:rPr>
          <w:t xml:space="preserve">Wykres 83. </w:t>
        </w:r>
        <w:r w:rsidR="006975FE" w:rsidRPr="00CD3EF4">
          <w:rPr>
            <w:rStyle w:val="Hipercze"/>
            <w:bCs/>
            <w:noProof/>
            <w:lang w:val="en-US"/>
          </w:rPr>
          <w:t>Liczba podmiotów ambulatoryjnych</w:t>
        </w:r>
        <w:r w:rsidR="006975FE" w:rsidRPr="00CD3EF4">
          <w:rPr>
            <w:rStyle w:val="Hipercze"/>
            <w:bCs/>
            <w:noProof/>
          </w:rPr>
          <w:t xml:space="preserve"> (przychodni) ogółem </w:t>
        </w:r>
        <w:r w:rsidR="006975FE" w:rsidRPr="00CD3EF4">
          <w:rPr>
            <w:rStyle w:val="Hipercze"/>
            <w:bCs/>
            <w:noProof/>
            <w:lang w:val="en-US"/>
          </w:rPr>
          <w:t>w latach 2013-2019</w:t>
        </w:r>
        <w:r w:rsidR="006975FE">
          <w:rPr>
            <w:noProof/>
            <w:webHidden/>
          </w:rPr>
          <w:tab/>
        </w:r>
        <w:r w:rsidR="006975FE">
          <w:rPr>
            <w:noProof/>
            <w:webHidden/>
          </w:rPr>
          <w:fldChar w:fldCharType="begin"/>
        </w:r>
        <w:r w:rsidR="006975FE">
          <w:rPr>
            <w:noProof/>
            <w:webHidden/>
          </w:rPr>
          <w:instrText xml:space="preserve"> PAGEREF _Toc73516144 \h </w:instrText>
        </w:r>
        <w:r w:rsidR="006975FE">
          <w:rPr>
            <w:noProof/>
            <w:webHidden/>
          </w:rPr>
        </w:r>
        <w:r w:rsidR="006975FE">
          <w:rPr>
            <w:noProof/>
            <w:webHidden/>
          </w:rPr>
          <w:fldChar w:fldCharType="separate"/>
        </w:r>
        <w:r w:rsidR="00AD58C3">
          <w:rPr>
            <w:noProof/>
            <w:webHidden/>
          </w:rPr>
          <w:t>113</w:t>
        </w:r>
        <w:r w:rsidR="006975FE">
          <w:rPr>
            <w:noProof/>
            <w:webHidden/>
          </w:rPr>
          <w:fldChar w:fldCharType="end"/>
        </w:r>
      </w:hyperlink>
    </w:p>
    <w:p w14:paraId="3DA2BFAA" w14:textId="3BCABA4F" w:rsidR="006975FE" w:rsidRDefault="00D22FE8">
      <w:pPr>
        <w:pStyle w:val="Spisilustracji"/>
        <w:tabs>
          <w:tab w:val="right" w:leader="dot" w:pos="9062"/>
        </w:tabs>
        <w:rPr>
          <w:rFonts w:eastAsiaTheme="minorEastAsia"/>
          <w:noProof/>
          <w:lang w:eastAsia="pl-PL"/>
        </w:rPr>
      </w:pPr>
      <w:hyperlink w:anchor="_Toc73516145" w:history="1">
        <w:r w:rsidR="006975FE" w:rsidRPr="00CD3EF4">
          <w:rPr>
            <w:rStyle w:val="Hipercze"/>
            <w:noProof/>
          </w:rPr>
          <w:t xml:space="preserve">Wykres 84. </w:t>
        </w:r>
        <w:r w:rsidR="006975FE" w:rsidRPr="00CD3EF4">
          <w:rPr>
            <w:rStyle w:val="Hipercze"/>
            <w:bCs/>
            <w:noProof/>
          </w:rPr>
          <w:t>Ambulatoryjna opieka zdrowotna – porady w latach 2013 i 2019</w:t>
        </w:r>
        <w:r w:rsidR="006975FE">
          <w:rPr>
            <w:noProof/>
            <w:webHidden/>
          </w:rPr>
          <w:tab/>
        </w:r>
        <w:r w:rsidR="006975FE">
          <w:rPr>
            <w:noProof/>
            <w:webHidden/>
          </w:rPr>
          <w:fldChar w:fldCharType="begin"/>
        </w:r>
        <w:r w:rsidR="006975FE">
          <w:rPr>
            <w:noProof/>
            <w:webHidden/>
          </w:rPr>
          <w:instrText xml:space="preserve"> PAGEREF _Toc73516145 \h </w:instrText>
        </w:r>
        <w:r w:rsidR="006975FE">
          <w:rPr>
            <w:noProof/>
            <w:webHidden/>
          </w:rPr>
        </w:r>
        <w:r w:rsidR="006975FE">
          <w:rPr>
            <w:noProof/>
            <w:webHidden/>
          </w:rPr>
          <w:fldChar w:fldCharType="separate"/>
        </w:r>
        <w:r w:rsidR="00AD58C3">
          <w:rPr>
            <w:noProof/>
            <w:webHidden/>
          </w:rPr>
          <w:t>113</w:t>
        </w:r>
        <w:r w:rsidR="006975FE">
          <w:rPr>
            <w:noProof/>
            <w:webHidden/>
          </w:rPr>
          <w:fldChar w:fldCharType="end"/>
        </w:r>
      </w:hyperlink>
    </w:p>
    <w:p w14:paraId="279FA7D6" w14:textId="7F16BA31" w:rsidR="006975FE" w:rsidRDefault="00D22FE8">
      <w:pPr>
        <w:pStyle w:val="Spisilustracji"/>
        <w:tabs>
          <w:tab w:val="right" w:leader="dot" w:pos="9062"/>
        </w:tabs>
        <w:rPr>
          <w:rFonts w:eastAsiaTheme="minorEastAsia"/>
          <w:noProof/>
          <w:lang w:eastAsia="pl-PL"/>
        </w:rPr>
      </w:pPr>
      <w:hyperlink w:anchor="_Toc73516146" w:history="1">
        <w:r w:rsidR="006975FE" w:rsidRPr="00CD3EF4">
          <w:rPr>
            <w:rStyle w:val="Hipercze"/>
            <w:noProof/>
          </w:rPr>
          <w:t xml:space="preserve">Wykres 85. </w:t>
        </w:r>
        <w:r w:rsidR="006975FE" w:rsidRPr="00CD3EF4">
          <w:rPr>
            <w:rStyle w:val="Hipercze"/>
            <w:bCs/>
            <w:noProof/>
          </w:rPr>
          <w:t>Dostępność aptek w latach 2013 i 2019</w:t>
        </w:r>
        <w:r w:rsidR="006975FE">
          <w:rPr>
            <w:noProof/>
            <w:webHidden/>
          </w:rPr>
          <w:tab/>
        </w:r>
        <w:r w:rsidR="006975FE">
          <w:rPr>
            <w:noProof/>
            <w:webHidden/>
          </w:rPr>
          <w:fldChar w:fldCharType="begin"/>
        </w:r>
        <w:r w:rsidR="006975FE">
          <w:rPr>
            <w:noProof/>
            <w:webHidden/>
          </w:rPr>
          <w:instrText xml:space="preserve"> PAGEREF _Toc73516146 \h </w:instrText>
        </w:r>
        <w:r w:rsidR="006975FE">
          <w:rPr>
            <w:noProof/>
            <w:webHidden/>
          </w:rPr>
        </w:r>
        <w:r w:rsidR="006975FE">
          <w:rPr>
            <w:noProof/>
            <w:webHidden/>
          </w:rPr>
          <w:fldChar w:fldCharType="separate"/>
        </w:r>
        <w:r w:rsidR="00AD58C3">
          <w:rPr>
            <w:noProof/>
            <w:webHidden/>
          </w:rPr>
          <w:t>114</w:t>
        </w:r>
        <w:r w:rsidR="006975FE">
          <w:rPr>
            <w:noProof/>
            <w:webHidden/>
          </w:rPr>
          <w:fldChar w:fldCharType="end"/>
        </w:r>
      </w:hyperlink>
    </w:p>
    <w:p w14:paraId="32F696BB" w14:textId="4A8312F1" w:rsidR="006975FE" w:rsidRDefault="00D22FE8">
      <w:pPr>
        <w:pStyle w:val="Spisilustracji"/>
        <w:tabs>
          <w:tab w:val="right" w:leader="dot" w:pos="9062"/>
        </w:tabs>
        <w:rPr>
          <w:rFonts w:eastAsiaTheme="minorEastAsia"/>
          <w:noProof/>
          <w:lang w:eastAsia="pl-PL"/>
        </w:rPr>
      </w:pPr>
      <w:hyperlink w:anchor="_Toc73516147" w:history="1">
        <w:r w:rsidR="006975FE" w:rsidRPr="00CD3EF4">
          <w:rPr>
            <w:rStyle w:val="Hipercze"/>
            <w:noProof/>
          </w:rPr>
          <w:t xml:space="preserve">Wykres 86. </w:t>
        </w:r>
        <w:r w:rsidR="006975FE" w:rsidRPr="00CD3EF4">
          <w:rPr>
            <w:rStyle w:val="Hipercze"/>
            <w:bCs/>
            <w:noProof/>
            <w:lang w:val="en-US"/>
          </w:rPr>
          <w:t>Liczba łóżek w szpitalach ogólnych w latach 2013 i 2019</w:t>
        </w:r>
        <w:r w:rsidR="006975FE">
          <w:rPr>
            <w:noProof/>
            <w:webHidden/>
          </w:rPr>
          <w:tab/>
        </w:r>
        <w:r w:rsidR="006975FE">
          <w:rPr>
            <w:noProof/>
            <w:webHidden/>
          </w:rPr>
          <w:fldChar w:fldCharType="begin"/>
        </w:r>
        <w:r w:rsidR="006975FE">
          <w:rPr>
            <w:noProof/>
            <w:webHidden/>
          </w:rPr>
          <w:instrText xml:space="preserve"> PAGEREF _Toc73516147 \h </w:instrText>
        </w:r>
        <w:r w:rsidR="006975FE">
          <w:rPr>
            <w:noProof/>
            <w:webHidden/>
          </w:rPr>
        </w:r>
        <w:r w:rsidR="006975FE">
          <w:rPr>
            <w:noProof/>
            <w:webHidden/>
          </w:rPr>
          <w:fldChar w:fldCharType="separate"/>
        </w:r>
        <w:r w:rsidR="00AD58C3">
          <w:rPr>
            <w:noProof/>
            <w:webHidden/>
          </w:rPr>
          <w:t>114</w:t>
        </w:r>
        <w:r w:rsidR="006975FE">
          <w:rPr>
            <w:noProof/>
            <w:webHidden/>
          </w:rPr>
          <w:fldChar w:fldCharType="end"/>
        </w:r>
      </w:hyperlink>
    </w:p>
    <w:p w14:paraId="3901638B" w14:textId="7294D894" w:rsidR="006975FE" w:rsidRDefault="00D22FE8">
      <w:pPr>
        <w:pStyle w:val="Spisilustracji"/>
        <w:tabs>
          <w:tab w:val="right" w:leader="dot" w:pos="9062"/>
        </w:tabs>
        <w:rPr>
          <w:rFonts w:eastAsiaTheme="minorEastAsia"/>
          <w:noProof/>
          <w:lang w:eastAsia="pl-PL"/>
        </w:rPr>
      </w:pPr>
      <w:hyperlink w:anchor="_Toc73516148" w:history="1">
        <w:r w:rsidR="006975FE" w:rsidRPr="00CD3EF4">
          <w:rPr>
            <w:rStyle w:val="Hipercze"/>
            <w:noProof/>
          </w:rPr>
          <w:t xml:space="preserve">Wykres 87. </w:t>
        </w:r>
        <w:r w:rsidR="006975FE" w:rsidRPr="00CD3EF4">
          <w:rPr>
            <w:rStyle w:val="Hipercze"/>
            <w:bCs/>
            <w:noProof/>
            <w:lang w:val="en-US"/>
          </w:rPr>
          <w:t>Dostępność łóżek w szpitalach ogólnych w przeliczeniu na 1 mieszkańca w latach 2013 i 2019</w:t>
        </w:r>
        <w:r w:rsidR="006975FE">
          <w:rPr>
            <w:noProof/>
            <w:webHidden/>
          </w:rPr>
          <w:tab/>
        </w:r>
        <w:r w:rsidR="006975FE">
          <w:rPr>
            <w:noProof/>
            <w:webHidden/>
          </w:rPr>
          <w:fldChar w:fldCharType="begin"/>
        </w:r>
        <w:r w:rsidR="006975FE">
          <w:rPr>
            <w:noProof/>
            <w:webHidden/>
          </w:rPr>
          <w:instrText xml:space="preserve"> PAGEREF _Toc73516148 \h </w:instrText>
        </w:r>
        <w:r w:rsidR="006975FE">
          <w:rPr>
            <w:noProof/>
            <w:webHidden/>
          </w:rPr>
        </w:r>
        <w:r w:rsidR="006975FE">
          <w:rPr>
            <w:noProof/>
            <w:webHidden/>
          </w:rPr>
          <w:fldChar w:fldCharType="separate"/>
        </w:r>
        <w:r w:rsidR="00AD58C3">
          <w:rPr>
            <w:noProof/>
            <w:webHidden/>
          </w:rPr>
          <w:t>115</w:t>
        </w:r>
        <w:r w:rsidR="006975FE">
          <w:rPr>
            <w:noProof/>
            <w:webHidden/>
          </w:rPr>
          <w:fldChar w:fldCharType="end"/>
        </w:r>
      </w:hyperlink>
    </w:p>
    <w:p w14:paraId="05549CA6" w14:textId="2DC6FD44" w:rsidR="006975FE" w:rsidRDefault="00D22FE8">
      <w:pPr>
        <w:pStyle w:val="Spisilustracji"/>
        <w:tabs>
          <w:tab w:val="right" w:leader="dot" w:pos="9062"/>
        </w:tabs>
        <w:rPr>
          <w:rFonts w:eastAsiaTheme="minorEastAsia"/>
          <w:noProof/>
          <w:lang w:eastAsia="pl-PL"/>
        </w:rPr>
      </w:pPr>
      <w:hyperlink w:anchor="_Toc73516149" w:history="1">
        <w:r w:rsidR="006975FE" w:rsidRPr="00CD3EF4">
          <w:rPr>
            <w:rStyle w:val="Hipercze"/>
            <w:noProof/>
          </w:rPr>
          <w:t xml:space="preserve">Wykres 88. </w:t>
        </w:r>
        <w:r w:rsidR="006975FE" w:rsidRPr="00CD3EF4">
          <w:rPr>
            <w:rStyle w:val="Hipercze"/>
            <w:bCs/>
            <w:noProof/>
            <w:lang w:val="en-US"/>
          </w:rPr>
          <w:t>Personel medyczny na 10 tys</w:t>
        </w:r>
        <w:r w:rsidR="006975FE" w:rsidRPr="00CD3EF4">
          <w:rPr>
            <w:rStyle w:val="Hipercze"/>
            <w:bCs/>
            <w:noProof/>
          </w:rPr>
          <w:t>.</w:t>
        </w:r>
        <w:r w:rsidR="006975FE" w:rsidRPr="00CD3EF4">
          <w:rPr>
            <w:rStyle w:val="Hipercze"/>
            <w:bCs/>
            <w:noProof/>
            <w:lang w:val="en-US"/>
          </w:rPr>
          <w:t xml:space="preserve"> ludności w </w:t>
        </w:r>
        <w:r w:rsidR="006975FE" w:rsidRPr="00CD3EF4">
          <w:rPr>
            <w:rStyle w:val="Hipercze"/>
            <w:bCs/>
            <w:noProof/>
          </w:rPr>
          <w:t xml:space="preserve">roku </w:t>
        </w:r>
        <w:r w:rsidR="006975FE" w:rsidRPr="00CD3EF4">
          <w:rPr>
            <w:rStyle w:val="Hipercze"/>
            <w:bCs/>
            <w:noProof/>
            <w:lang w:val="en-US"/>
          </w:rPr>
          <w:t>2019</w:t>
        </w:r>
        <w:r w:rsidR="006975FE">
          <w:rPr>
            <w:noProof/>
            <w:webHidden/>
          </w:rPr>
          <w:tab/>
        </w:r>
        <w:r w:rsidR="006975FE">
          <w:rPr>
            <w:noProof/>
            <w:webHidden/>
          </w:rPr>
          <w:fldChar w:fldCharType="begin"/>
        </w:r>
        <w:r w:rsidR="006975FE">
          <w:rPr>
            <w:noProof/>
            <w:webHidden/>
          </w:rPr>
          <w:instrText xml:space="preserve"> PAGEREF _Toc73516149 \h </w:instrText>
        </w:r>
        <w:r w:rsidR="006975FE">
          <w:rPr>
            <w:noProof/>
            <w:webHidden/>
          </w:rPr>
        </w:r>
        <w:r w:rsidR="006975FE">
          <w:rPr>
            <w:noProof/>
            <w:webHidden/>
          </w:rPr>
          <w:fldChar w:fldCharType="separate"/>
        </w:r>
        <w:r w:rsidR="00AD58C3">
          <w:rPr>
            <w:noProof/>
            <w:webHidden/>
          </w:rPr>
          <w:t>115</w:t>
        </w:r>
        <w:r w:rsidR="006975FE">
          <w:rPr>
            <w:noProof/>
            <w:webHidden/>
          </w:rPr>
          <w:fldChar w:fldCharType="end"/>
        </w:r>
      </w:hyperlink>
    </w:p>
    <w:p w14:paraId="1A0A34EB" w14:textId="76D1BD67" w:rsidR="006975FE" w:rsidRDefault="00D22FE8">
      <w:pPr>
        <w:pStyle w:val="Spisilustracji"/>
        <w:tabs>
          <w:tab w:val="right" w:leader="dot" w:pos="9062"/>
        </w:tabs>
        <w:rPr>
          <w:rFonts w:eastAsiaTheme="minorEastAsia"/>
          <w:noProof/>
          <w:lang w:eastAsia="pl-PL"/>
        </w:rPr>
      </w:pPr>
      <w:hyperlink w:anchor="_Toc73516150" w:history="1">
        <w:r w:rsidR="006975FE" w:rsidRPr="00CD3EF4">
          <w:rPr>
            <w:rStyle w:val="Hipercze"/>
            <w:noProof/>
          </w:rPr>
          <w:t xml:space="preserve">Wykres 89. </w:t>
        </w:r>
        <w:r w:rsidR="006975FE" w:rsidRPr="00CD3EF4">
          <w:rPr>
            <w:rStyle w:val="Hipercze"/>
            <w:bCs/>
            <w:noProof/>
          </w:rPr>
          <w:t>Lekarze na 10 tys. ludności w latach 2013-2019</w:t>
        </w:r>
        <w:r w:rsidR="006975FE">
          <w:rPr>
            <w:noProof/>
            <w:webHidden/>
          </w:rPr>
          <w:tab/>
        </w:r>
        <w:r w:rsidR="006975FE">
          <w:rPr>
            <w:noProof/>
            <w:webHidden/>
          </w:rPr>
          <w:fldChar w:fldCharType="begin"/>
        </w:r>
        <w:r w:rsidR="006975FE">
          <w:rPr>
            <w:noProof/>
            <w:webHidden/>
          </w:rPr>
          <w:instrText xml:space="preserve"> PAGEREF _Toc73516150 \h </w:instrText>
        </w:r>
        <w:r w:rsidR="006975FE">
          <w:rPr>
            <w:noProof/>
            <w:webHidden/>
          </w:rPr>
        </w:r>
        <w:r w:rsidR="006975FE">
          <w:rPr>
            <w:noProof/>
            <w:webHidden/>
          </w:rPr>
          <w:fldChar w:fldCharType="separate"/>
        </w:r>
        <w:r w:rsidR="00AD58C3">
          <w:rPr>
            <w:noProof/>
            <w:webHidden/>
          </w:rPr>
          <w:t>116</w:t>
        </w:r>
        <w:r w:rsidR="006975FE">
          <w:rPr>
            <w:noProof/>
            <w:webHidden/>
          </w:rPr>
          <w:fldChar w:fldCharType="end"/>
        </w:r>
      </w:hyperlink>
    </w:p>
    <w:p w14:paraId="149CE015" w14:textId="537CB9AF" w:rsidR="006975FE" w:rsidRDefault="00D22FE8">
      <w:pPr>
        <w:pStyle w:val="Spisilustracji"/>
        <w:tabs>
          <w:tab w:val="right" w:leader="dot" w:pos="9062"/>
        </w:tabs>
        <w:rPr>
          <w:rFonts w:eastAsiaTheme="minorEastAsia"/>
          <w:noProof/>
          <w:lang w:eastAsia="pl-PL"/>
        </w:rPr>
      </w:pPr>
      <w:hyperlink w:anchor="_Toc73516151" w:history="1">
        <w:r w:rsidR="006975FE" w:rsidRPr="00CD3EF4">
          <w:rPr>
            <w:rStyle w:val="Hipercze"/>
            <w:noProof/>
          </w:rPr>
          <w:t xml:space="preserve">Wykres 90. </w:t>
        </w:r>
        <w:r w:rsidR="006975FE" w:rsidRPr="00CD3EF4">
          <w:rPr>
            <w:rStyle w:val="Hipercze"/>
            <w:bCs/>
            <w:noProof/>
            <w:lang w:val="en-US"/>
          </w:rPr>
          <w:t>Pielęgniarki i położne na 10 tys</w:t>
        </w:r>
        <w:r w:rsidR="006975FE" w:rsidRPr="00CD3EF4">
          <w:rPr>
            <w:rStyle w:val="Hipercze"/>
            <w:bCs/>
            <w:noProof/>
          </w:rPr>
          <w:t>.</w:t>
        </w:r>
        <w:r w:rsidR="006975FE" w:rsidRPr="00CD3EF4">
          <w:rPr>
            <w:rStyle w:val="Hipercze"/>
            <w:bCs/>
            <w:noProof/>
            <w:lang w:val="en-US"/>
          </w:rPr>
          <w:t xml:space="preserve"> ludności w latach 2013-2019</w:t>
        </w:r>
        <w:r w:rsidR="006975FE">
          <w:rPr>
            <w:noProof/>
            <w:webHidden/>
          </w:rPr>
          <w:tab/>
        </w:r>
        <w:r w:rsidR="006975FE">
          <w:rPr>
            <w:noProof/>
            <w:webHidden/>
          </w:rPr>
          <w:fldChar w:fldCharType="begin"/>
        </w:r>
        <w:r w:rsidR="006975FE">
          <w:rPr>
            <w:noProof/>
            <w:webHidden/>
          </w:rPr>
          <w:instrText xml:space="preserve"> PAGEREF _Toc73516151 \h </w:instrText>
        </w:r>
        <w:r w:rsidR="006975FE">
          <w:rPr>
            <w:noProof/>
            <w:webHidden/>
          </w:rPr>
        </w:r>
        <w:r w:rsidR="006975FE">
          <w:rPr>
            <w:noProof/>
            <w:webHidden/>
          </w:rPr>
          <w:fldChar w:fldCharType="separate"/>
        </w:r>
        <w:r w:rsidR="00AD58C3">
          <w:rPr>
            <w:noProof/>
            <w:webHidden/>
          </w:rPr>
          <w:t>116</w:t>
        </w:r>
        <w:r w:rsidR="006975FE">
          <w:rPr>
            <w:noProof/>
            <w:webHidden/>
          </w:rPr>
          <w:fldChar w:fldCharType="end"/>
        </w:r>
      </w:hyperlink>
    </w:p>
    <w:p w14:paraId="614D4EC2" w14:textId="6CE80495" w:rsidR="006975FE" w:rsidRDefault="00D22FE8">
      <w:pPr>
        <w:pStyle w:val="Spisilustracji"/>
        <w:tabs>
          <w:tab w:val="right" w:leader="dot" w:pos="9062"/>
        </w:tabs>
        <w:rPr>
          <w:rFonts w:eastAsiaTheme="minorEastAsia"/>
          <w:noProof/>
          <w:lang w:eastAsia="pl-PL"/>
        </w:rPr>
      </w:pPr>
      <w:hyperlink w:anchor="_Toc73516152" w:history="1">
        <w:r w:rsidR="006975FE" w:rsidRPr="00CD3EF4">
          <w:rPr>
            <w:rStyle w:val="Hipercze"/>
            <w:noProof/>
          </w:rPr>
          <w:t xml:space="preserve">Wykres 91. </w:t>
        </w:r>
        <w:r w:rsidR="006975FE" w:rsidRPr="00CD3EF4">
          <w:rPr>
            <w:rStyle w:val="Hipercze"/>
            <w:bCs/>
            <w:noProof/>
          </w:rPr>
          <w:t>Absolwenci kierunku lekarskiego UWM w latach 2014-2019</w:t>
        </w:r>
        <w:r w:rsidR="006975FE">
          <w:rPr>
            <w:noProof/>
            <w:webHidden/>
          </w:rPr>
          <w:tab/>
        </w:r>
        <w:r w:rsidR="006975FE">
          <w:rPr>
            <w:noProof/>
            <w:webHidden/>
          </w:rPr>
          <w:fldChar w:fldCharType="begin"/>
        </w:r>
        <w:r w:rsidR="006975FE">
          <w:rPr>
            <w:noProof/>
            <w:webHidden/>
          </w:rPr>
          <w:instrText xml:space="preserve"> PAGEREF _Toc73516152 \h </w:instrText>
        </w:r>
        <w:r w:rsidR="006975FE">
          <w:rPr>
            <w:noProof/>
            <w:webHidden/>
          </w:rPr>
        </w:r>
        <w:r w:rsidR="006975FE">
          <w:rPr>
            <w:noProof/>
            <w:webHidden/>
          </w:rPr>
          <w:fldChar w:fldCharType="separate"/>
        </w:r>
        <w:r w:rsidR="00AD58C3">
          <w:rPr>
            <w:noProof/>
            <w:webHidden/>
          </w:rPr>
          <w:t>117</w:t>
        </w:r>
        <w:r w:rsidR="006975FE">
          <w:rPr>
            <w:noProof/>
            <w:webHidden/>
          </w:rPr>
          <w:fldChar w:fldCharType="end"/>
        </w:r>
      </w:hyperlink>
    </w:p>
    <w:p w14:paraId="6DD34D1A" w14:textId="7E5DF86F" w:rsidR="006975FE" w:rsidRDefault="00D22FE8">
      <w:pPr>
        <w:pStyle w:val="Spisilustracji"/>
        <w:tabs>
          <w:tab w:val="right" w:leader="dot" w:pos="9062"/>
        </w:tabs>
        <w:rPr>
          <w:rFonts w:eastAsiaTheme="minorEastAsia"/>
          <w:noProof/>
          <w:lang w:eastAsia="pl-PL"/>
        </w:rPr>
      </w:pPr>
      <w:hyperlink w:anchor="_Toc73516153" w:history="1">
        <w:r w:rsidR="006975FE" w:rsidRPr="00CD3EF4">
          <w:rPr>
            <w:rStyle w:val="Hipercze"/>
            <w:noProof/>
          </w:rPr>
          <w:t xml:space="preserve">Wykres 92. </w:t>
        </w:r>
        <w:r w:rsidR="006975FE" w:rsidRPr="00CD3EF4">
          <w:rPr>
            <w:rStyle w:val="Hipercze"/>
            <w:bCs/>
            <w:noProof/>
          </w:rPr>
          <w:t>Liczba absolwentów Szkoły Zdrowia Publicznego UWM w latach 2017-2019</w:t>
        </w:r>
        <w:r w:rsidR="006975FE">
          <w:rPr>
            <w:noProof/>
            <w:webHidden/>
          </w:rPr>
          <w:tab/>
        </w:r>
        <w:r w:rsidR="006975FE">
          <w:rPr>
            <w:noProof/>
            <w:webHidden/>
          </w:rPr>
          <w:fldChar w:fldCharType="begin"/>
        </w:r>
        <w:r w:rsidR="006975FE">
          <w:rPr>
            <w:noProof/>
            <w:webHidden/>
          </w:rPr>
          <w:instrText xml:space="preserve"> PAGEREF _Toc73516153 \h </w:instrText>
        </w:r>
        <w:r w:rsidR="006975FE">
          <w:rPr>
            <w:noProof/>
            <w:webHidden/>
          </w:rPr>
        </w:r>
        <w:r w:rsidR="006975FE">
          <w:rPr>
            <w:noProof/>
            <w:webHidden/>
          </w:rPr>
          <w:fldChar w:fldCharType="separate"/>
        </w:r>
        <w:r w:rsidR="00AD58C3">
          <w:rPr>
            <w:noProof/>
            <w:webHidden/>
          </w:rPr>
          <w:t>118</w:t>
        </w:r>
        <w:r w:rsidR="006975FE">
          <w:rPr>
            <w:noProof/>
            <w:webHidden/>
          </w:rPr>
          <w:fldChar w:fldCharType="end"/>
        </w:r>
      </w:hyperlink>
    </w:p>
    <w:p w14:paraId="5E41DC79" w14:textId="78F0944F" w:rsidR="006975FE" w:rsidRDefault="00D22FE8">
      <w:pPr>
        <w:pStyle w:val="Spisilustracji"/>
        <w:tabs>
          <w:tab w:val="right" w:leader="dot" w:pos="9062"/>
        </w:tabs>
        <w:rPr>
          <w:rFonts w:eastAsiaTheme="minorEastAsia"/>
          <w:noProof/>
          <w:lang w:eastAsia="pl-PL"/>
        </w:rPr>
      </w:pPr>
      <w:hyperlink w:anchor="_Toc73516154" w:history="1">
        <w:r w:rsidR="006975FE" w:rsidRPr="00CD3EF4">
          <w:rPr>
            <w:rStyle w:val="Hipercze"/>
            <w:noProof/>
          </w:rPr>
          <w:t xml:space="preserve">Wykres 93. </w:t>
        </w:r>
        <w:r w:rsidR="006975FE" w:rsidRPr="00CD3EF4">
          <w:rPr>
            <w:rStyle w:val="Hipercze"/>
            <w:bCs/>
            <w:noProof/>
          </w:rPr>
          <w:t>Placówki kultury w roku 2019</w:t>
        </w:r>
        <w:r w:rsidR="006975FE">
          <w:rPr>
            <w:noProof/>
            <w:webHidden/>
          </w:rPr>
          <w:tab/>
        </w:r>
        <w:r w:rsidR="006975FE">
          <w:rPr>
            <w:noProof/>
            <w:webHidden/>
          </w:rPr>
          <w:fldChar w:fldCharType="begin"/>
        </w:r>
        <w:r w:rsidR="006975FE">
          <w:rPr>
            <w:noProof/>
            <w:webHidden/>
          </w:rPr>
          <w:instrText xml:space="preserve"> PAGEREF _Toc73516154 \h </w:instrText>
        </w:r>
        <w:r w:rsidR="006975FE">
          <w:rPr>
            <w:noProof/>
            <w:webHidden/>
          </w:rPr>
        </w:r>
        <w:r w:rsidR="006975FE">
          <w:rPr>
            <w:noProof/>
            <w:webHidden/>
          </w:rPr>
          <w:fldChar w:fldCharType="separate"/>
        </w:r>
        <w:r w:rsidR="00AD58C3">
          <w:rPr>
            <w:noProof/>
            <w:webHidden/>
          </w:rPr>
          <w:t>119</w:t>
        </w:r>
        <w:r w:rsidR="006975FE">
          <w:rPr>
            <w:noProof/>
            <w:webHidden/>
          </w:rPr>
          <w:fldChar w:fldCharType="end"/>
        </w:r>
      </w:hyperlink>
    </w:p>
    <w:p w14:paraId="1FB3FBE1" w14:textId="20B9E653" w:rsidR="006975FE" w:rsidRDefault="00D22FE8">
      <w:pPr>
        <w:pStyle w:val="Spisilustracji"/>
        <w:tabs>
          <w:tab w:val="right" w:leader="dot" w:pos="9062"/>
        </w:tabs>
        <w:rPr>
          <w:rFonts w:eastAsiaTheme="minorEastAsia"/>
          <w:noProof/>
          <w:lang w:eastAsia="pl-PL"/>
        </w:rPr>
      </w:pPr>
      <w:hyperlink w:anchor="_Toc73516155" w:history="1">
        <w:r w:rsidR="006975FE" w:rsidRPr="00CD3EF4">
          <w:rPr>
            <w:rStyle w:val="Hipercze"/>
            <w:noProof/>
          </w:rPr>
          <w:t xml:space="preserve">Wykres 94. </w:t>
        </w:r>
        <w:r w:rsidR="006975FE" w:rsidRPr="00CD3EF4">
          <w:rPr>
            <w:rStyle w:val="Hipercze"/>
            <w:bCs/>
            <w:noProof/>
          </w:rPr>
          <w:t>Korzystający z oferty kulturalnej w przeliczeniu na 1000 ludności w roku 2019</w:t>
        </w:r>
        <w:r w:rsidR="006975FE">
          <w:rPr>
            <w:noProof/>
            <w:webHidden/>
          </w:rPr>
          <w:tab/>
        </w:r>
        <w:r w:rsidR="006975FE">
          <w:rPr>
            <w:noProof/>
            <w:webHidden/>
          </w:rPr>
          <w:fldChar w:fldCharType="begin"/>
        </w:r>
        <w:r w:rsidR="006975FE">
          <w:rPr>
            <w:noProof/>
            <w:webHidden/>
          </w:rPr>
          <w:instrText xml:space="preserve"> PAGEREF _Toc73516155 \h </w:instrText>
        </w:r>
        <w:r w:rsidR="006975FE">
          <w:rPr>
            <w:noProof/>
            <w:webHidden/>
          </w:rPr>
        </w:r>
        <w:r w:rsidR="006975FE">
          <w:rPr>
            <w:noProof/>
            <w:webHidden/>
          </w:rPr>
          <w:fldChar w:fldCharType="separate"/>
        </w:r>
        <w:r w:rsidR="00AD58C3">
          <w:rPr>
            <w:noProof/>
            <w:webHidden/>
          </w:rPr>
          <w:t>122</w:t>
        </w:r>
        <w:r w:rsidR="006975FE">
          <w:rPr>
            <w:noProof/>
            <w:webHidden/>
          </w:rPr>
          <w:fldChar w:fldCharType="end"/>
        </w:r>
      </w:hyperlink>
    </w:p>
    <w:p w14:paraId="56D2AC1F" w14:textId="3972DCB4" w:rsidR="006975FE" w:rsidRDefault="00D22FE8">
      <w:pPr>
        <w:pStyle w:val="Spisilustracji"/>
        <w:tabs>
          <w:tab w:val="right" w:leader="dot" w:pos="9062"/>
        </w:tabs>
        <w:rPr>
          <w:rFonts w:eastAsiaTheme="minorEastAsia"/>
          <w:noProof/>
          <w:lang w:eastAsia="pl-PL"/>
        </w:rPr>
      </w:pPr>
      <w:hyperlink w:anchor="_Toc73516156" w:history="1">
        <w:r w:rsidR="006975FE" w:rsidRPr="00CD3EF4">
          <w:rPr>
            <w:rStyle w:val="Hipercze"/>
            <w:noProof/>
          </w:rPr>
          <w:t xml:space="preserve">Wykres 95. </w:t>
        </w:r>
        <w:r w:rsidR="006975FE" w:rsidRPr="00CD3EF4">
          <w:rPr>
            <w:rStyle w:val="Hipercze"/>
            <w:bCs/>
            <w:noProof/>
          </w:rPr>
          <w:t>Czytelnicy bibliotek publicznych na 1000 mieszkańców</w:t>
        </w:r>
        <w:r w:rsidR="006975FE" w:rsidRPr="00CD3EF4">
          <w:rPr>
            <w:rStyle w:val="Hipercze"/>
            <w:bCs/>
            <w:noProof/>
            <w:lang w:val="en-US"/>
          </w:rPr>
          <w:t xml:space="preserve"> w latach 2013 i 2019</w:t>
        </w:r>
        <w:r w:rsidR="006975FE">
          <w:rPr>
            <w:noProof/>
            <w:webHidden/>
          </w:rPr>
          <w:tab/>
        </w:r>
        <w:r w:rsidR="006975FE">
          <w:rPr>
            <w:noProof/>
            <w:webHidden/>
          </w:rPr>
          <w:fldChar w:fldCharType="begin"/>
        </w:r>
        <w:r w:rsidR="006975FE">
          <w:rPr>
            <w:noProof/>
            <w:webHidden/>
          </w:rPr>
          <w:instrText xml:space="preserve"> PAGEREF _Toc73516156 \h </w:instrText>
        </w:r>
        <w:r w:rsidR="006975FE">
          <w:rPr>
            <w:noProof/>
            <w:webHidden/>
          </w:rPr>
        </w:r>
        <w:r w:rsidR="006975FE">
          <w:rPr>
            <w:noProof/>
            <w:webHidden/>
          </w:rPr>
          <w:fldChar w:fldCharType="separate"/>
        </w:r>
        <w:r w:rsidR="00AD58C3">
          <w:rPr>
            <w:noProof/>
            <w:webHidden/>
          </w:rPr>
          <w:t>123</w:t>
        </w:r>
        <w:r w:rsidR="006975FE">
          <w:rPr>
            <w:noProof/>
            <w:webHidden/>
          </w:rPr>
          <w:fldChar w:fldCharType="end"/>
        </w:r>
      </w:hyperlink>
    </w:p>
    <w:p w14:paraId="6B2202BE" w14:textId="6D2C6F98" w:rsidR="006975FE" w:rsidRDefault="00D22FE8">
      <w:pPr>
        <w:pStyle w:val="Spisilustracji"/>
        <w:tabs>
          <w:tab w:val="right" w:leader="dot" w:pos="9062"/>
        </w:tabs>
        <w:rPr>
          <w:rFonts w:eastAsiaTheme="minorEastAsia"/>
          <w:noProof/>
          <w:lang w:eastAsia="pl-PL"/>
        </w:rPr>
      </w:pPr>
      <w:hyperlink w:anchor="_Toc73516157" w:history="1">
        <w:r w:rsidR="006975FE" w:rsidRPr="00CD3EF4">
          <w:rPr>
            <w:rStyle w:val="Hipercze"/>
            <w:noProof/>
          </w:rPr>
          <w:t xml:space="preserve">Wykres 96. </w:t>
        </w:r>
        <w:r w:rsidR="006975FE" w:rsidRPr="00CD3EF4">
          <w:rPr>
            <w:rStyle w:val="Hipercze"/>
            <w:bCs/>
            <w:noProof/>
            <w:lang w:val="en-US"/>
          </w:rPr>
          <w:t>Organizacje pozarządowe</w:t>
        </w:r>
        <w:r w:rsidR="006975FE" w:rsidRPr="00CD3EF4">
          <w:rPr>
            <w:rStyle w:val="Hipercze"/>
            <w:bCs/>
            <w:noProof/>
          </w:rPr>
          <w:t xml:space="preserve"> działające w obszarze kultury w przeliczeniu na 1000 mieszkańców w roku 2019</w:t>
        </w:r>
        <w:r w:rsidR="006975FE">
          <w:rPr>
            <w:noProof/>
            <w:webHidden/>
          </w:rPr>
          <w:tab/>
        </w:r>
        <w:r w:rsidR="006975FE">
          <w:rPr>
            <w:noProof/>
            <w:webHidden/>
          </w:rPr>
          <w:fldChar w:fldCharType="begin"/>
        </w:r>
        <w:r w:rsidR="006975FE">
          <w:rPr>
            <w:noProof/>
            <w:webHidden/>
          </w:rPr>
          <w:instrText xml:space="preserve"> PAGEREF _Toc73516157 \h </w:instrText>
        </w:r>
        <w:r w:rsidR="006975FE">
          <w:rPr>
            <w:noProof/>
            <w:webHidden/>
          </w:rPr>
        </w:r>
        <w:r w:rsidR="006975FE">
          <w:rPr>
            <w:noProof/>
            <w:webHidden/>
          </w:rPr>
          <w:fldChar w:fldCharType="separate"/>
        </w:r>
        <w:r w:rsidR="00AD58C3">
          <w:rPr>
            <w:noProof/>
            <w:webHidden/>
          </w:rPr>
          <w:t>124</w:t>
        </w:r>
        <w:r w:rsidR="006975FE">
          <w:rPr>
            <w:noProof/>
            <w:webHidden/>
          </w:rPr>
          <w:fldChar w:fldCharType="end"/>
        </w:r>
      </w:hyperlink>
    </w:p>
    <w:p w14:paraId="12D018EE" w14:textId="1CD89A6E" w:rsidR="006975FE" w:rsidRDefault="00D22FE8">
      <w:pPr>
        <w:pStyle w:val="Spisilustracji"/>
        <w:tabs>
          <w:tab w:val="right" w:leader="dot" w:pos="9062"/>
        </w:tabs>
        <w:rPr>
          <w:rFonts w:eastAsiaTheme="minorEastAsia"/>
          <w:noProof/>
          <w:lang w:eastAsia="pl-PL"/>
        </w:rPr>
      </w:pPr>
      <w:hyperlink w:anchor="_Toc73516158" w:history="1">
        <w:r w:rsidR="006975FE" w:rsidRPr="00CD3EF4">
          <w:rPr>
            <w:rStyle w:val="Hipercze"/>
            <w:noProof/>
          </w:rPr>
          <w:t xml:space="preserve">Wykres 97. </w:t>
        </w:r>
        <w:r w:rsidR="006975FE" w:rsidRPr="00CD3EF4">
          <w:rPr>
            <w:rStyle w:val="Hipercze"/>
            <w:bCs/>
            <w:noProof/>
            <w:lang w:val="en-US"/>
          </w:rPr>
          <w:t>Obiekty sportowe w latach 2014 i 2018</w:t>
        </w:r>
        <w:r w:rsidR="006975FE">
          <w:rPr>
            <w:noProof/>
            <w:webHidden/>
          </w:rPr>
          <w:tab/>
        </w:r>
        <w:r w:rsidR="006975FE">
          <w:rPr>
            <w:noProof/>
            <w:webHidden/>
          </w:rPr>
          <w:fldChar w:fldCharType="begin"/>
        </w:r>
        <w:r w:rsidR="006975FE">
          <w:rPr>
            <w:noProof/>
            <w:webHidden/>
          </w:rPr>
          <w:instrText xml:space="preserve"> PAGEREF _Toc73516158 \h </w:instrText>
        </w:r>
        <w:r w:rsidR="006975FE">
          <w:rPr>
            <w:noProof/>
            <w:webHidden/>
          </w:rPr>
        </w:r>
        <w:r w:rsidR="006975FE">
          <w:rPr>
            <w:noProof/>
            <w:webHidden/>
          </w:rPr>
          <w:fldChar w:fldCharType="separate"/>
        </w:r>
        <w:r w:rsidR="00AD58C3">
          <w:rPr>
            <w:noProof/>
            <w:webHidden/>
          </w:rPr>
          <w:t>125</w:t>
        </w:r>
        <w:r w:rsidR="006975FE">
          <w:rPr>
            <w:noProof/>
            <w:webHidden/>
          </w:rPr>
          <w:fldChar w:fldCharType="end"/>
        </w:r>
      </w:hyperlink>
    </w:p>
    <w:p w14:paraId="54591722" w14:textId="422F17EF" w:rsidR="006975FE" w:rsidRDefault="00D22FE8">
      <w:pPr>
        <w:pStyle w:val="Spisilustracji"/>
        <w:tabs>
          <w:tab w:val="right" w:leader="dot" w:pos="9062"/>
        </w:tabs>
        <w:rPr>
          <w:rFonts w:eastAsiaTheme="minorEastAsia"/>
          <w:noProof/>
          <w:lang w:eastAsia="pl-PL"/>
        </w:rPr>
      </w:pPr>
      <w:hyperlink w:anchor="_Toc73516159" w:history="1">
        <w:r w:rsidR="006975FE" w:rsidRPr="00CD3EF4">
          <w:rPr>
            <w:rStyle w:val="Hipercze"/>
            <w:noProof/>
          </w:rPr>
          <w:t xml:space="preserve">Wykres 98. </w:t>
        </w:r>
        <w:r w:rsidR="006975FE" w:rsidRPr="00CD3EF4">
          <w:rPr>
            <w:rStyle w:val="Hipercze"/>
            <w:bCs/>
            <w:noProof/>
          </w:rPr>
          <w:t>Kluby sportowe w latach 2014-2018</w:t>
        </w:r>
        <w:r w:rsidR="006975FE">
          <w:rPr>
            <w:noProof/>
            <w:webHidden/>
          </w:rPr>
          <w:tab/>
        </w:r>
        <w:r w:rsidR="006975FE">
          <w:rPr>
            <w:noProof/>
            <w:webHidden/>
          </w:rPr>
          <w:fldChar w:fldCharType="begin"/>
        </w:r>
        <w:r w:rsidR="006975FE">
          <w:rPr>
            <w:noProof/>
            <w:webHidden/>
          </w:rPr>
          <w:instrText xml:space="preserve"> PAGEREF _Toc73516159 \h </w:instrText>
        </w:r>
        <w:r w:rsidR="006975FE">
          <w:rPr>
            <w:noProof/>
            <w:webHidden/>
          </w:rPr>
        </w:r>
        <w:r w:rsidR="006975FE">
          <w:rPr>
            <w:noProof/>
            <w:webHidden/>
          </w:rPr>
          <w:fldChar w:fldCharType="separate"/>
        </w:r>
        <w:r w:rsidR="00AD58C3">
          <w:rPr>
            <w:noProof/>
            <w:webHidden/>
          </w:rPr>
          <w:t>125</w:t>
        </w:r>
        <w:r w:rsidR="006975FE">
          <w:rPr>
            <w:noProof/>
            <w:webHidden/>
          </w:rPr>
          <w:fldChar w:fldCharType="end"/>
        </w:r>
      </w:hyperlink>
    </w:p>
    <w:p w14:paraId="78D967C9" w14:textId="185A8410" w:rsidR="006975FE" w:rsidRDefault="00D22FE8">
      <w:pPr>
        <w:pStyle w:val="Spisilustracji"/>
        <w:tabs>
          <w:tab w:val="right" w:leader="dot" w:pos="9062"/>
        </w:tabs>
        <w:rPr>
          <w:rFonts w:eastAsiaTheme="minorEastAsia"/>
          <w:noProof/>
          <w:lang w:eastAsia="pl-PL"/>
        </w:rPr>
      </w:pPr>
      <w:hyperlink w:anchor="_Toc73516160" w:history="1">
        <w:r w:rsidR="006975FE" w:rsidRPr="00CD3EF4">
          <w:rPr>
            <w:rStyle w:val="Hipercze"/>
            <w:noProof/>
          </w:rPr>
          <w:t xml:space="preserve">Wykres 99. </w:t>
        </w:r>
        <w:r w:rsidR="006975FE" w:rsidRPr="00CD3EF4">
          <w:rPr>
            <w:rStyle w:val="Hipercze"/>
            <w:bCs/>
            <w:noProof/>
            <w:lang w:val="en-US"/>
          </w:rPr>
          <w:t xml:space="preserve">Zmiany </w:t>
        </w:r>
        <w:r w:rsidR="006975FE" w:rsidRPr="00CD3EF4">
          <w:rPr>
            <w:rStyle w:val="Hipercze"/>
            <w:bCs/>
            <w:noProof/>
          </w:rPr>
          <w:t>stanu</w:t>
        </w:r>
        <w:r w:rsidR="006975FE" w:rsidRPr="00CD3EF4">
          <w:rPr>
            <w:rStyle w:val="Hipercze"/>
            <w:bCs/>
            <w:noProof/>
            <w:lang w:val="en-US"/>
          </w:rPr>
          <w:t xml:space="preserve"> dróg </w:t>
        </w:r>
        <w:r w:rsidR="006975FE" w:rsidRPr="00CD3EF4">
          <w:rPr>
            <w:rStyle w:val="Hipercze"/>
            <w:bCs/>
            <w:noProof/>
          </w:rPr>
          <w:t xml:space="preserve">gminnych w Olsztynie </w:t>
        </w:r>
        <w:r w:rsidR="006975FE" w:rsidRPr="00CD3EF4">
          <w:rPr>
            <w:rStyle w:val="Hipercze"/>
            <w:bCs/>
            <w:noProof/>
            <w:lang w:val="en-US"/>
          </w:rPr>
          <w:t>w latach 2013 i 2019</w:t>
        </w:r>
        <w:r w:rsidR="006975FE" w:rsidRPr="00CD3EF4">
          <w:rPr>
            <w:rStyle w:val="Hipercze"/>
            <w:bCs/>
            <w:noProof/>
          </w:rPr>
          <w:t xml:space="preserve"> (km)</w:t>
        </w:r>
        <w:r w:rsidR="006975FE">
          <w:rPr>
            <w:noProof/>
            <w:webHidden/>
          </w:rPr>
          <w:tab/>
        </w:r>
        <w:r w:rsidR="006975FE">
          <w:rPr>
            <w:noProof/>
            <w:webHidden/>
          </w:rPr>
          <w:fldChar w:fldCharType="begin"/>
        </w:r>
        <w:r w:rsidR="006975FE">
          <w:rPr>
            <w:noProof/>
            <w:webHidden/>
          </w:rPr>
          <w:instrText xml:space="preserve"> PAGEREF _Toc73516160 \h </w:instrText>
        </w:r>
        <w:r w:rsidR="006975FE">
          <w:rPr>
            <w:noProof/>
            <w:webHidden/>
          </w:rPr>
        </w:r>
        <w:r w:rsidR="006975FE">
          <w:rPr>
            <w:noProof/>
            <w:webHidden/>
          </w:rPr>
          <w:fldChar w:fldCharType="separate"/>
        </w:r>
        <w:r w:rsidR="00AD58C3">
          <w:rPr>
            <w:noProof/>
            <w:webHidden/>
          </w:rPr>
          <w:t>130</w:t>
        </w:r>
        <w:r w:rsidR="006975FE">
          <w:rPr>
            <w:noProof/>
            <w:webHidden/>
          </w:rPr>
          <w:fldChar w:fldCharType="end"/>
        </w:r>
      </w:hyperlink>
    </w:p>
    <w:p w14:paraId="476F9490" w14:textId="1DAFABF6" w:rsidR="006975FE" w:rsidRDefault="00D22FE8">
      <w:pPr>
        <w:pStyle w:val="Spisilustracji"/>
        <w:tabs>
          <w:tab w:val="right" w:leader="dot" w:pos="9062"/>
        </w:tabs>
        <w:rPr>
          <w:rFonts w:eastAsiaTheme="minorEastAsia"/>
          <w:noProof/>
          <w:lang w:eastAsia="pl-PL"/>
        </w:rPr>
      </w:pPr>
      <w:hyperlink w:anchor="_Toc73516161" w:history="1">
        <w:r w:rsidR="006975FE" w:rsidRPr="00CD3EF4">
          <w:rPr>
            <w:rStyle w:val="Hipercze"/>
            <w:noProof/>
          </w:rPr>
          <w:t>Wykres 100. Wiek taboru autobusowego w Olsztynie</w:t>
        </w:r>
        <w:r w:rsidR="006975FE">
          <w:rPr>
            <w:noProof/>
            <w:webHidden/>
          </w:rPr>
          <w:tab/>
        </w:r>
        <w:r w:rsidR="006975FE">
          <w:rPr>
            <w:noProof/>
            <w:webHidden/>
          </w:rPr>
          <w:fldChar w:fldCharType="begin"/>
        </w:r>
        <w:r w:rsidR="006975FE">
          <w:rPr>
            <w:noProof/>
            <w:webHidden/>
          </w:rPr>
          <w:instrText xml:space="preserve"> PAGEREF _Toc73516161 \h </w:instrText>
        </w:r>
        <w:r w:rsidR="006975FE">
          <w:rPr>
            <w:noProof/>
            <w:webHidden/>
          </w:rPr>
        </w:r>
        <w:r w:rsidR="006975FE">
          <w:rPr>
            <w:noProof/>
            <w:webHidden/>
          </w:rPr>
          <w:fldChar w:fldCharType="separate"/>
        </w:r>
        <w:r w:rsidR="00AD58C3">
          <w:rPr>
            <w:noProof/>
            <w:webHidden/>
          </w:rPr>
          <w:t>131</w:t>
        </w:r>
        <w:r w:rsidR="006975FE">
          <w:rPr>
            <w:noProof/>
            <w:webHidden/>
          </w:rPr>
          <w:fldChar w:fldCharType="end"/>
        </w:r>
      </w:hyperlink>
    </w:p>
    <w:p w14:paraId="1EA32C9C" w14:textId="6D029FE8" w:rsidR="006975FE" w:rsidRDefault="00D22FE8">
      <w:pPr>
        <w:pStyle w:val="Spisilustracji"/>
        <w:tabs>
          <w:tab w:val="right" w:leader="dot" w:pos="9062"/>
        </w:tabs>
        <w:rPr>
          <w:rFonts w:eastAsiaTheme="minorEastAsia"/>
          <w:noProof/>
          <w:lang w:eastAsia="pl-PL"/>
        </w:rPr>
      </w:pPr>
      <w:hyperlink w:anchor="_Toc73516162" w:history="1">
        <w:r w:rsidR="006975FE" w:rsidRPr="00CD3EF4">
          <w:rPr>
            <w:rStyle w:val="Hipercze"/>
            <w:noProof/>
          </w:rPr>
          <w:t xml:space="preserve">Wykres 101. </w:t>
        </w:r>
        <w:r w:rsidR="006975FE" w:rsidRPr="00CD3EF4">
          <w:rPr>
            <w:rStyle w:val="Hipercze"/>
            <w:bCs/>
            <w:noProof/>
          </w:rPr>
          <w:t>Dynamika liczby podróży w komunikacji miejskiej Olsztyna w latach 2014-2018</w:t>
        </w:r>
        <w:r w:rsidR="006975FE">
          <w:rPr>
            <w:noProof/>
            <w:webHidden/>
          </w:rPr>
          <w:tab/>
        </w:r>
        <w:r w:rsidR="006975FE">
          <w:rPr>
            <w:noProof/>
            <w:webHidden/>
          </w:rPr>
          <w:fldChar w:fldCharType="begin"/>
        </w:r>
        <w:r w:rsidR="006975FE">
          <w:rPr>
            <w:noProof/>
            <w:webHidden/>
          </w:rPr>
          <w:instrText xml:space="preserve"> PAGEREF _Toc73516162 \h </w:instrText>
        </w:r>
        <w:r w:rsidR="006975FE">
          <w:rPr>
            <w:noProof/>
            <w:webHidden/>
          </w:rPr>
        </w:r>
        <w:r w:rsidR="006975FE">
          <w:rPr>
            <w:noProof/>
            <w:webHidden/>
          </w:rPr>
          <w:fldChar w:fldCharType="separate"/>
        </w:r>
        <w:r w:rsidR="00AD58C3">
          <w:rPr>
            <w:noProof/>
            <w:webHidden/>
          </w:rPr>
          <w:t>133</w:t>
        </w:r>
        <w:r w:rsidR="006975FE">
          <w:rPr>
            <w:noProof/>
            <w:webHidden/>
          </w:rPr>
          <w:fldChar w:fldCharType="end"/>
        </w:r>
      </w:hyperlink>
    </w:p>
    <w:p w14:paraId="74F31D68" w14:textId="36041FD6" w:rsidR="006975FE" w:rsidRDefault="00D22FE8">
      <w:pPr>
        <w:pStyle w:val="Spisilustracji"/>
        <w:tabs>
          <w:tab w:val="right" w:leader="dot" w:pos="9062"/>
        </w:tabs>
        <w:rPr>
          <w:rFonts w:eastAsiaTheme="minorEastAsia"/>
          <w:noProof/>
          <w:lang w:eastAsia="pl-PL"/>
        </w:rPr>
      </w:pPr>
      <w:hyperlink w:anchor="_Toc73516163" w:history="1">
        <w:r w:rsidR="006975FE" w:rsidRPr="00CD3EF4">
          <w:rPr>
            <w:rStyle w:val="Hipercze"/>
            <w:noProof/>
          </w:rPr>
          <w:t xml:space="preserve">Wykres 102. </w:t>
        </w:r>
        <w:r w:rsidR="006975FE" w:rsidRPr="00CD3EF4">
          <w:rPr>
            <w:rStyle w:val="Hipercze"/>
            <w:bCs/>
            <w:noProof/>
            <w:lang w:val="en-US"/>
          </w:rPr>
          <w:t>Pojazdy samochodowe i ciągniki na 1000 ludności w latach 2013 i 2019</w:t>
        </w:r>
        <w:r w:rsidR="006975FE">
          <w:rPr>
            <w:noProof/>
            <w:webHidden/>
          </w:rPr>
          <w:tab/>
        </w:r>
        <w:r w:rsidR="006975FE">
          <w:rPr>
            <w:noProof/>
            <w:webHidden/>
          </w:rPr>
          <w:fldChar w:fldCharType="begin"/>
        </w:r>
        <w:r w:rsidR="006975FE">
          <w:rPr>
            <w:noProof/>
            <w:webHidden/>
          </w:rPr>
          <w:instrText xml:space="preserve"> PAGEREF _Toc73516163 \h </w:instrText>
        </w:r>
        <w:r w:rsidR="006975FE">
          <w:rPr>
            <w:noProof/>
            <w:webHidden/>
          </w:rPr>
        </w:r>
        <w:r w:rsidR="006975FE">
          <w:rPr>
            <w:noProof/>
            <w:webHidden/>
          </w:rPr>
          <w:fldChar w:fldCharType="separate"/>
        </w:r>
        <w:r w:rsidR="00AD58C3">
          <w:rPr>
            <w:noProof/>
            <w:webHidden/>
          </w:rPr>
          <w:t>134</w:t>
        </w:r>
        <w:r w:rsidR="006975FE">
          <w:rPr>
            <w:noProof/>
            <w:webHidden/>
          </w:rPr>
          <w:fldChar w:fldCharType="end"/>
        </w:r>
      </w:hyperlink>
    </w:p>
    <w:p w14:paraId="2DBC1C96" w14:textId="3714A2BB" w:rsidR="006975FE" w:rsidRDefault="00D22FE8">
      <w:pPr>
        <w:pStyle w:val="Spisilustracji"/>
        <w:tabs>
          <w:tab w:val="right" w:leader="dot" w:pos="9062"/>
        </w:tabs>
        <w:rPr>
          <w:rFonts w:eastAsiaTheme="minorEastAsia"/>
          <w:noProof/>
          <w:lang w:eastAsia="pl-PL"/>
        </w:rPr>
      </w:pPr>
      <w:hyperlink w:anchor="_Toc73516164" w:history="1">
        <w:r w:rsidR="006975FE" w:rsidRPr="00CD3EF4">
          <w:rPr>
            <w:rStyle w:val="Hipercze"/>
            <w:noProof/>
          </w:rPr>
          <w:t xml:space="preserve">Wykres 103. </w:t>
        </w:r>
        <w:r w:rsidR="006975FE" w:rsidRPr="00CD3EF4">
          <w:rPr>
            <w:rStyle w:val="Hipercze"/>
            <w:bCs/>
            <w:noProof/>
          </w:rPr>
          <w:t>Pojazdy samochodowe w przeliczeniu na 1000 mieszkańców w Olsztynie</w:t>
        </w:r>
        <w:r w:rsidR="006975FE">
          <w:rPr>
            <w:noProof/>
            <w:webHidden/>
          </w:rPr>
          <w:tab/>
        </w:r>
        <w:r w:rsidR="006975FE">
          <w:rPr>
            <w:noProof/>
            <w:webHidden/>
          </w:rPr>
          <w:fldChar w:fldCharType="begin"/>
        </w:r>
        <w:r w:rsidR="006975FE">
          <w:rPr>
            <w:noProof/>
            <w:webHidden/>
          </w:rPr>
          <w:instrText xml:space="preserve"> PAGEREF _Toc73516164 \h </w:instrText>
        </w:r>
        <w:r w:rsidR="006975FE">
          <w:rPr>
            <w:noProof/>
            <w:webHidden/>
          </w:rPr>
        </w:r>
        <w:r w:rsidR="006975FE">
          <w:rPr>
            <w:noProof/>
            <w:webHidden/>
          </w:rPr>
          <w:fldChar w:fldCharType="separate"/>
        </w:r>
        <w:r w:rsidR="00AD58C3">
          <w:rPr>
            <w:noProof/>
            <w:webHidden/>
          </w:rPr>
          <w:t>134</w:t>
        </w:r>
        <w:r w:rsidR="006975FE">
          <w:rPr>
            <w:noProof/>
            <w:webHidden/>
          </w:rPr>
          <w:fldChar w:fldCharType="end"/>
        </w:r>
      </w:hyperlink>
    </w:p>
    <w:p w14:paraId="24A17F6F" w14:textId="5F053F7A" w:rsidR="006975FE" w:rsidRDefault="00D22FE8">
      <w:pPr>
        <w:pStyle w:val="Spisilustracji"/>
        <w:tabs>
          <w:tab w:val="right" w:leader="dot" w:pos="9062"/>
        </w:tabs>
        <w:rPr>
          <w:rFonts w:eastAsiaTheme="minorEastAsia"/>
          <w:noProof/>
          <w:lang w:eastAsia="pl-PL"/>
        </w:rPr>
      </w:pPr>
      <w:hyperlink w:anchor="_Toc73516165" w:history="1">
        <w:r w:rsidR="006975FE" w:rsidRPr="00CD3EF4">
          <w:rPr>
            <w:rStyle w:val="Hipercze"/>
            <w:noProof/>
          </w:rPr>
          <w:t xml:space="preserve">Wykres 104. </w:t>
        </w:r>
        <w:r w:rsidR="006975FE" w:rsidRPr="00CD3EF4">
          <w:rPr>
            <w:rStyle w:val="Hipercze"/>
            <w:bCs/>
            <w:noProof/>
            <w:lang w:val="en-US"/>
          </w:rPr>
          <w:t>Pojazdy samochodowe w przeliczeniu na 1000 mieszkańców w powiecie olsztyńskim</w:t>
        </w:r>
        <w:r w:rsidR="006975FE">
          <w:rPr>
            <w:noProof/>
            <w:webHidden/>
          </w:rPr>
          <w:tab/>
        </w:r>
        <w:r w:rsidR="006975FE">
          <w:rPr>
            <w:noProof/>
            <w:webHidden/>
          </w:rPr>
          <w:fldChar w:fldCharType="begin"/>
        </w:r>
        <w:r w:rsidR="006975FE">
          <w:rPr>
            <w:noProof/>
            <w:webHidden/>
          </w:rPr>
          <w:instrText xml:space="preserve"> PAGEREF _Toc73516165 \h </w:instrText>
        </w:r>
        <w:r w:rsidR="006975FE">
          <w:rPr>
            <w:noProof/>
            <w:webHidden/>
          </w:rPr>
        </w:r>
        <w:r w:rsidR="006975FE">
          <w:rPr>
            <w:noProof/>
            <w:webHidden/>
          </w:rPr>
          <w:fldChar w:fldCharType="separate"/>
        </w:r>
        <w:r w:rsidR="00AD58C3">
          <w:rPr>
            <w:noProof/>
            <w:webHidden/>
          </w:rPr>
          <w:t>135</w:t>
        </w:r>
        <w:r w:rsidR="006975FE">
          <w:rPr>
            <w:noProof/>
            <w:webHidden/>
          </w:rPr>
          <w:fldChar w:fldCharType="end"/>
        </w:r>
      </w:hyperlink>
    </w:p>
    <w:p w14:paraId="44AFFFC9" w14:textId="7B20CFD0" w:rsidR="006975FE" w:rsidRPr="00CC6C79" w:rsidRDefault="00306662" w:rsidP="00011195">
      <w:pPr>
        <w:pStyle w:val="Nagwek1"/>
        <w:rPr>
          <w:noProof/>
        </w:rPr>
      </w:pPr>
      <w:r>
        <w:rPr>
          <w:color w:val="FF0000"/>
        </w:rPr>
        <w:lastRenderedPageBreak/>
        <w:fldChar w:fldCharType="end"/>
      </w:r>
      <w:bookmarkStart w:id="330" w:name="_Toc73534962"/>
      <w:r w:rsidR="002F1741" w:rsidRPr="00CC6C79">
        <w:t>INDEKS RYSUNKÓW</w:t>
      </w:r>
      <w:bookmarkEnd w:id="330"/>
      <w:r w:rsidR="00C73174" w:rsidRPr="00CC6C79">
        <w:t xml:space="preserve"> </w:t>
      </w:r>
      <w:r w:rsidR="00C73174" w:rsidRPr="00024A3B">
        <w:fldChar w:fldCharType="begin"/>
      </w:r>
      <w:r w:rsidR="00C73174" w:rsidRPr="00CC6C79">
        <w:instrText xml:space="preserve"> TOC \h \z \c "Rysunek" </w:instrText>
      </w:r>
      <w:r w:rsidR="00C73174" w:rsidRPr="00024A3B">
        <w:fldChar w:fldCharType="separate"/>
      </w:r>
    </w:p>
    <w:p w14:paraId="7B64DD90" w14:textId="74C57BB8" w:rsidR="006975FE" w:rsidRDefault="00D22FE8">
      <w:pPr>
        <w:pStyle w:val="Spisilustracji"/>
        <w:tabs>
          <w:tab w:val="right" w:leader="dot" w:pos="9062"/>
        </w:tabs>
        <w:rPr>
          <w:rFonts w:eastAsiaTheme="minorEastAsia"/>
          <w:noProof/>
          <w:lang w:eastAsia="pl-PL"/>
        </w:rPr>
      </w:pPr>
      <w:hyperlink w:anchor="_Toc73516166" w:history="1">
        <w:r w:rsidR="006975FE" w:rsidRPr="00443638">
          <w:rPr>
            <w:rStyle w:val="Hipercze"/>
            <w:noProof/>
          </w:rPr>
          <w:t>Rysunek 1. Gęstość zaludnienia osiedli Olsztyna</w:t>
        </w:r>
        <w:r w:rsidR="006975FE">
          <w:rPr>
            <w:noProof/>
            <w:webHidden/>
          </w:rPr>
          <w:tab/>
        </w:r>
        <w:r w:rsidR="006975FE">
          <w:rPr>
            <w:noProof/>
            <w:webHidden/>
          </w:rPr>
          <w:fldChar w:fldCharType="begin"/>
        </w:r>
        <w:r w:rsidR="006975FE">
          <w:rPr>
            <w:noProof/>
            <w:webHidden/>
          </w:rPr>
          <w:instrText xml:space="preserve"> PAGEREF _Toc73516166 \h </w:instrText>
        </w:r>
        <w:r w:rsidR="006975FE">
          <w:rPr>
            <w:noProof/>
            <w:webHidden/>
          </w:rPr>
        </w:r>
        <w:r w:rsidR="006975FE">
          <w:rPr>
            <w:noProof/>
            <w:webHidden/>
          </w:rPr>
          <w:fldChar w:fldCharType="separate"/>
        </w:r>
        <w:r w:rsidR="00AD58C3">
          <w:rPr>
            <w:noProof/>
            <w:webHidden/>
          </w:rPr>
          <w:t>11</w:t>
        </w:r>
        <w:r w:rsidR="006975FE">
          <w:rPr>
            <w:noProof/>
            <w:webHidden/>
          </w:rPr>
          <w:fldChar w:fldCharType="end"/>
        </w:r>
      </w:hyperlink>
    </w:p>
    <w:p w14:paraId="6794CBC1" w14:textId="3D52855A" w:rsidR="006975FE" w:rsidRDefault="00D22FE8">
      <w:pPr>
        <w:pStyle w:val="Spisilustracji"/>
        <w:tabs>
          <w:tab w:val="right" w:leader="dot" w:pos="9062"/>
        </w:tabs>
        <w:rPr>
          <w:rFonts w:eastAsiaTheme="minorEastAsia"/>
          <w:noProof/>
          <w:lang w:eastAsia="pl-PL"/>
        </w:rPr>
      </w:pPr>
      <w:hyperlink w:anchor="_Toc73516167" w:history="1">
        <w:r w:rsidR="006975FE" w:rsidRPr="00443638">
          <w:rPr>
            <w:rStyle w:val="Hipercze"/>
            <w:noProof/>
          </w:rPr>
          <w:t>Rysunek 2. Mieszkańcy korzystający z pomocy społecznej z powodu ubóstwa na 1 tys. mieszkańców</w:t>
        </w:r>
        <w:r w:rsidR="006975FE">
          <w:rPr>
            <w:noProof/>
            <w:webHidden/>
          </w:rPr>
          <w:tab/>
        </w:r>
        <w:r w:rsidR="006975FE">
          <w:rPr>
            <w:noProof/>
            <w:webHidden/>
          </w:rPr>
          <w:fldChar w:fldCharType="begin"/>
        </w:r>
        <w:r w:rsidR="006975FE">
          <w:rPr>
            <w:noProof/>
            <w:webHidden/>
          </w:rPr>
          <w:instrText xml:space="preserve"> PAGEREF _Toc73516167 \h </w:instrText>
        </w:r>
        <w:r w:rsidR="006975FE">
          <w:rPr>
            <w:noProof/>
            <w:webHidden/>
          </w:rPr>
        </w:r>
        <w:r w:rsidR="006975FE">
          <w:rPr>
            <w:noProof/>
            <w:webHidden/>
          </w:rPr>
          <w:fldChar w:fldCharType="separate"/>
        </w:r>
        <w:r w:rsidR="00AD58C3">
          <w:rPr>
            <w:noProof/>
            <w:webHidden/>
          </w:rPr>
          <w:t>17</w:t>
        </w:r>
        <w:r w:rsidR="006975FE">
          <w:rPr>
            <w:noProof/>
            <w:webHidden/>
          </w:rPr>
          <w:fldChar w:fldCharType="end"/>
        </w:r>
      </w:hyperlink>
    </w:p>
    <w:p w14:paraId="5259A16D" w14:textId="29BFA0F4" w:rsidR="006975FE" w:rsidRDefault="00D22FE8">
      <w:pPr>
        <w:pStyle w:val="Spisilustracji"/>
        <w:tabs>
          <w:tab w:val="right" w:leader="dot" w:pos="9062"/>
        </w:tabs>
        <w:rPr>
          <w:rFonts w:eastAsiaTheme="minorEastAsia"/>
          <w:noProof/>
          <w:lang w:eastAsia="pl-PL"/>
        </w:rPr>
      </w:pPr>
      <w:hyperlink w:anchor="_Toc73516168" w:history="1">
        <w:r w:rsidR="006975FE" w:rsidRPr="00443638">
          <w:rPr>
            <w:rStyle w:val="Hipercze"/>
            <w:noProof/>
          </w:rPr>
          <w:t>Rysunek 3. Mieszkańcy Olsztyna korzystający z pomocy społecznej z powodu bezrobocia na 1 tys. ludności</w:t>
        </w:r>
        <w:r w:rsidR="006975FE">
          <w:rPr>
            <w:noProof/>
            <w:webHidden/>
          </w:rPr>
          <w:tab/>
        </w:r>
        <w:r w:rsidR="006975FE">
          <w:rPr>
            <w:noProof/>
            <w:webHidden/>
          </w:rPr>
          <w:fldChar w:fldCharType="begin"/>
        </w:r>
        <w:r w:rsidR="006975FE">
          <w:rPr>
            <w:noProof/>
            <w:webHidden/>
          </w:rPr>
          <w:instrText xml:space="preserve"> PAGEREF _Toc73516168 \h </w:instrText>
        </w:r>
        <w:r w:rsidR="006975FE">
          <w:rPr>
            <w:noProof/>
            <w:webHidden/>
          </w:rPr>
        </w:r>
        <w:r w:rsidR="006975FE">
          <w:rPr>
            <w:noProof/>
            <w:webHidden/>
          </w:rPr>
          <w:fldChar w:fldCharType="separate"/>
        </w:r>
        <w:r w:rsidR="00AD58C3">
          <w:rPr>
            <w:noProof/>
            <w:webHidden/>
          </w:rPr>
          <w:t>23</w:t>
        </w:r>
        <w:r w:rsidR="006975FE">
          <w:rPr>
            <w:noProof/>
            <w:webHidden/>
          </w:rPr>
          <w:fldChar w:fldCharType="end"/>
        </w:r>
      </w:hyperlink>
    </w:p>
    <w:p w14:paraId="5392A52B" w14:textId="6D24FEC0" w:rsidR="006975FE" w:rsidRDefault="00D22FE8">
      <w:pPr>
        <w:pStyle w:val="Spisilustracji"/>
        <w:tabs>
          <w:tab w:val="right" w:leader="dot" w:pos="9062"/>
        </w:tabs>
        <w:rPr>
          <w:rFonts w:eastAsiaTheme="minorEastAsia"/>
          <w:noProof/>
          <w:lang w:eastAsia="pl-PL"/>
        </w:rPr>
      </w:pPr>
      <w:hyperlink w:anchor="_Toc73516169" w:history="1">
        <w:r w:rsidR="006975FE" w:rsidRPr="00443638">
          <w:rPr>
            <w:rStyle w:val="Hipercze"/>
            <w:noProof/>
          </w:rPr>
          <w:t>Rysunek 4. Interwencje policji związane ze spożywaniem alkoholu w miejscach publicznych</w:t>
        </w:r>
        <w:r w:rsidR="006975FE">
          <w:rPr>
            <w:noProof/>
            <w:webHidden/>
          </w:rPr>
          <w:tab/>
        </w:r>
        <w:r w:rsidR="006975FE">
          <w:rPr>
            <w:noProof/>
            <w:webHidden/>
          </w:rPr>
          <w:fldChar w:fldCharType="begin"/>
        </w:r>
        <w:r w:rsidR="006975FE">
          <w:rPr>
            <w:noProof/>
            <w:webHidden/>
          </w:rPr>
          <w:instrText xml:space="preserve"> PAGEREF _Toc73516169 \h </w:instrText>
        </w:r>
        <w:r w:rsidR="006975FE">
          <w:rPr>
            <w:noProof/>
            <w:webHidden/>
          </w:rPr>
        </w:r>
        <w:r w:rsidR="006975FE">
          <w:rPr>
            <w:noProof/>
            <w:webHidden/>
          </w:rPr>
          <w:fldChar w:fldCharType="separate"/>
        </w:r>
        <w:r w:rsidR="00AD58C3">
          <w:rPr>
            <w:noProof/>
            <w:webHidden/>
          </w:rPr>
          <w:t>26</w:t>
        </w:r>
        <w:r w:rsidR="006975FE">
          <w:rPr>
            <w:noProof/>
            <w:webHidden/>
          </w:rPr>
          <w:fldChar w:fldCharType="end"/>
        </w:r>
      </w:hyperlink>
    </w:p>
    <w:p w14:paraId="3BD742E8" w14:textId="2B50B976" w:rsidR="006975FE" w:rsidRDefault="00D22FE8">
      <w:pPr>
        <w:pStyle w:val="Spisilustracji"/>
        <w:tabs>
          <w:tab w:val="right" w:leader="dot" w:pos="9062"/>
        </w:tabs>
        <w:rPr>
          <w:rFonts w:eastAsiaTheme="minorEastAsia"/>
          <w:noProof/>
          <w:lang w:eastAsia="pl-PL"/>
        </w:rPr>
      </w:pPr>
      <w:hyperlink w:anchor="_Toc73516170" w:history="1">
        <w:r w:rsidR="006975FE" w:rsidRPr="00443638">
          <w:rPr>
            <w:rStyle w:val="Hipercze"/>
            <w:noProof/>
          </w:rPr>
          <w:t>Rysunek 5. Łączna liczba interwencji policji w Olsztynie</w:t>
        </w:r>
        <w:r w:rsidR="006975FE">
          <w:rPr>
            <w:noProof/>
            <w:webHidden/>
          </w:rPr>
          <w:tab/>
        </w:r>
        <w:r w:rsidR="006975FE">
          <w:rPr>
            <w:noProof/>
            <w:webHidden/>
          </w:rPr>
          <w:fldChar w:fldCharType="begin"/>
        </w:r>
        <w:r w:rsidR="006975FE">
          <w:rPr>
            <w:noProof/>
            <w:webHidden/>
          </w:rPr>
          <w:instrText xml:space="preserve"> PAGEREF _Toc73516170 \h </w:instrText>
        </w:r>
        <w:r w:rsidR="006975FE">
          <w:rPr>
            <w:noProof/>
            <w:webHidden/>
          </w:rPr>
        </w:r>
        <w:r w:rsidR="006975FE">
          <w:rPr>
            <w:noProof/>
            <w:webHidden/>
          </w:rPr>
          <w:fldChar w:fldCharType="separate"/>
        </w:r>
        <w:r w:rsidR="00AD58C3">
          <w:rPr>
            <w:noProof/>
            <w:webHidden/>
          </w:rPr>
          <w:t>33</w:t>
        </w:r>
        <w:r w:rsidR="006975FE">
          <w:rPr>
            <w:noProof/>
            <w:webHidden/>
          </w:rPr>
          <w:fldChar w:fldCharType="end"/>
        </w:r>
      </w:hyperlink>
    </w:p>
    <w:p w14:paraId="4C2E816B" w14:textId="1E9F435A" w:rsidR="006975FE" w:rsidRDefault="00D22FE8">
      <w:pPr>
        <w:pStyle w:val="Spisilustracji"/>
        <w:tabs>
          <w:tab w:val="right" w:leader="dot" w:pos="9062"/>
        </w:tabs>
        <w:rPr>
          <w:rFonts w:eastAsiaTheme="minorEastAsia"/>
          <w:noProof/>
          <w:lang w:eastAsia="pl-PL"/>
        </w:rPr>
      </w:pPr>
      <w:hyperlink w:anchor="_Toc73516171" w:history="1">
        <w:r w:rsidR="006975FE" w:rsidRPr="00443638">
          <w:rPr>
            <w:rStyle w:val="Hipercze"/>
            <w:noProof/>
          </w:rPr>
          <w:t>Rysunek 6. Frekwencja w okręgach wyborczych w wyborach samorządowych (2018)</w:t>
        </w:r>
        <w:r w:rsidR="006975FE">
          <w:rPr>
            <w:noProof/>
            <w:webHidden/>
          </w:rPr>
          <w:tab/>
        </w:r>
        <w:r w:rsidR="006975FE">
          <w:rPr>
            <w:noProof/>
            <w:webHidden/>
          </w:rPr>
          <w:fldChar w:fldCharType="begin"/>
        </w:r>
        <w:r w:rsidR="006975FE">
          <w:rPr>
            <w:noProof/>
            <w:webHidden/>
          </w:rPr>
          <w:instrText xml:space="preserve"> PAGEREF _Toc73516171 \h </w:instrText>
        </w:r>
        <w:r w:rsidR="006975FE">
          <w:rPr>
            <w:noProof/>
            <w:webHidden/>
          </w:rPr>
        </w:r>
        <w:r w:rsidR="006975FE">
          <w:rPr>
            <w:noProof/>
            <w:webHidden/>
          </w:rPr>
          <w:fldChar w:fldCharType="separate"/>
        </w:r>
        <w:r w:rsidR="00AD58C3">
          <w:rPr>
            <w:noProof/>
            <w:webHidden/>
          </w:rPr>
          <w:t>38</w:t>
        </w:r>
        <w:r w:rsidR="006975FE">
          <w:rPr>
            <w:noProof/>
            <w:webHidden/>
          </w:rPr>
          <w:fldChar w:fldCharType="end"/>
        </w:r>
      </w:hyperlink>
    </w:p>
    <w:p w14:paraId="2F27B61F" w14:textId="7586BA24" w:rsidR="006975FE" w:rsidRDefault="00D22FE8">
      <w:pPr>
        <w:pStyle w:val="Spisilustracji"/>
        <w:tabs>
          <w:tab w:val="right" w:leader="dot" w:pos="9062"/>
        </w:tabs>
        <w:rPr>
          <w:rFonts w:eastAsiaTheme="minorEastAsia"/>
          <w:noProof/>
          <w:lang w:eastAsia="pl-PL"/>
        </w:rPr>
      </w:pPr>
      <w:hyperlink w:anchor="_Toc73516172" w:history="1">
        <w:r w:rsidR="006975FE" w:rsidRPr="00443638">
          <w:rPr>
            <w:rStyle w:val="Hipercze"/>
            <w:noProof/>
          </w:rPr>
          <w:t>Rysunek 7. Poglądowe rozmieszczenie obwodów wyborczych z najniższą i najwyższą frekwencją  w 2020 r.</w:t>
        </w:r>
        <w:r w:rsidR="006975FE">
          <w:rPr>
            <w:noProof/>
            <w:webHidden/>
          </w:rPr>
          <w:tab/>
        </w:r>
        <w:r w:rsidR="006975FE">
          <w:rPr>
            <w:noProof/>
            <w:webHidden/>
          </w:rPr>
          <w:fldChar w:fldCharType="begin"/>
        </w:r>
        <w:r w:rsidR="006975FE">
          <w:rPr>
            <w:noProof/>
            <w:webHidden/>
          </w:rPr>
          <w:instrText xml:space="preserve"> PAGEREF _Toc73516172 \h </w:instrText>
        </w:r>
        <w:r w:rsidR="006975FE">
          <w:rPr>
            <w:noProof/>
            <w:webHidden/>
          </w:rPr>
        </w:r>
        <w:r w:rsidR="006975FE">
          <w:rPr>
            <w:noProof/>
            <w:webHidden/>
          </w:rPr>
          <w:fldChar w:fldCharType="separate"/>
        </w:r>
        <w:r w:rsidR="00AD58C3">
          <w:rPr>
            <w:noProof/>
            <w:webHidden/>
          </w:rPr>
          <w:t>39</w:t>
        </w:r>
        <w:r w:rsidR="006975FE">
          <w:rPr>
            <w:noProof/>
            <w:webHidden/>
          </w:rPr>
          <w:fldChar w:fldCharType="end"/>
        </w:r>
      </w:hyperlink>
    </w:p>
    <w:p w14:paraId="21828B58" w14:textId="2FAD792E" w:rsidR="006975FE" w:rsidRDefault="00D22FE8">
      <w:pPr>
        <w:pStyle w:val="Spisilustracji"/>
        <w:tabs>
          <w:tab w:val="right" w:leader="dot" w:pos="9062"/>
        </w:tabs>
        <w:rPr>
          <w:rFonts w:eastAsiaTheme="minorEastAsia"/>
          <w:noProof/>
          <w:lang w:eastAsia="pl-PL"/>
        </w:rPr>
      </w:pPr>
      <w:hyperlink w:anchor="_Toc73516173" w:history="1">
        <w:r w:rsidR="006975FE" w:rsidRPr="00443638">
          <w:rPr>
            <w:rStyle w:val="Hipercze"/>
            <w:noProof/>
          </w:rPr>
          <w:t>Rysunek 8. System środowiska naturalnego Olsztyna</w:t>
        </w:r>
        <w:r w:rsidR="006975FE">
          <w:rPr>
            <w:noProof/>
            <w:webHidden/>
          </w:rPr>
          <w:tab/>
        </w:r>
        <w:r w:rsidR="006975FE">
          <w:rPr>
            <w:noProof/>
            <w:webHidden/>
          </w:rPr>
          <w:fldChar w:fldCharType="begin"/>
        </w:r>
        <w:r w:rsidR="006975FE">
          <w:rPr>
            <w:noProof/>
            <w:webHidden/>
          </w:rPr>
          <w:instrText xml:space="preserve"> PAGEREF _Toc73516173 \h </w:instrText>
        </w:r>
        <w:r w:rsidR="006975FE">
          <w:rPr>
            <w:noProof/>
            <w:webHidden/>
          </w:rPr>
        </w:r>
        <w:r w:rsidR="006975FE">
          <w:rPr>
            <w:noProof/>
            <w:webHidden/>
          </w:rPr>
          <w:fldChar w:fldCharType="separate"/>
        </w:r>
        <w:r w:rsidR="00AD58C3">
          <w:rPr>
            <w:noProof/>
            <w:webHidden/>
          </w:rPr>
          <w:t>43</w:t>
        </w:r>
        <w:r w:rsidR="006975FE">
          <w:rPr>
            <w:noProof/>
            <w:webHidden/>
          </w:rPr>
          <w:fldChar w:fldCharType="end"/>
        </w:r>
      </w:hyperlink>
    </w:p>
    <w:p w14:paraId="28287EC5" w14:textId="2350D058" w:rsidR="006975FE" w:rsidRDefault="00D22FE8">
      <w:pPr>
        <w:pStyle w:val="Spisilustracji"/>
        <w:tabs>
          <w:tab w:val="right" w:leader="dot" w:pos="9062"/>
        </w:tabs>
        <w:rPr>
          <w:rFonts w:eastAsiaTheme="minorEastAsia"/>
          <w:noProof/>
          <w:lang w:eastAsia="pl-PL"/>
        </w:rPr>
      </w:pPr>
      <w:hyperlink w:anchor="_Toc73516174" w:history="1">
        <w:r w:rsidR="006975FE" w:rsidRPr="00443638">
          <w:rPr>
            <w:rStyle w:val="Hipercze"/>
            <w:noProof/>
          </w:rPr>
          <w:t>Rysunek 9. Rozmieszczenie emitorów punktowych pyłu zawieszonego PM10 w Olsztynie w 2014 r.</w:t>
        </w:r>
        <w:r w:rsidR="006975FE">
          <w:rPr>
            <w:noProof/>
            <w:webHidden/>
          </w:rPr>
          <w:tab/>
        </w:r>
        <w:r w:rsidR="006975FE">
          <w:rPr>
            <w:noProof/>
            <w:webHidden/>
          </w:rPr>
          <w:fldChar w:fldCharType="begin"/>
        </w:r>
        <w:r w:rsidR="006975FE">
          <w:rPr>
            <w:noProof/>
            <w:webHidden/>
          </w:rPr>
          <w:instrText xml:space="preserve"> PAGEREF _Toc73516174 \h </w:instrText>
        </w:r>
        <w:r w:rsidR="006975FE">
          <w:rPr>
            <w:noProof/>
            <w:webHidden/>
          </w:rPr>
        </w:r>
        <w:r w:rsidR="006975FE">
          <w:rPr>
            <w:noProof/>
            <w:webHidden/>
          </w:rPr>
          <w:fldChar w:fldCharType="separate"/>
        </w:r>
        <w:r w:rsidR="00AD58C3">
          <w:rPr>
            <w:noProof/>
            <w:webHidden/>
          </w:rPr>
          <w:t>47</w:t>
        </w:r>
        <w:r w:rsidR="006975FE">
          <w:rPr>
            <w:noProof/>
            <w:webHidden/>
          </w:rPr>
          <w:fldChar w:fldCharType="end"/>
        </w:r>
      </w:hyperlink>
    </w:p>
    <w:p w14:paraId="34941034" w14:textId="6073FFFD" w:rsidR="006975FE" w:rsidRDefault="00D22FE8">
      <w:pPr>
        <w:pStyle w:val="Spisilustracji"/>
        <w:tabs>
          <w:tab w:val="right" w:leader="dot" w:pos="9062"/>
        </w:tabs>
        <w:rPr>
          <w:rFonts w:eastAsiaTheme="minorEastAsia"/>
          <w:noProof/>
          <w:lang w:eastAsia="pl-PL"/>
        </w:rPr>
      </w:pPr>
      <w:hyperlink w:anchor="_Toc73516175" w:history="1">
        <w:r w:rsidR="006975FE" w:rsidRPr="00443638">
          <w:rPr>
            <w:rStyle w:val="Hipercze"/>
            <w:noProof/>
          </w:rPr>
          <w:t>Rysunek 10. Mapa o</w:t>
        </w:r>
        <w:r w:rsidR="006975FE" w:rsidRPr="00443638">
          <w:rPr>
            <w:rStyle w:val="Hipercze"/>
            <w:noProof/>
          </w:rPr>
          <w:t>działywania hałasu w Olsztynie 2016 r.</w:t>
        </w:r>
        <w:r w:rsidR="006975FE">
          <w:rPr>
            <w:noProof/>
            <w:webHidden/>
          </w:rPr>
          <w:tab/>
        </w:r>
        <w:r w:rsidR="006975FE">
          <w:rPr>
            <w:noProof/>
            <w:webHidden/>
          </w:rPr>
          <w:fldChar w:fldCharType="begin"/>
        </w:r>
        <w:r w:rsidR="006975FE">
          <w:rPr>
            <w:noProof/>
            <w:webHidden/>
          </w:rPr>
          <w:instrText xml:space="preserve"> PAGEREF _Toc73516175 \h </w:instrText>
        </w:r>
        <w:r w:rsidR="006975FE">
          <w:rPr>
            <w:noProof/>
            <w:webHidden/>
          </w:rPr>
        </w:r>
        <w:r w:rsidR="006975FE">
          <w:rPr>
            <w:noProof/>
            <w:webHidden/>
          </w:rPr>
          <w:fldChar w:fldCharType="separate"/>
        </w:r>
        <w:r w:rsidR="00AD58C3">
          <w:rPr>
            <w:noProof/>
            <w:webHidden/>
          </w:rPr>
          <w:t>52</w:t>
        </w:r>
        <w:r w:rsidR="006975FE">
          <w:rPr>
            <w:noProof/>
            <w:webHidden/>
          </w:rPr>
          <w:fldChar w:fldCharType="end"/>
        </w:r>
      </w:hyperlink>
    </w:p>
    <w:p w14:paraId="2F3E5D0E" w14:textId="268092CD" w:rsidR="006975FE" w:rsidRDefault="00D22FE8">
      <w:pPr>
        <w:pStyle w:val="Spisilustracji"/>
        <w:tabs>
          <w:tab w:val="right" w:leader="dot" w:pos="9062"/>
        </w:tabs>
        <w:rPr>
          <w:rFonts w:eastAsiaTheme="minorEastAsia"/>
          <w:noProof/>
          <w:lang w:eastAsia="pl-PL"/>
        </w:rPr>
      </w:pPr>
      <w:hyperlink w:anchor="_Toc73516176" w:history="1">
        <w:r w:rsidR="006975FE" w:rsidRPr="00443638">
          <w:rPr>
            <w:rStyle w:val="Hipercze"/>
            <w:noProof/>
          </w:rPr>
          <w:t>Rysunek 11. Intensywność Miejskiej Powierzchniowej Wyspa Ciepła w Olsztynie (3.07.2015 r.)</w:t>
        </w:r>
        <w:r w:rsidR="006975FE">
          <w:rPr>
            <w:noProof/>
            <w:webHidden/>
          </w:rPr>
          <w:tab/>
        </w:r>
        <w:r w:rsidR="006975FE">
          <w:rPr>
            <w:noProof/>
            <w:webHidden/>
          </w:rPr>
          <w:fldChar w:fldCharType="begin"/>
        </w:r>
        <w:r w:rsidR="006975FE">
          <w:rPr>
            <w:noProof/>
            <w:webHidden/>
          </w:rPr>
          <w:instrText xml:space="preserve"> PAGEREF _Toc73516176 \h </w:instrText>
        </w:r>
        <w:r w:rsidR="006975FE">
          <w:rPr>
            <w:noProof/>
            <w:webHidden/>
          </w:rPr>
        </w:r>
        <w:r w:rsidR="006975FE">
          <w:rPr>
            <w:noProof/>
            <w:webHidden/>
          </w:rPr>
          <w:fldChar w:fldCharType="separate"/>
        </w:r>
        <w:r w:rsidR="00AD58C3">
          <w:rPr>
            <w:noProof/>
            <w:webHidden/>
          </w:rPr>
          <w:t>58</w:t>
        </w:r>
        <w:r w:rsidR="006975FE">
          <w:rPr>
            <w:noProof/>
            <w:webHidden/>
          </w:rPr>
          <w:fldChar w:fldCharType="end"/>
        </w:r>
      </w:hyperlink>
    </w:p>
    <w:p w14:paraId="0684A47A" w14:textId="03925A8D" w:rsidR="006975FE" w:rsidRDefault="00D22FE8">
      <w:pPr>
        <w:pStyle w:val="Spisilustracji"/>
        <w:tabs>
          <w:tab w:val="right" w:leader="dot" w:pos="9062"/>
        </w:tabs>
        <w:rPr>
          <w:rFonts w:eastAsiaTheme="minorEastAsia"/>
          <w:noProof/>
          <w:lang w:eastAsia="pl-PL"/>
        </w:rPr>
      </w:pPr>
      <w:hyperlink w:anchor="_Toc73516177" w:history="1">
        <w:r w:rsidR="006975FE" w:rsidRPr="00443638">
          <w:rPr>
            <w:rStyle w:val="Hipercze"/>
            <w:noProof/>
          </w:rPr>
          <w:t>Rysunek 12. Lokalizacja terenów inwestycyjnych w Olsztynie</w:t>
        </w:r>
        <w:r w:rsidR="006975FE">
          <w:rPr>
            <w:noProof/>
            <w:webHidden/>
          </w:rPr>
          <w:tab/>
        </w:r>
        <w:r w:rsidR="006975FE">
          <w:rPr>
            <w:noProof/>
            <w:webHidden/>
          </w:rPr>
          <w:fldChar w:fldCharType="begin"/>
        </w:r>
        <w:r w:rsidR="006975FE">
          <w:rPr>
            <w:noProof/>
            <w:webHidden/>
          </w:rPr>
          <w:instrText xml:space="preserve"> PAGEREF _Toc73516177 \h </w:instrText>
        </w:r>
        <w:r w:rsidR="006975FE">
          <w:rPr>
            <w:noProof/>
            <w:webHidden/>
          </w:rPr>
        </w:r>
        <w:r w:rsidR="006975FE">
          <w:rPr>
            <w:noProof/>
            <w:webHidden/>
          </w:rPr>
          <w:fldChar w:fldCharType="separate"/>
        </w:r>
        <w:r w:rsidR="00AD58C3">
          <w:rPr>
            <w:noProof/>
            <w:webHidden/>
          </w:rPr>
          <w:t>85</w:t>
        </w:r>
        <w:r w:rsidR="006975FE">
          <w:rPr>
            <w:noProof/>
            <w:webHidden/>
          </w:rPr>
          <w:fldChar w:fldCharType="end"/>
        </w:r>
      </w:hyperlink>
    </w:p>
    <w:p w14:paraId="29A68D40" w14:textId="7EA5B747" w:rsidR="006975FE" w:rsidRDefault="00D22FE8">
      <w:pPr>
        <w:pStyle w:val="Spisilustracji"/>
        <w:tabs>
          <w:tab w:val="right" w:leader="dot" w:pos="9062"/>
        </w:tabs>
        <w:rPr>
          <w:rFonts w:eastAsiaTheme="minorEastAsia"/>
          <w:noProof/>
          <w:lang w:eastAsia="pl-PL"/>
        </w:rPr>
      </w:pPr>
      <w:hyperlink w:anchor="_Toc73516178" w:history="1">
        <w:r w:rsidR="006975FE" w:rsidRPr="00443638">
          <w:rPr>
            <w:rStyle w:val="Hipercze"/>
            <w:noProof/>
          </w:rPr>
          <w:t>Rysunek 13. W-MSSE w Olsztynie</w:t>
        </w:r>
        <w:r w:rsidR="006975FE">
          <w:rPr>
            <w:noProof/>
            <w:webHidden/>
          </w:rPr>
          <w:tab/>
        </w:r>
        <w:r w:rsidR="006975FE">
          <w:rPr>
            <w:noProof/>
            <w:webHidden/>
          </w:rPr>
          <w:fldChar w:fldCharType="begin"/>
        </w:r>
        <w:r w:rsidR="006975FE">
          <w:rPr>
            <w:noProof/>
            <w:webHidden/>
          </w:rPr>
          <w:instrText xml:space="preserve"> PAGEREF _Toc73516178 \h </w:instrText>
        </w:r>
        <w:r w:rsidR="006975FE">
          <w:rPr>
            <w:noProof/>
            <w:webHidden/>
          </w:rPr>
        </w:r>
        <w:r w:rsidR="006975FE">
          <w:rPr>
            <w:noProof/>
            <w:webHidden/>
          </w:rPr>
          <w:fldChar w:fldCharType="separate"/>
        </w:r>
        <w:r w:rsidR="00AD58C3">
          <w:rPr>
            <w:noProof/>
            <w:webHidden/>
          </w:rPr>
          <w:t>86</w:t>
        </w:r>
        <w:r w:rsidR="006975FE">
          <w:rPr>
            <w:noProof/>
            <w:webHidden/>
          </w:rPr>
          <w:fldChar w:fldCharType="end"/>
        </w:r>
      </w:hyperlink>
    </w:p>
    <w:p w14:paraId="75859B2D" w14:textId="476F2028" w:rsidR="006975FE" w:rsidRDefault="00D22FE8">
      <w:pPr>
        <w:pStyle w:val="Spisilustracji"/>
        <w:tabs>
          <w:tab w:val="right" w:leader="dot" w:pos="9062"/>
        </w:tabs>
        <w:rPr>
          <w:rFonts w:eastAsiaTheme="minorEastAsia"/>
          <w:noProof/>
          <w:lang w:eastAsia="pl-PL"/>
        </w:rPr>
      </w:pPr>
      <w:hyperlink w:anchor="_Toc73516179" w:history="1">
        <w:r w:rsidR="006975FE" w:rsidRPr="00443638">
          <w:rPr>
            <w:rStyle w:val="Hipercze"/>
            <w:noProof/>
          </w:rPr>
          <w:t>Rysunek 14. Lokalizacja jednostek szkół wyższych w Olsztynie</w:t>
        </w:r>
        <w:r w:rsidR="006975FE">
          <w:rPr>
            <w:noProof/>
            <w:webHidden/>
          </w:rPr>
          <w:tab/>
        </w:r>
        <w:r w:rsidR="006975FE">
          <w:rPr>
            <w:noProof/>
            <w:webHidden/>
          </w:rPr>
          <w:fldChar w:fldCharType="begin"/>
        </w:r>
        <w:r w:rsidR="006975FE">
          <w:rPr>
            <w:noProof/>
            <w:webHidden/>
          </w:rPr>
          <w:instrText xml:space="preserve"> PAGEREF _Toc73516179 \h </w:instrText>
        </w:r>
        <w:r w:rsidR="006975FE">
          <w:rPr>
            <w:noProof/>
            <w:webHidden/>
          </w:rPr>
        </w:r>
        <w:r w:rsidR="006975FE">
          <w:rPr>
            <w:noProof/>
            <w:webHidden/>
          </w:rPr>
          <w:fldChar w:fldCharType="separate"/>
        </w:r>
        <w:r w:rsidR="00AD58C3">
          <w:rPr>
            <w:noProof/>
            <w:webHidden/>
          </w:rPr>
          <w:t>92</w:t>
        </w:r>
        <w:r w:rsidR="006975FE">
          <w:rPr>
            <w:noProof/>
            <w:webHidden/>
          </w:rPr>
          <w:fldChar w:fldCharType="end"/>
        </w:r>
      </w:hyperlink>
    </w:p>
    <w:p w14:paraId="219EFFC4" w14:textId="3FEBEEC7" w:rsidR="006975FE" w:rsidRDefault="00D22FE8">
      <w:pPr>
        <w:pStyle w:val="Spisilustracji"/>
        <w:tabs>
          <w:tab w:val="right" w:leader="dot" w:pos="9062"/>
        </w:tabs>
        <w:rPr>
          <w:rFonts w:eastAsiaTheme="minorEastAsia"/>
          <w:noProof/>
          <w:lang w:eastAsia="pl-PL"/>
        </w:rPr>
      </w:pPr>
      <w:hyperlink w:anchor="_Toc73516180" w:history="1">
        <w:r w:rsidR="006975FE" w:rsidRPr="00443638">
          <w:rPr>
            <w:rStyle w:val="Hipercze"/>
            <w:noProof/>
          </w:rPr>
          <w:t>Rysunek 15. Plan kampusu Kortowo UWM</w:t>
        </w:r>
        <w:r w:rsidR="006975FE">
          <w:rPr>
            <w:noProof/>
            <w:webHidden/>
          </w:rPr>
          <w:tab/>
        </w:r>
        <w:r w:rsidR="006975FE">
          <w:rPr>
            <w:noProof/>
            <w:webHidden/>
          </w:rPr>
          <w:fldChar w:fldCharType="begin"/>
        </w:r>
        <w:r w:rsidR="006975FE">
          <w:rPr>
            <w:noProof/>
            <w:webHidden/>
          </w:rPr>
          <w:instrText xml:space="preserve"> PAGEREF _Toc73516180 \h </w:instrText>
        </w:r>
        <w:r w:rsidR="006975FE">
          <w:rPr>
            <w:noProof/>
            <w:webHidden/>
          </w:rPr>
        </w:r>
        <w:r w:rsidR="006975FE">
          <w:rPr>
            <w:noProof/>
            <w:webHidden/>
          </w:rPr>
          <w:fldChar w:fldCharType="separate"/>
        </w:r>
        <w:r w:rsidR="00AD58C3">
          <w:rPr>
            <w:noProof/>
            <w:webHidden/>
          </w:rPr>
          <w:t>93</w:t>
        </w:r>
        <w:r w:rsidR="006975FE">
          <w:rPr>
            <w:noProof/>
            <w:webHidden/>
          </w:rPr>
          <w:fldChar w:fldCharType="end"/>
        </w:r>
      </w:hyperlink>
    </w:p>
    <w:p w14:paraId="6BC6C3C3" w14:textId="3D708228" w:rsidR="006975FE" w:rsidRDefault="00D22FE8">
      <w:pPr>
        <w:pStyle w:val="Spisilustracji"/>
        <w:tabs>
          <w:tab w:val="right" w:leader="dot" w:pos="9062"/>
        </w:tabs>
        <w:rPr>
          <w:rFonts w:eastAsiaTheme="minorEastAsia"/>
          <w:noProof/>
          <w:lang w:eastAsia="pl-PL"/>
        </w:rPr>
      </w:pPr>
      <w:hyperlink w:anchor="_Toc73516181" w:history="1">
        <w:r w:rsidR="006975FE" w:rsidRPr="00443638">
          <w:rPr>
            <w:rStyle w:val="Hipercze"/>
            <w:noProof/>
          </w:rPr>
          <w:t>Rysunek 16. Jednostki oświatowe na 1 tys. mieszkańców w Olsztynie</w:t>
        </w:r>
        <w:r w:rsidR="006975FE">
          <w:rPr>
            <w:noProof/>
            <w:webHidden/>
          </w:rPr>
          <w:tab/>
        </w:r>
        <w:r w:rsidR="006975FE">
          <w:rPr>
            <w:noProof/>
            <w:webHidden/>
          </w:rPr>
          <w:fldChar w:fldCharType="begin"/>
        </w:r>
        <w:r w:rsidR="006975FE">
          <w:rPr>
            <w:noProof/>
            <w:webHidden/>
          </w:rPr>
          <w:instrText xml:space="preserve"> PAGEREF _Toc73516181 \h </w:instrText>
        </w:r>
        <w:r w:rsidR="006975FE">
          <w:rPr>
            <w:noProof/>
            <w:webHidden/>
          </w:rPr>
        </w:r>
        <w:r w:rsidR="006975FE">
          <w:rPr>
            <w:noProof/>
            <w:webHidden/>
          </w:rPr>
          <w:fldChar w:fldCharType="separate"/>
        </w:r>
        <w:r w:rsidR="00AD58C3">
          <w:rPr>
            <w:noProof/>
            <w:webHidden/>
          </w:rPr>
          <w:t>106</w:t>
        </w:r>
        <w:r w:rsidR="006975FE">
          <w:rPr>
            <w:noProof/>
            <w:webHidden/>
          </w:rPr>
          <w:fldChar w:fldCharType="end"/>
        </w:r>
      </w:hyperlink>
    </w:p>
    <w:p w14:paraId="43510D92" w14:textId="086D7706" w:rsidR="006975FE" w:rsidRDefault="00D22FE8">
      <w:pPr>
        <w:pStyle w:val="Spisilustracji"/>
        <w:tabs>
          <w:tab w:val="right" w:leader="dot" w:pos="9062"/>
        </w:tabs>
        <w:rPr>
          <w:rFonts w:eastAsiaTheme="minorEastAsia"/>
          <w:noProof/>
          <w:lang w:eastAsia="pl-PL"/>
        </w:rPr>
      </w:pPr>
      <w:hyperlink w:anchor="_Toc73516182" w:history="1">
        <w:r w:rsidR="006975FE" w:rsidRPr="00443638">
          <w:rPr>
            <w:rStyle w:val="Hipercze"/>
            <w:noProof/>
          </w:rPr>
          <w:t>Rysunek 17. Liczba podmiotów realizujących świadczenia ochrony zdrowia na podstawie umowy z NFZ w 2015 na 1 tys. mieszkańców</w:t>
        </w:r>
        <w:r w:rsidR="006975FE">
          <w:rPr>
            <w:noProof/>
            <w:webHidden/>
          </w:rPr>
          <w:tab/>
        </w:r>
        <w:r w:rsidR="006975FE">
          <w:rPr>
            <w:noProof/>
            <w:webHidden/>
          </w:rPr>
          <w:fldChar w:fldCharType="begin"/>
        </w:r>
        <w:r w:rsidR="006975FE">
          <w:rPr>
            <w:noProof/>
            <w:webHidden/>
          </w:rPr>
          <w:instrText xml:space="preserve"> PAGEREF _Toc73516182 \h </w:instrText>
        </w:r>
        <w:r w:rsidR="006975FE">
          <w:rPr>
            <w:noProof/>
            <w:webHidden/>
          </w:rPr>
        </w:r>
        <w:r w:rsidR="006975FE">
          <w:rPr>
            <w:noProof/>
            <w:webHidden/>
          </w:rPr>
          <w:fldChar w:fldCharType="separate"/>
        </w:r>
        <w:r w:rsidR="00AD58C3">
          <w:rPr>
            <w:noProof/>
            <w:webHidden/>
          </w:rPr>
          <w:t>111</w:t>
        </w:r>
        <w:r w:rsidR="006975FE">
          <w:rPr>
            <w:noProof/>
            <w:webHidden/>
          </w:rPr>
          <w:fldChar w:fldCharType="end"/>
        </w:r>
      </w:hyperlink>
    </w:p>
    <w:p w14:paraId="17826C17" w14:textId="2BB9A148" w:rsidR="006975FE" w:rsidRDefault="00D22FE8">
      <w:pPr>
        <w:pStyle w:val="Spisilustracji"/>
        <w:tabs>
          <w:tab w:val="right" w:leader="dot" w:pos="9062"/>
        </w:tabs>
        <w:rPr>
          <w:rFonts w:eastAsiaTheme="minorEastAsia"/>
          <w:noProof/>
          <w:lang w:eastAsia="pl-PL"/>
        </w:rPr>
      </w:pPr>
      <w:hyperlink w:anchor="_Toc73516183" w:history="1">
        <w:r w:rsidR="006975FE" w:rsidRPr="00443638">
          <w:rPr>
            <w:rStyle w:val="Hipercze"/>
            <w:noProof/>
          </w:rPr>
          <w:t>Rysunek 18. Lokalizacja szpitali w Olsztynie w 21.10.2020 r.</w:t>
        </w:r>
        <w:r w:rsidR="006975FE">
          <w:rPr>
            <w:noProof/>
            <w:webHidden/>
          </w:rPr>
          <w:tab/>
        </w:r>
        <w:r w:rsidR="006975FE">
          <w:rPr>
            <w:noProof/>
            <w:webHidden/>
          </w:rPr>
          <w:fldChar w:fldCharType="begin"/>
        </w:r>
        <w:r w:rsidR="006975FE">
          <w:rPr>
            <w:noProof/>
            <w:webHidden/>
          </w:rPr>
          <w:instrText xml:space="preserve"> PAGEREF _Toc73516183 \h </w:instrText>
        </w:r>
        <w:r w:rsidR="006975FE">
          <w:rPr>
            <w:noProof/>
            <w:webHidden/>
          </w:rPr>
        </w:r>
        <w:r w:rsidR="006975FE">
          <w:rPr>
            <w:noProof/>
            <w:webHidden/>
          </w:rPr>
          <w:fldChar w:fldCharType="separate"/>
        </w:r>
        <w:r w:rsidR="00AD58C3">
          <w:rPr>
            <w:noProof/>
            <w:webHidden/>
          </w:rPr>
          <w:t>112</w:t>
        </w:r>
        <w:r w:rsidR="006975FE">
          <w:rPr>
            <w:noProof/>
            <w:webHidden/>
          </w:rPr>
          <w:fldChar w:fldCharType="end"/>
        </w:r>
      </w:hyperlink>
    </w:p>
    <w:p w14:paraId="01795DDD" w14:textId="737B151C" w:rsidR="006975FE" w:rsidRDefault="00D22FE8">
      <w:pPr>
        <w:pStyle w:val="Spisilustracji"/>
        <w:tabs>
          <w:tab w:val="right" w:leader="dot" w:pos="9062"/>
        </w:tabs>
        <w:rPr>
          <w:rFonts w:eastAsiaTheme="minorEastAsia"/>
          <w:noProof/>
          <w:lang w:eastAsia="pl-PL"/>
        </w:rPr>
      </w:pPr>
      <w:hyperlink w:anchor="_Toc73516184" w:history="1">
        <w:r w:rsidR="006975FE" w:rsidRPr="00443638">
          <w:rPr>
            <w:rStyle w:val="Hipercze"/>
            <w:noProof/>
          </w:rPr>
          <w:t>Rysunek 19. Ochrona dziedzictwa kulturowego w Olsztynie</w:t>
        </w:r>
        <w:r w:rsidR="006975FE">
          <w:rPr>
            <w:noProof/>
            <w:webHidden/>
          </w:rPr>
          <w:tab/>
        </w:r>
        <w:r w:rsidR="006975FE">
          <w:rPr>
            <w:noProof/>
            <w:webHidden/>
          </w:rPr>
          <w:fldChar w:fldCharType="begin"/>
        </w:r>
        <w:r w:rsidR="006975FE">
          <w:rPr>
            <w:noProof/>
            <w:webHidden/>
          </w:rPr>
          <w:instrText xml:space="preserve"> PAGEREF _Toc73516184 \h </w:instrText>
        </w:r>
        <w:r w:rsidR="006975FE">
          <w:rPr>
            <w:noProof/>
            <w:webHidden/>
          </w:rPr>
        </w:r>
        <w:r w:rsidR="006975FE">
          <w:rPr>
            <w:noProof/>
            <w:webHidden/>
          </w:rPr>
          <w:fldChar w:fldCharType="separate"/>
        </w:r>
        <w:r w:rsidR="00AD58C3">
          <w:rPr>
            <w:noProof/>
            <w:webHidden/>
          </w:rPr>
          <w:t>120</w:t>
        </w:r>
        <w:r w:rsidR="006975FE">
          <w:rPr>
            <w:noProof/>
            <w:webHidden/>
          </w:rPr>
          <w:fldChar w:fldCharType="end"/>
        </w:r>
      </w:hyperlink>
    </w:p>
    <w:p w14:paraId="2812A0E8" w14:textId="30C014A8" w:rsidR="006975FE" w:rsidRDefault="00D22FE8">
      <w:pPr>
        <w:pStyle w:val="Spisilustracji"/>
        <w:tabs>
          <w:tab w:val="right" w:leader="dot" w:pos="9062"/>
        </w:tabs>
        <w:rPr>
          <w:rFonts w:eastAsiaTheme="minorEastAsia"/>
          <w:noProof/>
          <w:lang w:eastAsia="pl-PL"/>
        </w:rPr>
      </w:pPr>
      <w:hyperlink w:anchor="_Toc73516185" w:history="1">
        <w:r w:rsidR="006975FE" w:rsidRPr="00443638">
          <w:rPr>
            <w:rStyle w:val="Hipercze"/>
            <w:noProof/>
          </w:rPr>
          <w:t>Rysunek 20. Ochrona dziedzictwa kulturowego proponowana w SUiKZP</w:t>
        </w:r>
        <w:r w:rsidR="006975FE">
          <w:rPr>
            <w:noProof/>
            <w:webHidden/>
          </w:rPr>
          <w:tab/>
        </w:r>
        <w:r w:rsidR="006975FE">
          <w:rPr>
            <w:noProof/>
            <w:webHidden/>
          </w:rPr>
          <w:fldChar w:fldCharType="begin"/>
        </w:r>
        <w:r w:rsidR="006975FE">
          <w:rPr>
            <w:noProof/>
            <w:webHidden/>
          </w:rPr>
          <w:instrText xml:space="preserve"> PAGEREF _Toc73516185 \h </w:instrText>
        </w:r>
        <w:r w:rsidR="006975FE">
          <w:rPr>
            <w:noProof/>
            <w:webHidden/>
          </w:rPr>
        </w:r>
        <w:r w:rsidR="006975FE">
          <w:rPr>
            <w:noProof/>
            <w:webHidden/>
          </w:rPr>
          <w:fldChar w:fldCharType="separate"/>
        </w:r>
        <w:r w:rsidR="00AD58C3">
          <w:rPr>
            <w:noProof/>
            <w:webHidden/>
          </w:rPr>
          <w:t>121</w:t>
        </w:r>
        <w:r w:rsidR="006975FE">
          <w:rPr>
            <w:noProof/>
            <w:webHidden/>
          </w:rPr>
          <w:fldChar w:fldCharType="end"/>
        </w:r>
      </w:hyperlink>
    </w:p>
    <w:p w14:paraId="6DB3B1E8" w14:textId="1EF1B920" w:rsidR="006975FE" w:rsidRDefault="00D22FE8">
      <w:pPr>
        <w:pStyle w:val="Spisilustracji"/>
        <w:tabs>
          <w:tab w:val="right" w:leader="dot" w:pos="9062"/>
        </w:tabs>
        <w:rPr>
          <w:rFonts w:eastAsiaTheme="minorEastAsia"/>
          <w:noProof/>
          <w:lang w:eastAsia="pl-PL"/>
        </w:rPr>
      </w:pPr>
      <w:hyperlink w:anchor="_Toc73516186" w:history="1">
        <w:r w:rsidR="006975FE" w:rsidRPr="00443638">
          <w:rPr>
            <w:rStyle w:val="Hipercze"/>
            <w:noProof/>
          </w:rPr>
          <w:t>Rysunek 21. Rozmieszczenie obiektów kultury</w:t>
        </w:r>
        <w:r w:rsidR="006975FE">
          <w:rPr>
            <w:noProof/>
            <w:webHidden/>
          </w:rPr>
          <w:tab/>
        </w:r>
        <w:r w:rsidR="006975FE">
          <w:rPr>
            <w:noProof/>
            <w:webHidden/>
          </w:rPr>
          <w:fldChar w:fldCharType="begin"/>
        </w:r>
        <w:r w:rsidR="006975FE">
          <w:rPr>
            <w:noProof/>
            <w:webHidden/>
          </w:rPr>
          <w:instrText xml:space="preserve"> PAGEREF _Toc73516186 \h </w:instrText>
        </w:r>
        <w:r w:rsidR="006975FE">
          <w:rPr>
            <w:noProof/>
            <w:webHidden/>
          </w:rPr>
        </w:r>
        <w:r w:rsidR="006975FE">
          <w:rPr>
            <w:noProof/>
            <w:webHidden/>
          </w:rPr>
          <w:fldChar w:fldCharType="separate"/>
        </w:r>
        <w:r w:rsidR="00AD58C3">
          <w:rPr>
            <w:noProof/>
            <w:webHidden/>
          </w:rPr>
          <w:t>123</w:t>
        </w:r>
        <w:r w:rsidR="006975FE">
          <w:rPr>
            <w:noProof/>
            <w:webHidden/>
          </w:rPr>
          <w:fldChar w:fldCharType="end"/>
        </w:r>
      </w:hyperlink>
    </w:p>
    <w:p w14:paraId="21BCFD84" w14:textId="53C462AC" w:rsidR="006975FE" w:rsidRDefault="00D22FE8">
      <w:pPr>
        <w:pStyle w:val="Spisilustracji"/>
        <w:tabs>
          <w:tab w:val="right" w:leader="dot" w:pos="9062"/>
        </w:tabs>
        <w:rPr>
          <w:rFonts w:eastAsiaTheme="minorEastAsia"/>
          <w:noProof/>
          <w:lang w:eastAsia="pl-PL"/>
        </w:rPr>
      </w:pPr>
      <w:hyperlink w:anchor="_Toc73516187" w:history="1">
        <w:r w:rsidR="006975FE" w:rsidRPr="00443638">
          <w:rPr>
            <w:rStyle w:val="Hipercze"/>
            <w:noProof/>
          </w:rPr>
          <w:t>Rysunek 22. Więźba ruchu wewnętrznego, zewnętrznego i tranzytowego w godzinie szczytu popołudniowego</w:t>
        </w:r>
        <w:r w:rsidR="006975FE">
          <w:rPr>
            <w:noProof/>
            <w:webHidden/>
          </w:rPr>
          <w:tab/>
        </w:r>
        <w:r w:rsidR="006975FE">
          <w:rPr>
            <w:noProof/>
            <w:webHidden/>
          </w:rPr>
          <w:fldChar w:fldCharType="begin"/>
        </w:r>
        <w:r w:rsidR="006975FE">
          <w:rPr>
            <w:noProof/>
            <w:webHidden/>
          </w:rPr>
          <w:instrText xml:space="preserve"> PAGEREF _Toc73516187 \h </w:instrText>
        </w:r>
        <w:r w:rsidR="006975FE">
          <w:rPr>
            <w:noProof/>
            <w:webHidden/>
          </w:rPr>
        </w:r>
        <w:r w:rsidR="006975FE">
          <w:rPr>
            <w:noProof/>
            <w:webHidden/>
          </w:rPr>
          <w:fldChar w:fldCharType="separate"/>
        </w:r>
        <w:r w:rsidR="00AD58C3">
          <w:rPr>
            <w:noProof/>
            <w:webHidden/>
          </w:rPr>
          <w:t>127</w:t>
        </w:r>
        <w:r w:rsidR="006975FE">
          <w:rPr>
            <w:noProof/>
            <w:webHidden/>
          </w:rPr>
          <w:fldChar w:fldCharType="end"/>
        </w:r>
      </w:hyperlink>
    </w:p>
    <w:p w14:paraId="6A56864B" w14:textId="175D466F" w:rsidR="006975FE" w:rsidRDefault="00D22FE8">
      <w:pPr>
        <w:pStyle w:val="Spisilustracji"/>
        <w:tabs>
          <w:tab w:val="right" w:leader="dot" w:pos="9062"/>
        </w:tabs>
        <w:rPr>
          <w:rFonts w:eastAsiaTheme="minorEastAsia"/>
          <w:noProof/>
          <w:lang w:eastAsia="pl-PL"/>
        </w:rPr>
      </w:pPr>
      <w:hyperlink w:anchor="_Toc73516188" w:history="1">
        <w:r w:rsidR="006975FE" w:rsidRPr="00443638">
          <w:rPr>
            <w:rStyle w:val="Hipercze"/>
            <w:noProof/>
          </w:rPr>
          <w:t>Rysunek 23. Więźba ruchu dla motywacji dom – praca</w:t>
        </w:r>
        <w:r w:rsidR="006975FE">
          <w:rPr>
            <w:noProof/>
            <w:webHidden/>
          </w:rPr>
          <w:tab/>
        </w:r>
        <w:r w:rsidR="006975FE">
          <w:rPr>
            <w:noProof/>
            <w:webHidden/>
          </w:rPr>
          <w:fldChar w:fldCharType="begin"/>
        </w:r>
        <w:r w:rsidR="006975FE">
          <w:rPr>
            <w:noProof/>
            <w:webHidden/>
          </w:rPr>
          <w:instrText xml:space="preserve"> PAGEREF _Toc73516188 \h </w:instrText>
        </w:r>
        <w:r w:rsidR="006975FE">
          <w:rPr>
            <w:noProof/>
            <w:webHidden/>
          </w:rPr>
        </w:r>
        <w:r w:rsidR="006975FE">
          <w:rPr>
            <w:noProof/>
            <w:webHidden/>
          </w:rPr>
          <w:fldChar w:fldCharType="separate"/>
        </w:r>
        <w:r w:rsidR="00AD58C3">
          <w:rPr>
            <w:noProof/>
            <w:webHidden/>
          </w:rPr>
          <w:t>128</w:t>
        </w:r>
        <w:r w:rsidR="006975FE">
          <w:rPr>
            <w:noProof/>
            <w:webHidden/>
          </w:rPr>
          <w:fldChar w:fldCharType="end"/>
        </w:r>
      </w:hyperlink>
    </w:p>
    <w:p w14:paraId="146AE72E" w14:textId="3FFC2E65" w:rsidR="006975FE" w:rsidRDefault="00D22FE8">
      <w:pPr>
        <w:pStyle w:val="Spisilustracji"/>
        <w:tabs>
          <w:tab w:val="right" w:leader="dot" w:pos="9062"/>
        </w:tabs>
        <w:rPr>
          <w:rFonts w:eastAsiaTheme="minorEastAsia"/>
          <w:noProof/>
          <w:lang w:eastAsia="pl-PL"/>
        </w:rPr>
      </w:pPr>
      <w:hyperlink w:anchor="_Toc73516189" w:history="1">
        <w:r w:rsidR="006975FE" w:rsidRPr="00443638">
          <w:rPr>
            <w:rStyle w:val="Hipercze"/>
            <w:noProof/>
          </w:rPr>
          <w:t>Rysunek 24. Więźba ruchu dla motywacji dom – szkoła</w:t>
        </w:r>
        <w:r w:rsidR="006975FE">
          <w:rPr>
            <w:noProof/>
            <w:webHidden/>
          </w:rPr>
          <w:tab/>
        </w:r>
        <w:r w:rsidR="006975FE">
          <w:rPr>
            <w:noProof/>
            <w:webHidden/>
          </w:rPr>
          <w:fldChar w:fldCharType="begin"/>
        </w:r>
        <w:r w:rsidR="006975FE">
          <w:rPr>
            <w:noProof/>
            <w:webHidden/>
          </w:rPr>
          <w:instrText xml:space="preserve"> PAGEREF _Toc73516189 \h </w:instrText>
        </w:r>
        <w:r w:rsidR="006975FE">
          <w:rPr>
            <w:noProof/>
            <w:webHidden/>
          </w:rPr>
        </w:r>
        <w:r w:rsidR="006975FE">
          <w:rPr>
            <w:noProof/>
            <w:webHidden/>
          </w:rPr>
          <w:fldChar w:fldCharType="separate"/>
        </w:r>
        <w:r w:rsidR="00AD58C3">
          <w:rPr>
            <w:noProof/>
            <w:webHidden/>
          </w:rPr>
          <w:t>128</w:t>
        </w:r>
        <w:r w:rsidR="006975FE">
          <w:rPr>
            <w:noProof/>
            <w:webHidden/>
          </w:rPr>
          <w:fldChar w:fldCharType="end"/>
        </w:r>
      </w:hyperlink>
    </w:p>
    <w:p w14:paraId="643393D2" w14:textId="554B83E0" w:rsidR="006975FE" w:rsidRDefault="00D22FE8">
      <w:pPr>
        <w:pStyle w:val="Spisilustracji"/>
        <w:tabs>
          <w:tab w:val="right" w:leader="dot" w:pos="9062"/>
        </w:tabs>
        <w:rPr>
          <w:rFonts w:eastAsiaTheme="minorEastAsia"/>
          <w:noProof/>
          <w:lang w:eastAsia="pl-PL"/>
        </w:rPr>
      </w:pPr>
      <w:hyperlink w:anchor="_Toc73516190" w:history="1">
        <w:r w:rsidR="006975FE" w:rsidRPr="00443638">
          <w:rPr>
            <w:rStyle w:val="Hipercze"/>
            <w:noProof/>
          </w:rPr>
          <w:t>Rysunek 25. Istniejące i planowane buspasy i linie tramwajowe w Olsztynie</w:t>
        </w:r>
        <w:r w:rsidR="006975FE">
          <w:rPr>
            <w:noProof/>
            <w:webHidden/>
          </w:rPr>
          <w:tab/>
        </w:r>
        <w:r w:rsidR="006975FE">
          <w:rPr>
            <w:noProof/>
            <w:webHidden/>
          </w:rPr>
          <w:fldChar w:fldCharType="begin"/>
        </w:r>
        <w:r w:rsidR="006975FE">
          <w:rPr>
            <w:noProof/>
            <w:webHidden/>
          </w:rPr>
          <w:instrText xml:space="preserve"> PAGEREF _Toc73516190 \h </w:instrText>
        </w:r>
        <w:r w:rsidR="006975FE">
          <w:rPr>
            <w:noProof/>
            <w:webHidden/>
          </w:rPr>
        </w:r>
        <w:r w:rsidR="006975FE">
          <w:rPr>
            <w:noProof/>
            <w:webHidden/>
          </w:rPr>
          <w:fldChar w:fldCharType="separate"/>
        </w:r>
        <w:r w:rsidR="00AD58C3">
          <w:rPr>
            <w:noProof/>
            <w:webHidden/>
          </w:rPr>
          <w:t>130</w:t>
        </w:r>
        <w:r w:rsidR="006975FE">
          <w:rPr>
            <w:noProof/>
            <w:webHidden/>
          </w:rPr>
          <w:fldChar w:fldCharType="end"/>
        </w:r>
      </w:hyperlink>
    </w:p>
    <w:p w14:paraId="29BABD67" w14:textId="5510FB6D" w:rsidR="006975FE" w:rsidRDefault="00D22FE8">
      <w:pPr>
        <w:pStyle w:val="Spisilustracji"/>
        <w:tabs>
          <w:tab w:val="right" w:leader="dot" w:pos="9062"/>
        </w:tabs>
        <w:rPr>
          <w:rFonts w:eastAsiaTheme="minorEastAsia"/>
          <w:noProof/>
          <w:lang w:eastAsia="pl-PL"/>
        </w:rPr>
      </w:pPr>
      <w:hyperlink w:anchor="_Toc73516191" w:history="1">
        <w:r w:rsidR="006975FE" w:rsidRPr="00443638">
          <w:rPr>
            <w:rStyle w:val="Hipercze"/>
            <w:noProof/>
          </w:rPr>
          <w:t>Rysunek 26. Trasy komunikacji miejskiej w Olsztynie</w:t>
        </w:r>
        <w:r w:rsidR="006975FE">
          <w:rPr>
            <w:noProof/>
            <w:webHidden/>
          </w:rPr>
          <w:tab/>
        </w:r>
        <w:r w:rsidR="006975FE">
          <w:rPr>
            <w:noProof/>
            <w:webHidden/>
          </w:rPr>
          <w:fldChar w:fldCharType="begin"/>
        </w:r>
        <w:r w:rsidR="006975FE">
          <w:rPr>
            <w:noProof/>
            <w:webHidden/>
          </w:rPr>
          <w:instrText xml:space="preserve"> PAGEREF _Toc73516191 \h </w:instrText>
        </w:r>
        <w:r w:rsidR="006975FE">
          <w:rPr>
            <w:noProof/>
            <w:webHidden/>
          </w:rPr>
        </w:r>
        <w:r w:rsidR="006975FE">
          <w:rPr>
            <w:noProof/>
            <w:webHidden/>
          </w:rPr>
          <w:fldChar w:fldCharType="separate"/>
        </w:r>
        <w:r w:rsidR="00AD58C3">
          <w:rPr>
            <w:noProof/>
            <w:webHidden/>
          </w:rPr>
          <w:t>132</w:t>
        </w:r>
        <w:r w:rsidR="006975FE">
          <w:rPr>
            <w:noProof/>
            <w:webHidden/>
          </w:rPr>
          <w:fldChar w:fldCharType="end"/>
        </w:r>
      </w:hyperlink>
    </w:p>
    <w:p w14:paraId="7C00D149" w14:textId="6352B4FA" w:rsidR="006975FE" w:rsidRDefault="00D22FE8">
      <w:pPr>
        <w:pStyle w:val="Spisilustracji"/>
        <w:tabs>
          <w:tab w:val="right" w:leader="dot" w:pos="9062"/>
        </w:tabs>
        <w:rPr>
          <w:rFonts w:eastAsiaTheme="minorEastAsia"/>
          <w:noProof/>
          <w:lang w:eastAsia="pl-PL"/>
        </w:rPr>
      </w:pPr>
      <w:hyperlink w:anchor="_Toc73516192" w:history="1">
        <w:r w:rsidR="006975FE" w:rsidRPr="00443638">
          <w:rPr>
            <w:rStyle w:val="Hipercze"/>
            <w:noProof/>
          </w:rPr>
          <w:t>Rysunek 27. Zachowania komunikacyjne mieszkańców MOF Olsztyna</w:t>
        </w:r>
        <w:r w:rsidR="006975FE">
          <w:rPr>
            <w:noProof/>
            <w:webHidden/>
          </w:rPr>
          <w:tab/>
        </w:r>
        <w:r w:rsidR="006975FE">
          <w:rPr>
            <w:noProof/>
            <w:webHidden/>
          </w:rPr>
          <w:fldChar w:fldCharType="begin"/>
        </w:r>
        <w:r w:rsidR="006975FE">
          <w:rPr>
            <w:noProof/>
            <w:webHidden/>
          </w:rPr>
          <w:instrText xml:space="preserve"> PAGEREF _Toc73516192 \h </w:instrText>
        </w:r>
        <w:r w:rsidR="006975FE">
          <w:rPr>
            <w:noProof/>
            <w:webHidden/>
          </w:rPr>
        </w:r>
        <w:r w:rsidR="006975FE">
          <w:rPr>
            <w:noProof/>
            <w:webHidden/>
          </w:rPr>
          <w:fldChar w:fldCharType="separate"/>
        </w:r>
        <w:r w:rsidR="00AD58C3">
          <w:rPr>
            <w:noProof/>
            <w:webHidden/>
          </w:rPr>
          <w:t>135</w:t>
        </w:r>
        <w:r w:rsidR="006975FE">
          <w:rPr>
            <w:noProof/>
            <w:webHidden/>
          </w:rPr>
          <w:fldChar w:fldCharType="end"/>
        </w:r>
      </w:hyperlink>
    </w:p>
    <w:p w14:paraId="4669D88D" w14:textId="4E3425A1" w:rsidR="006975FE" w:rsidRDefault="00D22FE8">
      <w:pPr>
        <w:pStyle w:val="Spisilustracji"/>
        <w:tabs>
          <w:tab w:val="right" w:leader="dot" w:pos="9062"/>
        </w:tabs>
        <w:rPr>
          <w:rFonts w:eastAsiaTheme="minorEastAsia"/>
          <w:noProof/>
          <w:lang w:eastAsia="pl-PL"/>
        </w:rPr>
      </w:pPr>
      <w:hyperlink w:anchor="_Toc73516193" w:history="1">
        <w:r w:rsidR="006975FE" w:rsidRPr="00443638">
          <w:rPr>
            <w:rStyle w:val="Hipercze"/>
            <w:noProof/>
          </w:rPr>
          <w:t>Rysunek 28. S</w:t>
        </w:r>
        <w:r w:rsidR="006975FE" w:rsidRPr="00443638">
          <w:rPr>
            <w:rStyle w:val="Hipercze"/>
            <w:rFonts w:cstheme="minorHAnsi"/>
            <w:noProof/>
          </w:rPr>
          <w:t>ieć dróg rowerowych łączących Olsztyn oraz gminy MOF</w:t>
        </w:r>
        <w:r w:rsidR="006975FE">
          <w:rPr>
            <w:noProof/>
            <w:webHidden/>
          </w:rPr>
          <w:tab/>
        </w:r>
        <w:r w:rsidR="006975FE">
          <w:rPr>
            <w:noProof/>
            <w:webHidden/>
          </w:rPr>
          <w:fldChar w:fldCharType="begin"/>
        </w:r>
        <w:r w:rsidR="006975FE">
          <w:rPr>
            <w:noProof/>
            <w:webHidden/>
          </w:rPr>
          <w:instrText xml:space="preserve"> PAGEREF _Toc73516193 \h </w:instrText>
        </w:r>
        <w:r w:rsidR="006975FE">
          <w:rPr>
            <w:noProof/>
            <w:webHidden/>
          </w:rPr>
        </w:r>
        <w:r w:rsidR="006975FE">
          <w:rPr>
            <w:noProof/>
            <w:webHidden/>
          </w:rPr>
          <w:fldChar w:fldCharType="separate"/>
        </w:r>
        <w:r w:rsidR="00AD58C3">
          <w:rPr>
            <w:noProof/>
            <w:webHidden/>
          </w:rPr>
          <w:t>136</w:t>
        </w:r>
        <w:r w:rsidR="006975FE">
          <w:rPr>
            <w:noProof/>
            <w:webHidden/>
          </w:rPr>
          <w:fldChar w:fldCharType="end"/>
        </w:r>
      </w:hyperlink>
    </w:p>
    <w:p w14:paraId="65A57CF3" w14:textId="7916A275" w:rsidR="006975FE" w:rsidRDefault="00D22FE8">
      <w:pPr>
        <w:pStyle w:val="Spisilustracji"/>
        <w:tabs>
          <w:tab w:val="right" w:leader="dot" w:pos="9062"/>
        </w:tabs>
        <w:rPr>
          <w:rFonts w:eastAsiaTheme="minorEastAsia"/>
          <w:noProof/>
          <w:lang w:eastAsia="pl-PL"/>
        </w:rPr>
      </w:pPr>
      <w:hyperlink w:anchor="_Toc73516194" w:history="1">
        <w:r w:rsidR="006975FE" w:rsidRPr="00443638">
          <w:rPr>
            <w:rStyle w:val="Hipercze"/>
            <w:noProof/>
          </w:rPr>
          <w:t>Rysunek 29. Mapa SPP obowiązująca od 1 lipca 2020 r.</w:t>
        </w:r>
        <w:r w:rsidR="006975FE">
          <w:rPr>
            <w:noProof/>
            <w:webHidden/>
          </w:rPr>
          <w:tab/>
        </w:r>
        <w:r w:rsidR="006975FE">
          <w:rPr>
            <w:noProof/>
            <w:webHidden/>
          </w:rPr>
          <w:fldChar w:fldCharType="begin"/>
        </w:r>
        <w:r w:rsidR="006975FE">
          <w:rPr>
            <w:noProof/>
            <w:webHidden/>
          </w:rPr>
          <w:instrText xml:space="preserve"> PAGEREF _Toc73516194 \h </w:instrText>
        </w:r>
        <w:r w:rsidR="006975FE">
          <w:rPr>
            <w:noProof/>
            <w:webHidden/>
          </w:rPr>
        </w:r>
        <w:r w:rsidR="006975FE">
          <w:rPr>
            <w:noProof/>
            <w:webHidden/>
          </w:rPr>
          <w:fldChar w:fldCharType="separate"/>
        </w:r>
        <w:r w:rsidR="00AD58C3">
          <w:rPr>
            <w:noProof/>
            <w:webHidden/>
          </w:rPr>
          <w:t>137</w:t>
        </w:r>
        <w:r w:rsidR="006975FE">
          <w:rPr>
            <w:noProof/>
            <w:webHidden/>
          </w:rPr>
          <w:fldChar w:fldCharType="end"/>
        </w:r>
      </w:hyperlink>
    </w:p>
    <w:p w14:paraId="18B76D6B" w14:textId="20D1EDE7" w:rsidR="006975FE" w:rsidRDefault="00D22FE8">
      <w:pPr>
        <w:pStyle w:val="Spisilustracji"/>
        <w:tabs>
          <w:tab w:val="right" w:leader="dot" w:pos="9062"/>
        </w:tabs>
        <w:rPr>
          <w:rFonts w:eastAsiaTheme="minorEastAsia"/>
          <w:noProof/>
          <w:lang w:eastAsia="pl-PL"/>
        </w:rPr>
      </w:pPr>
      <w:hyperlink w:anchor="_Toc73516195" w:history="1">
        <w:r w:rsidR="006975FE" w:rsidRPr="00443638">
          <w:rPr>
            <w:rStyle w:val="Hipercze"/>
            <w:noProof/>
          </w:rPr>
          <w:t>Rysunek 30. Rekomendowane priorytetowe lokalizacje parkingów P+R</w:t>
        </w:r>
        <w:r w:rsidR="006975FE">
          <w:rPr>
            <w:noProof/>
            <w:webHidden/>
          </w:rPr>
          <w:tab/>
        </w:r>
        <w:r w:rsidR="006975FE">
          <w:rPr>
            <w:noProof/>
            <w:webHidden/>
          </w:rPr>
          <w:fldChar w:fldCharType="begin"/>
        </w:r>
        <w:r w:rsidR="006975FE">
          <w:rPr>
            <w:noProof/>
            <w:webHidden/>
          </w:rPr>
          <w:instrText xml:space="preserve"> PAGEREF _Toc73516195 \h </w:instrText>
        </w:r>
        <w:r w:rsidR="006975FE">
          <w:rPr>
            <w:noProof/>
            <w:webHidden/>
          </w:rPr>
        </w:r>
        <w:r w:rsidR="006975FE">
          <w:rPr>
            <w:noProof/>
            <w:webHidden/>
          </w:rPr>
          <w:fldChar w:fldCharType="separate"/>
        </w:r>
        <w:r w:rsidR="00AD58C3">
          <w:rPr>
            <w:noProof/>
            <w:webHidden/>
          </w:rPr>
          <w:t>139</w:t>
        </w:r>
        <w:r w:rsidR="006975FE">
          <w:rPr>
            <w:noProof/>
            <w:webHidden/>
          </w:rPr>
          <w:fldChar w:fldCharType="end"/>
        </w:r>
      </w:hyperlink>
    </w:p>
    <w:p w14:paraId="4FED4E01" w14:textId="196884F7" w:rsidR="006975FE" w:rsidRDefault="00D22FE8">
      <w:pPr>
        <w:pStyle w:val="Spisilustracji"/>
        <w:tabs>
          <w:tab w:val="right" w:leader="dot" w:pos="9062"/>
        </w:tabs>
        <w:rPr>
          <w:rFonts w:eastAsiaTheme="minorEastAsia"/>
          <w:noProof/>
          <w:lang w:eastAsia="pl-PL"/>
        </w:rPr>
      </w:pPr>
      <w:hyperlink w:anchor="_Toc73516196" w:history="1">
        <w:r w:rsidR="006975FE" w:rsidRPr="00443638">
          <w:rPr>
            <w:rStyle w:val="Hipercze"/>
            <w:noProof/>
          </w:rPr>
          <w:t>Rysunek 31. Połączenia kolejowe na terenie MOF Olsztyna</w:t>
        </w:r>
        <w:r w:rsidR="006975FE">
          <w:rPr>
            <w:noProof/>
            <w:webHidden/>
          </w:rPr>
          <w:tab/>
        </w:r>
        <w:r w:rsidR="006975FE">
          <w:rPr>
            <w:noProof/>
            <w:webHidden/>
          </w:rPr>
          <w:fldChar w:fldCharType="begin"/>
        </w:r>
        <w:r w:rsidR="006975FE">
          <w:rPr>
            <w:noProof/>
            <w:webHidden/>
          </w:rPr>
          <w:instrText xml:space="preserve"> PAGEREF _Toc73516196 \h </w:instrText>
        </w:r>
        <w:r w:rsidR="006975FE">
          <w:rPr>
            <w:noProof/>
            <w:webHidden/>
          </w:rPr>
        </w:r>
        <w:r w:rsidR="006975FE">
          <w:rPr>
            <w:noProof/>
            <w:webHidden/>
          </w:rPr>
          <w:fldChar w:fldCharType="separate"/>
        </w:r>
        <w:r w:rsidR="00AD58C3">
          <w:rPr>
            <w:noProof/>
            <w:webHidden/>
          </w:rPr>
          <w:t>140</w:t>
        </w:r>
        <w:r w:rsidR="006975FE">
          <w:rPr>
            <w:noProof/>
            <w:webHidden/>
          </w:rPr>
          <w:fldChar w:fldCharType="end"/>
        </w:r>
      </w:hyperlink>
    </w:p>
    <w:p w14:paraId="0858C31D" w14:textId="7B7C835D" w:rsidR="00C73174" w:rsidRPr="00B46FD6" w:rsidRDefault="00C73174" w:rsidP="004A6875">
      <w:pPr>
        <w:spacing w:before="120" w:after="120" w:line="276" w:lineRule="auto"/>
        <w:rPr>
          <w:color w:val="FF0000"/>
        </w:rPr>
      </w:pPr>
      <w:r w:rsidRPr="00024A3B">
        <w:rPr>
          <w:color w:val="000000" w:themeColor="text1"/>
        </w:rPr>
        <w:fldChar w:fldCharType="end"/>
      </w:r>
    </w:p>
    <w:p w14:paraId="3C1B0DC0" w14:textId="39526C30" w:rsidR="00C73174" w:rsidRPr="00B46FD6" w:rsidRDefault="00C73174" w:rsidP="00F25738">
      <w:pPr>
        <w:rPr>
          <w:color w:val="FF0000"/>
        </w:rPr>
      </w:pPr>
    </w:p>
    <w:p w14:paraId="2A0D41BC" w14:textId="3E0F6B7A" w:rsidR="00C73174" w:rsidRPr="00B46FD6" w:rsidRDefault="00C73174" w:rsidP="00F25738">
      <w:pPr>
        <w:rPr>
          <w:color w:val="FF0000"/>
        </w:rPr>
      </w:pPr>
    </w:p>
    <w:p w14:paraId="709AF41F" w14:textId="4DE2ACDD" w:rsidR="00C73174" w:rsidRPr="00B46FD6" w:rsidRDefault="00C73174" w:rsidP="00F25738">
      <w:pPr>
        <w:rPr>
          <w:color w:val="FF0000"/>
        </w:rPr>
      </w:pPr>
    </w:p>
    <w:p w14:paraId="118F485F" w14:textId="77777777" w:rsidR="00011195" w:rsidRDefault="00011195">
      <w:pPr>
        <w:rPr>
          <w:rFonts w:asciiTheme="majorHAnsi" w:eastAsiaTheme="majorEastAsia" w:hAnsiTheme="majorHAnsi" w:cstheme="majorBidi"/>
          <w:color w:val="2E74B5" w:themeColor="accent1" w:themeShade="BF"/>
          <w:sz w:val="32"/>
          <w:szCs w:val="32"/>
        </w:rPr>
      </w:pPr>
      <w:bookmarkStart w:id="331" w:name="_Toc73534963"/>
      <w:r>
        <w:br w:type="page"/>
      </w:r>
    </w:p>
    <w:p w14:paraId="0C0E80CA" w14:textId="5CE67E7C" w:rsidR="00C73174" w:rsidRPr="00D63F7C" w:rsidRDefault="002F1741" w:rsidP="004A6875">
      <w:pPr>
        <w:pStyle w:val="Nagwek1"/>
        <w:spacing w:before="120" w:after="120" w:line="276" w:lineRule="auto"/>
      </w:pPr>
      <w:r w:rsidRPr="00D63F7C">
        <w:lastRenderedPageBreak/>
        <w:t>INDEKS</w:t>
      </w:r>
      <w:r w:rsidR="00C73174" w:rsidRPr="00D63F7C">
        <w:t xml:space="preserve"> TABEL</w:t>
      </w:r>
      <w:bookmarkEnd w:id="331"/>
    </w:p>
    <w:p w14:paraId="15917934" w14:textId="758CE507" w:rsidR="00CC6C79" w:rsidRDefault="00C73174">
      <w:pPr>
        <w:pStyle w:val="Spisilustracji"/>
        <w:tabs>
          <w:tab w:val="right" w:leader="dot" w:pos="9062"/>
        </w:tabs>
        <w:rPr>
          <w:rFonts w:eastAsiaTheme="minorEastAsia"/>
          <w:noProof/>
          <w:lang w:eastAsia="pl-PL"/>
        </w:rPr>
      </w:pPr>
      <w:r w:rsidRPr="00B46FD6">
        <w:rPr>
          <w:color w:val="FF0000"/>
        </w:rPr>
        <w:fldChar w:fldCharType="begin"/>
      </w:r>
      <w:r w:rsidRPr="00B46FD6">
        <w:rPr>
          <w:color w:val="FF0000"/>
        </w:rPr>
        <w:instrText xml:space="preserve"> TOC \h \z \c "Tabela" </w:instrText>
      </w:r>
      <w:r w:rsidRPr="00B46FD6">
        <w:rPr>
          <w:color w:val="FF0000"/>
        </w:rPr>
        <w:fldChar w:fldCharType="separate"/>
      </w:r>
      <w:hyperlink w:anchor="_Toc73534964" w:history="1">
        <w:r w:rsidR="00CC6C79" w:rsidRPr="00561298">
          <w:rPr>
            <w:rStyle w:val="Hipercze"/>
            <w:noProof/>
          </w:rPr>
          <w:t xml:space="preserve">Tabela 1. </w:t>
        </w:r>
        <w:r w:rsidR="00CC6C79" w:rsidRPr="00561298">
          <w:rPr>
            <w:rStyle w:val="Hipercze"/>
            <w:noProof/>
            <w:lang w:eastAsia="pl-PL"/>
          </w:rPr>
          <w:t>Udział ludności wg ekonomicznych grup wieku w % ludności ogółem (2013, 2019 z prognozą na rok 2030)</w:t>
        </w:r>
        <w:r w:rsidR="00CC6C79">
          <w:rPr>
            <w:noProof/>
            <w:webHidden/>
          </w:rPr>
          <w:tab/>
        </w:r>
        <w:r w:rsidR="00CC6C79">
          <w:rPr>
            <w:noProof/>
            <w:webHidden/>
          </w:rPr>
          <w:fldChar w:fldCharType="begin"/>
        </w:r>
        <w:r w:rsidR="00CC6C79">
          <w:rPr>
            <w:noProof/>
            <w:webHidden/>
          </w:rPr>
          <w:instrText xml:space="preserve"> PAGEREF _Toc73534964 \h </w:instrText>
        </w:r>
        <w:r w:rsidR="00CC6C79">
          <w:rPr>
            <w:noProof/>
            <w:webHidden/>
          </w:rPr>
        </w:r>
        <w:r w:rsidR="00CC6C79">
          <w:rPr>
            <w:noProof/>
            <w:webHidden/>
          </w:rPr>
          <w:fldChar w:fldCharType="separate"/>
        </w:r>
        <w:r w:rsidR="00AD58C3">
          <w:rPr>
            <w:noProof/>
            <w:webHidden/>
          </w:rPr>
          <w:t>9</w:t>
        </w:r>
        <w:r w:rsidR="00CC6C79">
          <w:rPr>
            <w:noProof/>
            <w:webHidden/>
          </w:rPr>
          <w:fldChar w:fldCharType="end"/>
        </w:r>
      </w:hyperlink>
    </w:p>
    <w:p w14:paraId="08E381C2" w14:textId="2E3E76D8" w:rsidR="00CC6C79" w:rsidRDefault="00D22FE8">
      <w:pPr>
        <w:pStyle w:val="Spisilustracji"/>
        <w:tabs>
          <w:tab w:val="right" w:leader="dot" w:pos="9062"/>
        </w:tabs>
        <w:rPr>
          <w:rFonts w:eastAsiaTheme="minorEastAsia"/>
          <w:noProof/>
          <w:lang w:eastAsia="pl-PL"/>
        </w:rPr>
      </w:pPr>
      <w:hyperlink w:anchor="_Toc73534965" w:history="1">
        <w:r w:rsidR="00CC6C79" w:rsidRPr="00561298">
          <w:rPr>
            <w:rStyle w:val="Hipercze"/>
            <w:noProof/>
          </w:rPr>
          <w:t xml:space="preserve">Tabela 2. </w:t>
        </w:r>
        <w:r w:rsidR="00CC6C79" w:rsidRPr="00561298">
          <w:rPr>
            <w:rStyle w:val="Hipercze"/>
            <w:rFonts w:eastAsia="Times New Roman" w:cs="Times New Roman"/>
            <w:bCs/>
            <w:noProof/>
            <w:lang w:eastAsia="pl-PL"/>
          </w:rPr>
          <w:t xml:space="preserve">Gęstość zaludnienia w roku 2019 </w:t>
        </w:r>
        <w:r w:rsidR="00CC6C79" w:rsidRPr="00561298">
          <w:rPr>
            <w:rStyle w:val="Hipercze"/>
            <w:noProof/>
          </w:rPr>
          <w:t xml:space="preserve">w wybranych miastach Polski Wschodniej i ich otoczeniu </w:t>
        </w:r>
        <w:r w:rsidR="00CC6C79" w:rsidRPr="00561298">
          <w:rPr>
            <w:rStyle w:val="Hipercze"/>
            <w:rFonts w:eastAsia="Times New Roman" w:cs="Times New Roman"/>
            <w:bCs/>
            <w:noProof/>
            <w:lang w:eastAsia="pl-PL"/>
          </w:rPr>
          <w:t>(osoby na 1 km</w:t>
        </w:r>
        <w:r w:rsidR="00CC6C79" w:rsidRPr="00561298">
          <w:rPr>
            <w:rStyle w:val="Hipercze"/>
            <w:rFonts w:eastAsia="Times New Roman" w:cs="Times New Roman"/>
            <w:bCs/>
            <w:noProof/>
            <w:vertAlign w:val="superscript"/>
            <w:lang w:eastAsia="pl-PL"/>
          </w:rPr>
          <w:t>2</w:t>
        </w:r>
        <w:r w:rsidR="00CC6C79" w:rsidRPr="00561298">
          <w:rPr>
            <w:rStyle w:val="Hipercze"/>
            <w:rFonts w:eastAsia="Times New Roman" w:cs="Times New Roman"/>
            <w:bCs/>
            <w:noProof/>
            <w:lang w:eastAsia="pl-PL"/>
          </w:rPr>
          <w:t>)</w:t>
        </w:r>
        <w:r w:rsidR="00CC6C79">
          <w:rPr>
            <w:noProof/>
            <w:webHidden/>
          </w:rPr>
          <w:tab/>
        </w:r>
        <w:r w:rsidR="00CC6C79">
          <w:rPr>
            <w:noProof/>
            <w:webHidden/>
          </w:rPr>
          <w:fldChar w:fldCharType="begin"/>
        </w:r>
        <w:r w:rsidR="00CC6C79">
          <w:rPr>
            <w:noProof/>
            <w:webHidden/>
          </w:rPr>
          <w:instrText xml:space="preserve"> PAGEREF _Toc73534965 \h </w:instrText>
        </w:r>
        <w:r w:rsidR="00CC6C79">
          <w:rPr>
            <w:noProof/>
            <w:webHidden/>
          </w:rPr>
        </w:r>
        <w:r w:rsidR="00CC6C79">
          <w:rPr>
            <w:noProof/>
            <w:webHidden/>
          </w:rPr>
          <w:fldChar w:fldCharType="separate"/>
        </w:r>
        <w:r w:rsidR="00AD58C3">
          <w:rPr>
            <w:noProof/>
            <w:webHidden/>
          </w:rPr>
          <w:t>10</w:t>
        </w:r>
        <w:r w:rsidR="00CC6C79">
          <w:rPr>
            <w:noProof/>
            <w:webHidden/>
          </w:rPr>
          <w:fldChar w:fldCharType="end"/>
        </w:r>
      </w:hyperlink>
    </w:p>
    <w:p w14:paraId="1AF595FE" w14:textId="27188535" w:rsidR="00CC6C79" w:rsidRDefault="00D22FE8">
      <w:pPr>
        <w:pStyle w:val="Spisilustracji"/>
        <w:tabs>
          <w:tab w:val="right" w:leader="dot" w:pos="9062"/>
        </w:tabs>
        <w:rPr>
          <w:rFonts w:eastAsiaTheme="minorEastAsia"/>
          <w:noProof/>
          <w:lang w:eastAsia="pl-PL"/>
        </w:rPr>
      </w:pPr>
      <w:hyperlink w:anchor="_Toc73534966" w:history="1">
        <w:r w:rsidR="00CC6C79" w:rsidRPr="00561298">
          <w:rPr>
            <w:rStyle w:val="Hipercze"/>
            <w:noProof/>
          </w:rPr>
          <w:t>Tabela 3. Liczba mieszkańców korzystających z pomocy społecznej z powodu ubóstwa na 1 tys. mieszkańców</w:t>
        </w:r>
        <w:r w:rsidR="00CC6C79">
          <w:rPr>
            <w:noProof/>
            <w:webHidden/>
          </w:rPr>
          <w:tab/>
        </w:r>
        <w:r w:rsidR="00CC6C79">
          <w:rPr>
            <w:noProof/>
            <w:webHidden/>
          </w:rPr>
          <w:fldChar w:fldCharType="begin"/>
        </w:r>
        <w:r w:rsidR="00CC6C79">
          <w:rPr>
            <w:noProof/>
            <w:webHidden/>
          </w:rPr>
          <w:instrText xml:space="preserve"> PAGEREF _Toc73534966 \h </w:instrText>
        </w:r>
        <w:r w:rsidR="00CC6C79">
          <w:rPr>
            <w:noProof/>
            <w:webHidden/>
          </w:rPr>
        </w:r>
        <w:r w:rsidR="00CC6C79">
          <w:rPr>
            <w:noProof/>
            <w:webHidden/>
          </w:rPr>
          <w:fldChar w:fldCharType="separate"/>
        </w:r>
        <w:r w:rsidR="00AD58C3">
          <w:rPr>
            <w:noProof/>
            <w:webHidden/>
          </w:rPr>
          <w:t>16</w:t>
        </w:r>
        <w:r w:rsidR="00CC6C79">
          <w:rPr>
            <w:noProof/>
            <w:webHidden/>
          </w:rPr>
          <w:fldChar w:fldCharType="end"/>
        </w:r>
      </w:hyperlink>
    </w:p>
    <w:p w14:paraId="5A87F2AF" w14:textId="0F5134F9" w:rsidR="00CC6C79" w:rsidRDefault="00D22FE8">
      <w:pPr>
        <w:pStyle w:val="Spisilustracji"/>
        <w:tabs>
          <w:tab w:val="right" w:leader="dot" w:pos="9062"/>
        </w:tabs>
        <w:rPr>
          <w:rFonts w:eastAsiaTheme="minorEastAsia"/>
          <w:noProof/>
          <w:lang w:eastAsia="pl-PL"/>
        </w:rPr>
      </w:pPr>
      <w:hyperlink w:anchor="_Toc73534967" w:history="1">
        <w:r w:rsidR="00CC6C79" w:rsidRPr="00561298">
          <w:rPr>
            <w:rStyle w:val="Hipercze"/>
            <w:noProof/>
          </w:rPr>
          <w:t>Tabela 4. Bezrobotni zarejestrowani w urzędzie pracy w roku 2013 i 2020</w:t>
        </w:r>
        <w:r w:rsidR="00CC6C79">
          <w:rPr>
            <w:noProof/>
            <w:webHidden/>
          </w:rPr>
          <w:tab/>
        </w:r>
        <w:r w:rsidR="00CC6C79">
          <w:rPr>
            <w:noProof/>
            <w:webHidden/>
          </w:rPr>
          <w:fldChar w:fldCharType="begin"/>
        </w:r>
        <w:r w:rsidR="00CC6C79">
          <w:rPr>
            <w:noProof/>
            <w:webHidden/>
          </w:rPr>
          <w:instrText xml:space="preserve"> PAGEREF _Toc73534967 \h </w:instrText>
        </w:r>
        <w:r w:rsidR="00CC6C79">
          <w:rPr>
            <w:noProof/>
            <w:webHidden/>
          </w:rPr>
        </w:r>
        <w:r w:rsidR="00CC6C79">
          <w:rPr>
            <w:noProof/>
            <w:webHidden/>
          </w:rPr>
          <w:fldChar w:fldCharType="separate"/>
        </w:r>
        <w:r w:rsidR="00AD58C3">
          <w:rPr>
            <w:noProof/>
            <w:webHidden/>
          </w:rPr>
          <w:t>20</w:t>
        </w:r>
        <w:r w:rsidR="00CC6C79">
          <w:rPr>
            <w:noProof/>
            <w:webHidden/>
          </w:rPr>
          <w:fldChar w:fldCharType="end"/>
        </w:r>
      </w:hyperlink>
    </w:p>
    <w:p w14:paraId="2C76135E" w14:textId="2DD9DA2C" w:rsidR="00CC6C79" w:rsidRDefault="00D22FE8">
      <w:pPr>
        <w:pStyle w:val="Spisilustracji"/>
        <w:tabs>
          <w:tab w:val="right" w:leader="dot" w:pos="9062"/>
        </w:tabs>
        <w:rPr>
          <w:rFonts w:eastAsiaTheme="minorEastAsia"/>
          <w:noProof/>
          <w:lang w:eastAsia="pl-PL"/>
        </w:rPr>
      </w:pPr>
      <w:hyperlink w:anchor="_Toc73534968" w:history="1">
        <w:r w:rsidR="00CC6C79" w:rsidRPr="00561298">
          <w:rPr>
            <w:rStyle w:val="Hipercze"/>
            <w:noProof/>
          </w:rPr>
          <w:t xml:space="preserve">Tabela 5. </w:t>
        </w:r>
        <w:r w:rsidR="00CC6C79" w:rsidRPr="00561298">
          <w:rPr>
            <w:rStyle w:val="Hipercze"/>
            <w:rFonts w:eastAsia="Times New Roman" w:cs="Times New Roman"/>
            <w:noProof/>
            <w:lang w:eastAsia="pl-PL"/>
          </w:rPr>
          <w:t>Niepełnosprawni zarejestrowani w urzędzie pracy (os.) w latach 2013-2020</w:t>
        </w:r>
        <w:r w:rsidR="00CC6C79">
          <w:rPr>
            <w:noProof/>
            <w:webHidden/>
          </w:rPr>
          <w:tab/>
        </w:r>
        <w:r w:rsidR="00CC6C79">
          <w:rPr>
            <w:noProof/>
            <w:webHidden/>
          </w:rPr>
          <w:fldChar w:fldCharType="begin"/>
        </w:r>
        <w:r w:rsidR="00CC6C79">
          <w:rPr>
            <w:noProof/>
            <w:webHidden/>
          </w:rPr>
          <w:instrText xml:space="preserve"> PAGEREF _Toc73534968 \h </w:instrText>
        </w:r>
        <w:r w:rsidR="00CC6C79">
          <w:rPr>
            <w:noProof/>
            <w:webHidden/>
          </w:rPr>
        </w:r>
        <w:r w:rsidR="00CC6C79">
          <w:rPr>
            <w:noProof/>
            <w:webHidden/>
          </w:rPr>
          <w:fldChar w:fldCharType="separate"/>
        </w:r>
        <w:r w:rsidR="00AD58C3">
          <w:rPr>
            <w:noProof/>
            <w:webHidden/>
          </w:rPr>
          <w:t>21</w:t>
        </w:r>
        <w:r w:rsidR="00CC6C79">
          <w:rPr>
            <w:noProof/>
            <w:webHidden/>
          </w:rPr>
          <w:fldChar w:fldCharType="end"/>
        </w:r>
      </w:hyperlink>
    </w:p>
    <w:p w14:paraId="48D1D749" w14:textId="4D37C766" w:rsidR="00CC6C79" w:rsidRDefault="00D22FE8">
      <w:pPr>
        <w:pStyle w:val="Spisilustracji"/>
        <w:tabs>
          <w:tab w:val="right" w:leader="dot" w:pos="9062"/>
        </w:tabs>
        <w:rPr>
          <w:rFonts w:eastAsiaTheme="minorEastAsia"/>
          <w:noProof/>
          <w:lang w:eastAsia="pl-PL"/>
        </w:rPr>
      </w:pPr>
      <w:hyperlink w:anchor="_Toc73534969" w:history="1">
        <w:r w:rsidR="00CC6C79" w:rsidRPr="00561298">
          <w:rPr>
            <w:rStyle w:val="Hipercze"/>
            <w:noProof/>
          </w:rPr>
          <w:t>Tabela 6. Mieszkańcy Olsztyna korzystający z pomocy społecznej z powodu bezrobocia na 1 tys. ludności</w:t>
        </w:r>
        <w:r w:rsidR="00CC6C79">
          <w:rPr>
            <w:noProof/>
            <w:webHidden/>
          </w:rPr>
          <w:tab/>
        </w:r>
        <w:r w:rsidR="00CC6C79">
          <w:rPr>
            <w:noProof/>
            <w:webHidden/>
          </w:rPr>
          <w:fldChar w:fldCharType="begin"/>
        </w:r>
        <w:r w:rsidR="00CC6C79">
          <w:rPr>
            <w:noProof/>
            <w:webHidden/>
          </w:rPr>
          <w:instrText xml:space="preserve"> PAGEREF _Toc73534969 \h </w:instrText>
        </w:r>
        <w:r w:rsidR="00CC6C79">
          <w:rPr>
            <w:noProof/>
            <w:webHidden/>
          </w:rPr>
        </w:r>
        <w:r w:rsidR="00CC6C79">
          <w:rPr>
            <w:noProof/>
            <w:webHidden/>
          </w:rPr>
          <w:fldChar w:fldCharType="separate"/>
        </w:r>
        <w:r w:rsidR="00AD58C3">
          <w:rPr>
            <w:noProof/>
            <w:webHidden/>
          </w:rPr>
          <w:t>22</w:t>
        </w:r>
        <w:r w:rsidR="00CC6C79">
          <w:rPr>
            <w:noProof/>
            <w:webHidden/>
          </w:rPr>
          <w:fldChar w:fldCharType="end"/>
        </w:r>
      </w:hyperlink>
    </w:p>
    <w:p w14:paraId="353CF911" w14:textId="6707946F" w:rsidR="00CC6C79" w:rsidRDefault="00D22FE8">
      <w:pPr>
        <w:pStyle w:val="Spisilustracji"/>
        <w:tabs>
          <w:tab w:val="right" w:leader="dot" w:pos="9062"/>
        </w:tabs>
        <w:rPr>
          <w:rFonts w:eastAsiaTheme="minorEastAsia"/>
          <w:noProof/>
          <w:lang w:eastAsia="pl-PL"/>
        </w:rPr>
      </w:pPr>
      <w:hyperlink w:anchor="_Toc73534970" w:history="1">
        <w:r w:rsidR="00CC6C79" w:rsidRPr="00561298">
          <w:rPr>
            <w:rStyle w:val="Hipercze"/>
            <w:noProof/>
          </w:rPr>
          <w:t>Tabela 7. Pozycja Olsztyna w rankingu – raport Bezpieczne i otwarte miasta</w:t>
        </w:r>
        <w:r w:rsidR="00CC6C79">
          <w:rPr>
            <w:noProof/>
            <w:webHidden/>
          </w:rPr>
          <w:tab/>
        </w:r>
        <w:r w:rsidR="00CC6C79">
          <w:rPr>
            <w:noProof/>
            <w:webHidden/>
          </w:rPr>
          <w:fldChar w:fldCharType="begin"/>
        </w:r>
        <w:r w:rsidR="00CC6C79">
          <w:rPr>
            <w:noProof/>
            <w:webHidden/>
          </w:rPr>
          <w:instrText xml:space="preserve"> PAGEREF _Toc73534970 \h </w:instrText>
        </w:r>
        <w:r w:rsidR="00CC6C79">
          <w:rPr>
            <w:noProof/>
            <w:webHidden/>
          </w:rPr>
        </w:r>
        <w:r w:rsidR="00CC6C79">
          <w:rPr>
            <w:noProof/>
            <w:webHidden/>
          </w:rPr>
          <w:fldChar w:fldCharType="separate"/>
        </w:r>
        <w:r w:rsidR="00AD58C3">
          <w:rPr>
            <w:noProof/>
            <w:webHidden/>
          </w:rPr>
          <w:t>28</w:t>
        </w:r>
        <w:r w:rsidR="00CC6C79">
          <w:rPr>
            <w:noProof/>
            <w:webHidden/>
          </w:rPr>
          <w:fldChar w:fldCharType="end"/>
        </w:r>
      </w:hyperlink>
    </w:p>
    <w:p w14:paraId="7F2BCA14" w14:textId="40B2C28C" w:rsidR="00CC6C79" w:rsidRDefault="00D22FE8">
      <w:pPr>
        <w:pStyle w:val="Spisilustracji"/>
        <w:tabs>
          <w:tab w:val="right" w:leader="dot" w:pos="9062"/>
        </w:tabs>
        <w:rPr>
          <w:rFonts w:eastAsiaTheme="minorEastAsia"/>
          <w:noProof/>
          <w:lang w:eastAsia="pl-PL"/>
        </w:rPr>
      </w:pPr>
      <w:hyperlink w:anchor="_Toc73534971" w:history="1">
        <w:r w:rsidR="00CC6C79" w:rsidRPr="00561298">
          <w:rPr>
            <w:rStyle w:val="Hipercze"/>
            <w:noProof/>
          </w:rPr>
          <w:t xml:space="preserve">Tabela 8. </w:t>
        </w:r>
        <w:r w:rsidR="00CC6C79" w:rsidRPr="00561298">
          <w:rPr>
            <w:rStyle w:val="Hipercze"/>
            <w:rFonts w:eastAsia="Times New Roman" w:cs="Times New Roman"/>
            <w:noProof/>
            <w:lang w:eastAsia="pl-PL"/>
          </w:rPr>
          <w:t>Fundacje, stowarzyszenia i organizacje społeczne na 10 tys. mieszkańców</w:t>
        </w:r>
        <w:r w:rsidR="00CC6C79">
          <w:rPr>
            <w:noProof/>
            <w:webHidden/>
          </w:rPr>
          <w:tab/>
        </w:r>
        <w:r w:rsidR="00CC6C79">
          <w:rPr>
            <w:noProof/>
            <w:webHidden/>
          </w:rPr>
          <w:fldChar w:fldCharType="begin"/>
        </w:r>
        <w:r w:rsidR="00CC6C79">
          <w:rPr>
            <w:noProof/>
            <w:webHidden/>
          </w:rPr>
          <w:instrText xml:space="preserve"> PAGEREF _Toc73534971 \h </w:instrText>
        </w:r>
        <w:r w:rsidR="00CC6C79">
          <w:rPr>
            <w:noProof/>
            <w:webHidden/>
          </w:rPr>
        </w:r>
        <w:r w:rsidR="00CC6C79">
          <w:rPr>
            <w:noProof/>
            <w:webHidden/>
          </w:rPr>
          <w:fldChar w:fldCharType="separate"/>
        </w:r>
        <w:r w:rsidR="00AD58C3">
          <w:rPr>
            <w:noProof/>
            <w:webHidden/>
          </w:rPr>
          <w:t>35</w:t>
        </w:r>
        <w:r w:rsidR="00CC6C79">
          <w:rPr>
            <w:noProof/>
            <w:webHidden/>
          </w:rPr>
          <w:fldChar w:fldCharType="end"/>
        </w:r>
      </w:hyperlink>
    </w:p>
    <w:p w14:paraId="4DF4575A" w14:textId="7FEB35C8" w:rsidR="00CC6C79" w:rsidRDefault="00D22FE8">
      <w:pPr>
        <w:pStyle w:val="Spisilustracji"/>
        <w:tabs>
          <w:tab w:val="right" w:leader="dot" w:pos="9062"/>
        </w:tabs>
        <w:rPr>
          <w:rFonts w:eastAsiaTheme="minorEastAsia"/>
          <w:noProof/>
          <w:lang w:eastAsia="pl-PL"/>
        </w:rPr>
      </w:pPr>
      <w:hyperlink w:anchor="_Toc73534972" w:history="1">
        <w:r w:rsidR="00CC6C79" w:rsidRPr="00561298">
          <w:rPr>
            <w:rStyle w:val="Hipercze"/>
            <w:noProof/>
          </w:rPr>
          <w:t>Tabela 9. Okręgi wyborcze w Olsztynie w wyborach samorządowych 2018</w:t>
        </w:r>
        <w:r w:rsidR="00CC6C79">
          <w:rPr>
            <w:noProof/>
            <w:webHidden/>
          </w:rPr>
          <w:tab/>
        </w:r>
        <w:r w:rsidR="00CC6C79">
          <w:rPr>
            <w:noProof/>
            <w:webHidden/>
          </w:rPr>
          <w:fldChar w:fldCharType="begin"/>
        </w:r>
        <w:r w:rsidR="00CC6C79">
          <w:rPr>
            <w:noProof/>
            <w:webHidden/>
          </w:rPr>
          <w:instrText xml:space="preserve"> PAGEREF _Toc73534972 \h </w:instrText>
        </w:r>
        <w:r w:rsidR="00CC6C79">
          <w:rPr>
            <w:noProof/>
            <w:webHidden/>
          </w:rPr>
        </w:r>
        <w:r w:rsidR="00CC6C79">
          <w:rPr>
            <w:noProof/>
            <w:webHidden/>
          </w:rPr>
          <w:fldChar w:fldCharType="separate"/>
        </w:r>
        <w:r w:rsidR="00AD58C3">
          <w:rPr>
            <w:noProof/>
            <w:webHidden/>
          </w:rPr>
          <w:t>37</w:t>
        </w:r>
        <w:r w:rsidR="00CC6C79">
          <w:rPr>
            <w:noProof/>
            <w:webHidden/>
          </w:rPr>
          <w:fldChar w:fldCharType="end"/>
        </w:r>
      </w:hyperlink>
    </w:p>
    <w:p w14:paraId="31C7FBBA" w14:textId="7ADD84DF" w:rsidR="00CC6C79" w:rsidRDefault="00D22FE8">
      <w:pPr>
        <w:pStyle w:val="Spisilustracji"/>
        <w:tabs>
          <w:tab w:val="right" w:leader="dot" w:pos="9062"/>
        </w:tabs>
        <w:rPr>
          <w:rFonts w:eastAsiaTheme="minorEastAsia"/>
          <w:noProof/>
          <w:lang w:eastAsia="pl-PL"/>
        </w:rPr>
      </w:pPr>
      <w:hyperlink w:anchor="_Toc73534973" w:history="1">
        <w:r w:rsidR="00CC6C79" w:rsidRPr="00561298">
          <w:rPr>
            <w:rStyle w:val="Hipercze"/>
            <w:noProof/>
          </w:rPr>
          <w:t>Tabela 10. Powierzchnia gruntów leśnych (ha)</w:t>
        </w:r>
        <w:r w:rsidR="00CC6C79">
          <w:rPr>
            <w:noProof/>
            <w:webHidden/>
          </w:rPr>
          <w:tab/>
        </w:r>
        <w:r w:rsidR="00CC6C79">
          <w:rPr>
            <w:noProof/>
            <w:webHidden/>
          </w:rPr>
          <w:fldChar w:fldCharType="begin"/>
        </w:r>
        <w:r w:rsidR="00CC6C79">
          <w:rPr>
            <w:noProof/>
            <w:webHidden/>
          </w:rPr>
          <w:instrText xml:space="preserve"> PAGEREF _Toc73534973 \h </w:instrText>
        </w:r>
        <w:r w:rsidR="00CC6C79">
          <w:rPr>
            <w:noProof/>
            <w:webHidden/>
          </w:rPr>
        </w:r>
        <w:r w:rsidR="00CC6C79">
          <w:rPr>
            <w:noProof/>
            <w:webHidden/>
          </w:rPr>
          <w:fldChar w:fldCharType="separate"/>
        </w:r>
        <w:r w:rsidR="00AD58C3">
          <w:rPr>
            <w:noProof/>
            <w:webHidden/>
          </w:rPr>
          <w:t>40</w:t>
        </w:r>
        <w:r w:rsidR="00CC6C79">
          <w:rPr>
            <w:noProof/>
            <w:webHidden/>
          </w:rPr>
          <w:fldChar w:fldCharType="end"/>
        </w:r>
      </w:hyperlink>
    </w:p>
    <w:p w14:paraId="6010D4DA" w14:textId="5F177D00" w:rsidR="00CC6C79" w:rsidRDefault="00D22FE8">
      <w:pPr>
        <w:pStyle w:val="Spisilustracji"/>
        <w:tabs>
          <w:tab w:val="right" w:leader="dot" w:pos="9062"/>
        </w:tabs>
        <w:rPr>
          <w:rFonts w:eastAsiaTheme="minorEastAsia"/>
          <w:noProof/>
          <w:lang w:eastAsia="pl-PL"/>
        </w:rPr>
      </w:pPr>
      <w:hyperlink w:anchor="_Toc73534974" w:history="1">
        <w:r w:rsidR="00CC6C79" w:rsidRPr="00561298">
          <w:rPr>
            <w:rStyle w:val="Hipercze"/>
            <w:noProof/>
          </w:rPr>
          <w:t xml:space="preserve">Tabela 11. </w:t>
        </w:r>
        <w:r w:rsidR="00CC6C79" w:rsidRPr="00561298">
          <w:rPr>
            <w:rStyle w:val="Hipercze"/>
            <w:rFonts w:eastAsia="Times New Roman" w:cs="Times New Roman"/>
            <w:noProof/>
            <w:lang w:eastAsia="pl-PL"/>
          </w:rPr>
          <w:t>Udział % obszarów prawnie chronionych w powierzchni ogółem w latach 2013-2019</w:t>
        </w:r>
        <w:r w:rsidR="00CC6C79">
          <w:rPr>
            <w:noProof/>
            <w:webHidden/>
          </w:rPr>
          <w:tab/>
        </w:r>
        <w:r w:rsidR="00CC6C79">
          <w:rPr>
            <w:noProof/>
            <w:webHidden/>
          </w:rPr>
          <w:fldChar w:fldCharType="begin"/>
        </w:r>
        <w:r w:rsidR="00CC6C79">
          <w:rPr>
            <w:noProof/>
            <w:webHidden/>
          </w:rPr>
          <w:instrText xml:space="preserve"> PAGEREF _Toc73534974 \h </w:instrText>
        </w:r>
        <w:r w:rsidR="00CC6C79">
          <w:rPr>
            <w:noProof/>
            <w:webHidden/>
          </w:rPr>
        </w:r>
        <w:r w:rsidR="00CC6C79">
          <w:rPr>
            <w:noProof/>
            <w:webHidden/>
          </w:rPr>
          <w:fldChar w:fldCharType="separate"/>
        </w:r>
        <w:r w:rsidR="00AD58C3">
          <w:rPr>
            <w:noProof/>
            <w:webHidden/>
          </w:rPr>
          <w:t>41</w:t>
        </w:r>
        <w:r w:rsidR="00CC6C79">
          <w:rPr>
            <w:noProof/>
            <w:webHidden/>
          </w:rPr>
          <w:fldChar w:fldCharType="end"/>
        </w:r>
      </w:hyperlink>
    </w:p>
    <w:p w14:paraId="00C29793" w14:textId="1B7D1BA2" w:rsidR="00CC6C79" w:rsidRDefault="00D22FE8">
      <w:pPr>
        <w:pStyle w:val="Spisilustracji"/>
        <w:tabs>
          <w:tab w:val="right" w:leader="dot" w:pos="9062"/>
        </w:tabs>
        <w:rPr>
          <w:rFonts w:eastAsiaTheme="minorEastAsia"/>
          <w:noProof/>
          <w:lang w:eastAsia="pl-PL"/>
        </w:rPr>
      </w:pPr>
      <w:hyperlink w:anchor="_Toc73534975" w:history="1">
        <w:r w:rsidR="00CC6C79" w:rsidRPr="00561298">
          <w:rPr>
            <w:rStyle w:val="Hipercze"/>
            <w:noProof/>
          </w:rPr>
          <w:t>Tabela 12. Liczba parków spacerowo wypoczynkowych (szt.)</w:t>
        </w:r>
        <w:r w:rsidR="00CC6C79">
          <w:rPr>
            <w:noProof/>
            <w:webHidden/>
          </w:rPr>
          <w:tab/>
        </w:r>
        <w:r w:rsidR="00CC6C79">
          <w:rPr>
            <w:noProof/>
            <w:webHidden/>
          </w:rPr>
          <w:fldChar w:fldCharType="begin"/>
        </w:r>
        <w:r w:rsidR="00CC6C79">
          <w:rPr>
            <w:noProof/>
            <w:webHidden/>
          </w:rPr>
          <w:instrText xml:space="preserve"> PAGEREF _Toc73534975 \h </w:instrText>
        </w:r>
        <w:r w:rsidR="00CC6C79">
          <w:rPr>
            <w:noProof/>
            <w:webHidden/>
          </w:rPr>
        </w:r>
        <w:r w:rsidR="00CC6C79">
          <w:rPr>
            <w:noProof/>
            <w:webHidden/>
          </w:rPr>
          <w:fldChar w:fldCharType="separate"/>
        </w:r>
        <w:r w:rsidR="00AD58C3">
          <w:rPr>
            <w:noProof/>
            <w:webHidden/>
          </w:rPr>
          <w:t>41</w:t>
        </w:r>
        <w:r w:rsidR="00CC6C79">
          <w:rPr>
            <w:noProof/>
            <w:webHidden/>
          </w:rPr>
          <w:fldChar w:fldCharType="end"/>
        </w:r>
      </w:hyperlink>
    </w:p>
    <w:p w14:paraId="443D96DA" w14:textId="0D123E94" w:rsidR="00CC6C79" w:rsidRDefault="00D22FE8">
      <w:pPr>
        <w:pStyle w:val="Spisilustracji"/>
        <w:tabs>
          <w:tab w:val="right" w:leader="dot" w:pos="9062"/>
        </w:tabs>
        <w:rPr>
          <w:rFonts w:eastAsiaTheme="minorEastAsia"/>
          <w:noProof/>
          <w:lang w:eastAsia="pl-PL"/>
        </w:rPr>
      </w:pPr>
      <w:hyperlink w:anchor="_Toc73534976" w:history="1">
        <w:r w:rsidR="00CC6C79" w:rsidRPr="00561298">
          <w:rPr>
            <w:rStyle w:val="Hipercze"/>
            <w:noProof/>
          </w:rPr>
          <w:t>Tabela 13. Powierzchnia parków spacerowo-wypoczynkowych (ha)</w:t>
        </w:r>
        <w:r w:rsidR="00CC6C79">
          <w:rPr>
            <w:noProof/>
            <w:webHidden/>
          </w:rPr>
          <w:tab/>
        </w:r>
        <w:r w:rsidR="00CC6C79">
          <w:rPr>
            <w:noProof/>
            <w:webHidden/>
          </w:rPr>
          <w:fldChar w:fldCharType="begin"/>
        </w:r>
        <w:r w:rsidR="00CC6C79">
          <w:rPr>
            <w:noProof/>
            <w:webHidden/>
          </w:rPr>
          <w:instrText xml:space="preserve"> PAGEREF _Toc73534976 \h </w:instrText>
        </w:r>
        <w:r w:rsidR="00CC6C79">
          <w:rPr>
            <w:noProof/>
            <w:webHidden/>
          </w:rPr>
        </w:r>
        <w:r w:rsidR="00CC6C79">
          <w:rPr>
            <w:noProof/>
            <w:webHidden/>
          </w:rPr>
          <w:fldChar w:fldCharType="separate"/>
        </w:r>
        <w:r w:rsidR="00AD58C3">
          <w:rPr>
            <w:noProof/>
            <w:webHidden/>
          </w:rPr>
          <w:t>41</w:t>
        </w:r>
        <w:r w:rsidR="00CC6C79">
          <w:rPr>
            <w:noProof/>
            <w:webHidden/>
          </w:rPr>
          <w:fldChar w:fldCharType="end"/>
        </w:r>
      </w:hyperlink>
    </w:p>
    <w:p w14:paraId="09D108BC" w14:textId="20633128" w:rsidR="00CC6C79" w:rsidRDefault="00D22FE8">
      <w:pPr>
        <w:pStyle w:val="Spisilustracji"/>
        <w:tabs>
          <w:tab w:val="right" w:leader="dot" w:pos="9062"/>
        </w:tabs>
        <w:rPr>
          <w:rFonts w:eastAsiaTheme="minorEastAsia"/>
          <w:noProof/>
          <w:lang w:eastAsia="pl-PL"/>
        </w:rPr>
      </w:pPr>
      <w:hyperlink w:anchor="_Toc73534977" w:history="1">
        <w:r w:rsidR="00CC6C79" w:rsidRPr="00561298">
          <w:rPr>
            <w:rStyle w:val="Hipercze"/>
            <w:noProof/>
          </w:rPr>
          <w:t xml:space="preserve">Tabela 14. </w:t>
        </w:r>
        <w:r w:rsidR="00CC6C79" w:rsidRPr="00561298">
          <w:rPr>
            <w:rStyle w:val="Hipercze"/>
            <w:bCs/>
            <w:noProof/>
          </w:rPr>
          <w:t>Naruszenia dopuszczalnych poziomów hałasu – hałas drogowy – m. Olsztyn</w:t>
        </w:r>
        <w:r w:rsidR="00CC6C79">
          <w:rPr>
            <w:noProof/>
            <w:webHidden/>
          </w:rPr>
          <w:tab/>
        </w:r>
        <w:r w:rsidR="00CC6C79">
          <w:rPr>
            <w:noProof/>
            <w:webHidden/>
          </w:rPr>
          <w:fldChar w:fldCharType="begin"/>
        </w:r>
        <w:r w:rsidR="00CC6C79">
          <w:rPr>
            <w:noProof/>
            <w:webHidden/>
          </w:rPr>
          <w:instrText xml:space="preserve"> PAGEREF _Toc73534977 \h </w:instrText>
        </w:r>
        <w:r w:rsidR="00CC6C79">
          <w:rPr>
            <w:noProof/>
            <w:webHidden/>
          </w:rPr>
        </w:r>
        <w:r w:rsidR="00CC6C79">
          <w:rPr>
            <w:noProof/>
            <w:webHidden/>
          </w:rPr>
          <w:fldChar w:fldCharType="separate"/>
        </w:r>
        <w:r w:rsidR="00AD58C3">
          <w:rPr>
            <w:noProof/>
            <w:webHidden/>
          </w:rPr>
          <w:t>53</w:t>
        </w:r>
        <w:r w:rsidR="00CC6C79">
          <w:rPr>
            <w:noProof/>
            <w:webHidden/>
          </w:rPr>
          <w:fldChar w:fldCharType="end"/>
        </w:r>
      </w:hyperlink>
    </w:p>
    <w:p w14:paraId="3348C394" w14:textId="70D09032" w:rsidR="00CC6C79" w:rsidRDefault="00D22FE8">
      <w:pPr>
        <w:pStyle w:val="Spisilustracji"/>
        <w:tabs>
          <w:tab w:val="right" w:leader="dot" w:pos="9062"/>
        </w:tabs>
        <w:rPr>
          <w:rFonts w:eastAsiaTheme="minorEastAsia"/>
          <w:noProof/>
          <w:lang w:eastAsia="pl-PL"/>
        </w:rPr>
      </w:pPr>
      <w:hyperlink w:anchor="_Toc73534978" w:history="1">
        <w:r w:rsidR="00CC6C79" w:rsidRPr="00561298">
          <w:rPr>
            <w:rStyle w:val="Hipercze"/>
            <w:noProof/>
          </w:rPr>
          <w:t>Tabela 15. Średnie miesięczne i roczne temperatury powietrza w Olsztynie w latach 2014-2019</w:t>
        </w:r>
        <w:r w:rsidR="00CC6C79">
          <w:rPr>
            <w:noProof/>
            <w:webHidden/>
          </w:rPr>
          <w:tab/>
        </w:r>
        <w:r w:rsidR="00CC6C79">
          <w:rPr>
            <w:noProof/>
            <w:webHidden/>
          </w:rPr>
          <w:fldChar w:fldCharType="begin"/>
        </w:r>
        <w:r w:rsidR="00CC6C79">
          <w:rPr>
            <w:noProof/>
            <w:webHidden/>
          </w:rPr>
          <w:instrText xml:space="preserve"> PAGEREF _Toc73534978 \h </w:instrText>
        </w:r>
        <w:r w:rsidR="00CC6C79">
          <w:rPr>
            <w:noProof/>
            <w:webHidden/>
          </w:rPr>
        </w:r>
        <w:r w:rsidR="00CC6C79">
          <w:rPr>
            <w:noProof/>
            <w:webHidden/>
          </w:rPr>
          <w:fldChar w:fldCharType="separate"/>
        </w:r>
        <w:r w:rsidR="00AD58C3">
          <w:rPr>
            <w:noProof/>
            <w:webHidden/>
          </w:rPr>
          <w:t>56</w:t>
        </w:r>
        <w:r w:rsidR="00CC6C79">
          <w:rPr>
            <w:noProof/>
            <w:webHidden/>
          </w:rPr>
          <w:fldChar w:fldCharType="end"/>
        </w:r>
      </w:hyperlink>
    </w:p>
    <w:p w14:paraId="0983CFD9" w14:textId="7899F1C1" w:rsidR="00CC6C79" w:rsidRDefault="00D22FE8">
      <w:pPr>
        <w:pStyle w:val="Spisilustracji"/>
        <w:tabs>
          <w:tab w:val="right" w:leader="dot" w:pos="9062"/>
        </w:tabs>
        <w:rPr>
          <w:rFonts w:eastAsiaTheme="minorEastAsia"/>
          <w:noProof/>
          <w:lang w:eastAsia="pl-PL"/>
        </w:rPr>
      </w:pPr>
      <w:hyperlink w:anchor="_Toc73534979" w:history="1">
        <w:r w:rsidR="00CC6C79" w:rsidRPr="00561298">
          <w:rPr>
            <w:rStyle w:val="Hipercze"/>
            <w:noProof/>
          </w:rPr>
          <w:t>Tabela 16. Suma opadów atmosferycznych – średnia miesięczna i roczna w Olsztynie w latach 2014-2019</w:t>
        </w:r>
        <w:r w:rsidR="00CC6C79">
          <w:rPr>
            <w:noProof/>
            <w:webHidden/>
          </w:rPr>
          <w:tab/>
        </w:r>
        <w:r w:rsidR="00CC6C79">
          <w:rPr>
            <w:noProof/>
            <w:webHidden/>
          </w:rPr>
          <w:fldChar w:fldCharType="begin"/>
        </w:r>
        <w:r w:rsidR="00CC6C79">
          <w:rPr>
            <w:noProof/>
            <w:webHidden/>
          </w:rPr>
          <w:instrText xml:space="preserve"> PAGEREF _Toc73534979 \h </w:instrText>
        </w:r>
        <w:r w:rsidR="00CC6C79">
          <w:rPr>
            <w:noProof/>
            <w:webHidden/>
          </w:rPr>
        </w:r>
        <w:r w:rsidR="00CC6C79">
          <w:rPr>
            <w:noProof/>
            <w:webHidden/>
          </w:rPr>
          <w:fldChar w:fldCharType="separate"/>
        </w:r>
        <w:r w:rsidR="00AD58C3">
          <w:rPr>
            <w:noProof/>
            <w:webHidden/>
          </w:rPr>
          <w:t>58</w:t>
        </w:r>
        <w:r w:rsidR="00CC6C79">
          <w:rPr>
            <w:noProof/>
            <w:webHidden/>
          </w:rPr>
          <w:fldChar w:fldCharType="end"/>
        </w:r>
      </w:hyperlink>
    </w:p>
    <w:p w14:paraId="20C96B76" w14:textId="57ED9858" w:rsidR="00CC6C79" w:rsidRDefault="00D22FE8">
      <w:pPr>
        <w:pStyle w:val="Spisilustracji"/>
        <w:tabs>
          <w:tab w:val="right" w:leader="dot" w:pos="9062"/>
        </w:tabs>
        <w:rPr>
          <w:rFonts w:eastAsiaTheme="minorEastAsia"/>
          <w:noProof/>
          <w:lang w:eastAsia="pl-PL"/>
        </w:rPr>
      </w:pPr>
      <w:hyperlink w:anchor="_Toc73534980" w:history="1">
        <w:r w:rsidR="00CC6C79" w:rsidRPr="00561298">
          <w:rPr>
            <w:rStyle w:val="Hipercze"/>
            <w:noProof/>
          </w:rPr>
          <w:t>Tabela 17. Sektory wrażliwe na zmiany klimatu w Olsztynie</w:t>
        </w:r>
        <w:r w:rsidR="00CC6C79">
          <w:rPr>
            <w:noProof/>
            <w:webHidden/>
          </w:rPr>
          <w:tab/>
        </w:r>
        <w:r w:rsidR="00CC6C79">
          <w:rPr>
            <w:noProof/>
            <w:webHidden/>
          </w:rPr>
          <w:fldChar w:fldCharType="begin"/>
        </w:r>
        <w:r w:rsidR="00CC6C79">
          <w:rPr>
            <w:noProof/>
            <w:webHidden/>
          </w:rPr>
          <w:instrText xml:space="preserve"> PAGEREF _Toc73534980 \h </w:instrText>
        </w:r>
        <w:r w:rsidR="00CC6C79">
          <w:rPr>
            <w:noProof/>
            <w:webHidden/>
          </w:rPr>
        </w:r>
        <w:r w:rsidR="00CC6C79">
          <w:rPr>
            <w:noProof/>
            <w:webHidden/>
          </w:rPr>
          <w:fldChar w:fldCharType="separate"/>
        </w:r>
        <w:r w:rsidR="00AD58C3">
          <w:rPr>
            <w:noProof/>
            <w:webHidden/>
          </w:rPr>
          <w:t>60</w:t>
        </w:r>
        <w:r w:rsidR="00CC6C79">
          <w:rPr>
            <w:noProof/>
            <w:webHidden/>
          </w:rPr>
          <w:fldChar w:fldCharType="end"/>
        </w:r>
      </w:hyperlink>
    </w:p>
    <w:p w14:paraId="6A2C471C" w14:textId="2C148FDD" w:rsidR="00CC6C79" w:rsidRDefault="00D22FE8">
      <w:pPr>
        <w:pStyle w:val="Spisilustracji"/>
        <w:tabs>
          <w:tab w:val="right" w:leader="dot" w:pos="9062"/>
        </w:tabs>
        <w:rPr>
          <w:rFonts w:eastAsiaTheme="minorEastAsia"/>
          <w:noProof/>
          <w:lang w:eastAsia="pl-PL"/>
        </w:rPr>
      </w:pPr>
      <w:hyperlink w:anchor="_Toc73534981" w:history="1">
        <w:r w:rsidR="00CC6C79" w:rsidRPr="00561298">
          <w:rPr>
            <w:rStyle w:val="Hipercze"/>
            <w:noProof/>
          </w:rPr>
          <w:t>Tabela 18. Instalacje OZE zrealizowane przez gminy MOF Olsztyna</w:t>
        </w:r>
        <w:r w:rsidR="00CC6C79">
          <w:rPr>
            <w:noProof/>
            <w:webHidden/>
          </w:rPr>
          <w:tab/>
        </w:r>
        <w:r w:rsidR="00CC6C79">
          <w:rPr>
            <w:noProof/>
            <w:webHidden/>
          </w:rPr>
          <w:fldChar w:fldCharType="begin"/>
        </w:r>
        <w:r w:rsidR="00CC6C79">
          <w:rPr>
            <w:noProof/>
            <w:webHidden/>
          </w:rPr>
          <w:instrText xml:space="preserve"> PAGEREF _Toc73534981 \h </w:instrText>
        </w:r>
        <w:r w:rsidR="00CC6C79">
          <w:rPr>
            <w:noProof/>
            <w:webHidden/>
          </w:rPr>
        </w:r>
        <w:r w:rsidR="00CC6C79">
          <w:rPr>
            <w:noProof/>
            <w:webHidden/>
          </w:rPr>
          <w:fldChar w:fldCharType="separate"/>
        </w:r>
        <w:r w:rsidR="00AD58C3">
          <w:rPr>
            <w:noProof/>
            <w:webHidden/>
          </w:rPr>
          <w:t>70</w:t>
        </w:r>
        <w:r w:rsidR="00CC6C79">
          <w:rPr>
            <w:noProof/>
            <w:webHidden/>
          </w:rPr>
          <w:fldChar w:fldCharType="end"/>
        </w:r>
      </w:hyperlink>
    </w:p>
    <w:p w14:paraId="3FB0F4AF" w14:textId="4654F2EE" w:rsidR="00CC6C79" w:rsidRDefault="00D22FE8">
      <w:pPr>
        <w:pStyle w:val="Spisilustracji"/>
        <w:tabs>
          <w:tab w:val="right" w:leader="dot" w:pos="9062"/>
        </w:tabs>
        <w:rPr>
          <w:rFonts w:eastAsiaTheme="minorEastAsia"/>
          <w:noProof/>
          <w:lang w:eastAsia="pl-PL"/>
        </w:rPr>
      </w:pPr>
      <w:hyperlink w:anchor="_Toc73534982" w:history="1">
        <w:r w:rsidR="00CC6C79" w:rsidRPr="00561298">
          <w:rPr>
            <w:rStyle w:val="Hipercze"/>
            <w:noProof/>
          </w:rPr>
          <w:t>Tabela 19. Podmioty gospodarcze sekcji I (zakwaterowanie i usługi gastronomiczne) w latach 2013  i 2019</w:t>
        </w:r>
        <w:r w:rsidR="00CC6C79">
          <w:rPr>
            <w:noProof/>
            <w:webHidden/>
          </w:rPr>
          <w:tab/>
        </w:r>
        <w:r w:rsidR="00CC6C79">
          <w:rPr>
            <w:noProof/>
            <w:webHidden/>
          </w:rPr>
          <w:fldChar w:fldCharType="begin"/>
        </w:r>
        <w:r w:rsidR="00CC6C79">
          <w:rPr>
            <w:noProof/>
            <w:webHidden/>
          </w:rPr>
          <w:instrText xml:space="preserve"> PAGEREF _Toc73534982 \h </w:instrText>
        </w:r>
        <w:r w:rsidR="00CC6C79">
          <w:rPr>
            <w:noProof/>
            <w:webHidden/>
          </w:rPr>
        </w:r>
        <w:r w:rsidR="00CC6C79">
          <w:rPr>
            <w:noProof/>
            <w:webHidden/>
          </w:rPr>
          <w:fldChar w:fldCharType="separate"/>
        </w:r>
        <w:r w:rsidR="00AD58C3">
          <w:rPr>
            <w:noProof/>
            <w:webHidden/>
          </w:rPr>
          <w:t>72</w:t>
        </w:r>
        <w:r w:rsidR="00CC6C79">
          <w:rPr>
            <w:noProof/>
            <w:webHidden/>
          </w:rPr>
          <w:fldChar w:fldCharType="end"/>
        </w:r>
      </w:hyperlink>
    </w:p>
    <w:p w14:paraId="02A7AC8D" w14:textId="2B72FFBE" w:rsidR="00CC6C79" w:rsidRDefault="00D22FE8">
      <w:pPr>
        <w:pStyle w:val="Spisilustracji"/>
        <w:tabs>
          <w:tab w:val="right" w:leader="dot" w:pos="9062"/>
        </w:tabs>
        <w:rPr>
          <w:rFonts w:eastAsiaTheme="minorEastAsia"/>
          <w:noProof/>
          <w:lang w:eastAsia="pl-PL"/>
        </w:rPr>
      </w:pPr>
      <w:hyperlink w:anchor="_Toc73534983" w:history="1">
        <w:r w:rsidR="00CC6C79" w:rsidRPr="00561298">
          <w:rPr>
            <w:rStyle w:val="Hipercze"/>
            <w:noProof/>
          </w:rPr>
          <w:t>Tabela 20. Podmioty gospodarcze sekcji A (rolnictwo, leśnictwo, łowiectwo, rybactwo) w latach 2013  i 2019</w:t>
        </w:r>
        <w:r w:rsidR="00CC6C79">
          <w:rPr>
            <w:noProof/>
            <w:webHidden/>
          </w:rPr>
          <w:tab/>
        </w:r>
        <w:r w:rsidR="00CC6C79">
          <w:rPr>
            <w:noProof/>
            <w:webHidden/>
          </w:rPr>
          <w:fldChar w:fldCharType="begin"/>
        </w:r>
        <w:r w:rsidR="00CC6C79">
          <w:rPr>
            <w:noProof/>
            <w:webHidden/>
          </w:rPr>
          <w:instrText xml:space="preserve"> PAGEREF _Toc73534983 \h </w:instrText>
        </w:r>
        <w:r w:rsidR="00CC6C79">
          <w:rPr>
            <w:noProof/>
            <w:webHidden/>
          </w:rPr>
        </w:r>
        <w:r w:rsidR="00CC6C79">
          <w:rPr>
            <w:noProof/>
            <w:webHidden/>
          </w:rPr>
          <w:fldChar w:fldCharType="separate"/>
        </w:r>
        <w:r w:rsidR="00AD58C3">
          <w:rPr>
            <w:noProof/>
            <w:webHidden/>
          </w:rPr>
          <w:t>77</w:t>
        </w:r>
        <w:r w:rsidR="00CC6C79">
          <w:rPr>
            <w:noProof/>
            <w:webHidden/>
          </w:rPr>
          <w:fldChar w:fldCharType="end"/>
        </w:r>
      </w:hyperlink>
    </w:p>
    <w:p w14:paraId="759361EE" w14:textId="5E2C6500" w:rsidR="00CC6C79" w:rsidRDefault="00D22FE8">
      <w:pPr>
        <w:pStyle w:val="Spisilustracji"/>
        <w:tabs>
          <w:tab w:val="right" w:leader="dot" w:pos="9062"/>
        </w:tabs>
        <w:rPr>
          <w:rFonts w:eastAsiaTheme="minorEastAsia"/>
          <w:noProof/>
          <w:lang w:eastAsia="pl-PL"/>
        </w:rPr>
      </w:pPr>
      <w:hyperlink w:anchor="_Toc73534984" w:history="1">
        <w:r w:rsidR="00CC6C79" w:rsidRPr="00561298">
          <w:rPr>
            <w:rStyle w:val="Hipercze"/>
            <w:noProof/>
          </w:rPr>
          <w:t>Tabela 21. Podmioty gospodarcze sekcji A (przetwórstwo przemysłowe) w latach 2013 i 2019</w:t>
        </w:r>
        <w:r w:rsidR="00CC6C79">
          <w:rPr>
            <w:noProof/>
            <w:webHidden/>
          </w:rPr>
          <w:tab/>
        </w:r>
        <w:r w:rsidR="00CC6C79">
          <w:rPr>
            <w:noProof/>
            <w:webHidden/>
          </w:rPr>
          <w:fldChar w:fldCharType="begin"/>
        </w:r>
        <w:r w:rsidR="00CC6C79">
          <w:rPr>
            <w:noProof/>
            <w:webHidden/>
          </w:rPr>
          <w:instrText xml:space="preserve"> PAGEREF _Toc73534984 \h </w:instrText>
        </w:r>
        <w:r w:rsidR="00CC6C79">
          <w:rPr>
            <w:noProof/>
            <w:webHidden/>
          </w:rPr>
        </w:r>
        <w:r w:rsidR="00CC6C79">
          <w:rPr>
            <w:noProof/>
            <w:webHidden/>
          </w:rPr>
          <w:fldChar w:fldCharType="separate"/>
        </w:r>
        <w:r w:rsidR="00AD58C3">
          <w:rPr>
            <w:noProof/>
            <w:webHidden/>
          </w:rPr>
          <w:t>78</w:t>
        </w:r>
        <w:r w:rsidR="00CC6C79">
          <w:rPr>
            <w:noProof/>
            <w:webHidden/>
          </w:rPr>
          <w:fldChar w:fldCharType="end"/>
        </w:r>
      </w:hyperlink>
    </w:p>
    <w:p w14:paraId="3220D6F5" w14:textId="6D29015B" w:rsidR="00CC6C79" w:rsidRDefault="00D22FE8">
      <w:pPr>
        <w:pStyle w:val="Spisilustracji"/>
        <w:tabs>
          <w:tab w:val="right" w:leader="dot" w:pos="9062"/>
        </w:tabs>
        <w:rPr>
          <w:rFonts w:eastAsiaTheme="minorEastAsia"/>
          <w:noProof/>
          <w:lang w:eastAsia="pl-PL"/>
        </w:rPr>
      </w:pPr>
      <w:hyperlink w:anchor="_Toc73534985" w:history="1">
        <w:r w:rsidR="00CC6C79" w:rsidRPr="00561298">
          <w:rPr>
            <w:rStyle w:val="Hipercze"/>
            <w:noProof/>
          </w:rPr>
          <w:t xml:space="preserve">Tabela 22. </w:t>
        </w:r>
        <w:r w:rsidR="00CC6C79" w:rsidRPr="00561298">
          <w:rPr>
            <w:rStyle w:val="Hipercze"/>
            <w:rFonts w:eastAsia="Times New Roman" w:cs="Times New Roman"/>
            <w:bCs/>
            <w:noProof/>
            <w:lang w:eastAsia="pl-PL"/>
          </w:rPr>
          <w:t>Udział % podmiotów sektora kreatywnego w liczbie zarejestrowanych podmiotów ogółem w latach 2013 i 2019</w:t>
        </w:r>
        <w:r w:rsidR="00CC6C79">
          <w:rPr>
            <w:noProof/>
            <w:webHidden/>
          </w:rPr>
          <w:tab/>
        </w:r>
        <w:r w:rsidR="00CC6C79">
          <w:rPr>
            <w:noProof/>
            <w:webHidden/>
          </w:rPr>
          <w:fldChar w:fldCharType="begin"/>
        </w:r>
        <w:r w:rsidR="00CC6C79">
          <w:rPr>
            <w:noProof/>
            <w:webHidden/>
          </w:rPr>
          <w:instrText xml:space="preserve"> PAGEREF _Toc73534985 \h </w:instrText>
        </w:r>
        <w:r w:rsidR="00CC6C79">
          <w:rPr>
            <w:noProof/>
            <w:webHidden/>
          </w:rPr>
        </w:r>
        <w:r w:rsidR="00CC6C79">
          <w:rPr>
            <w:noProof/>
            <w:webHidden/>
          </w:rPr>
          <w:fldChar w:fldCharType="separate"/>
        </w:r>
        <w:r w:rsidR="00AD58C3">
          <w:rPr>
            <w:noProof/>
            <w:webHidden/>
          </w:rPr>
          <w:t>79</w:t>
        </w:r>
        <w:r w:rsidR="00CC6C79">
          <w:rPr>
            <w:noProof/>
            <w:webHidden/>
          </w:rPr>
          <w:fldChar w:fldCharType="end"/>
        </w:r>
      </w:hyperlink>
    </w:p>
    <w:p w14:paraId="30E34A59" w14:textId="207AAC62" w:rsidR="00CC6C79" w:rsidRDefault="00D22FE8">
      <w:pPr>
        <w:pStyle w:val="Spisilustracji"/>
        <w:tabs>
          <w:tab w:val="right" w:leader="dot" w:pos="9062"/>
        </w:tabs>
        <w:rPr>
          <w:rFonts w:eastAsiaTheme="minorEastAsia"/>
          <w:noProof/>
          <w:lang w:eastAsia="pl-PL"/>
        </w:rPr>
      </w:pPr>
      <w:hyperlink w:anchor="_Toc73534986" w:history="1">
        <w:r w:rsidR="00CC6C79" w:rsidRPr="00561298">
          <w:rPr>
            <w:rStyle w:val="Hipercze"/>
            <w:noProof/>
          </w:rPr>
          <w:t>Tabela 23. Przykłady firm z Olsztyna i MOF Olsztyna prowadzące działalność w branżach powiązanych z regionalnymi inteligentnymi specjalizacjami – ekonomia wody</w:t>
        </w:r>
        <w:r w:rsidR="00CC6C79">
          <w:rPr>
            <w:noProof/>
            <w:webHidden/>
          </w:rPr>
          <w:tab/>
        </w:r>
        <w:r w:rsidR="00CC6C79">
          <w:rPr>
            <w:noProof/>
            <w:webHidden/>
          </w:rPr>
          <w:fldChar w:fldCharType="begin"/>
        </w:r>
        <w:r w:rsidR="00CC6C79">
          <w:rPr>
            <w:noProof/>
            <w:webHidden/>
          </w:rPr>
          <w:instrText xml:space="preserve"> PAGEREF _Toc73534986 \h </w:instrText>
        </w:r>
        <w:r w:rsidR="00CC6C79">
          <w:rPr>
            <w:noProof/>
            <w:webHidden/>
          </w:rPr>
        </w:r>
        <w:r w:rsidR="00CC6C79">
          <w:rPr>
            <w:noProof/>
            <w:webHidden/>
          </w:rPr>
          <w:fldChar w:fldCharType="separate"/>
        </w:r>
        <w:r w:rsidR="00AD58C3">
          <w:rPr>
            <w:noProof/>
            <w:webHidden/>
          </w:rPr>
          <w:t>80</w:t>
        </w:r>
        <w:r w:rsidR="00CC6C79">
          <w:rPr>
            <w:noProof/>
            <w:webHidden/>
          </w:rPr>
          <w:fldChar w:fldCharType="end"/>
        </w:r>
      </w:hyperlink>
    </w:p>
    <w:p w14:paraId="1AA80DE7" w14:textId="6E0F8540" w:rsidR="00CC6C79" w:rsidRDefault="00D22FE8">
      <w:pPr>
        <w:pStyle w:val="Spisilustracji"/>
        <w:tabs>
          <w:tab w:val="right" w:leader="dot" w:pos="9062"/>
        </w:tabs>
        <w:rPr>
          <w:rFonts w:eastAsiaTheme="minorEastAsia"/>
          <w:noProof/>
          <w:lang w:eastAsia="pl-PL"/>
        </w:rPr>
      </w:pPr>
      <w:hyperlink w:anchor="_Toc73534987" w:history="1">
        <w:r w:rsidR="00CC6C79" w:rsidRPr="00561298">
          <w:rPr>
            <w:rStyle w:val="Hipercze"/>
            <w:noProof/>
          </w:rPr>
          <w:t>Tabela 24. Przykłady firm z Olsztyna i MOF Olsztyna prowadzące działalność w branżach powiązanych z regionalnymi inteligentnymi specjalizacjami – żywność wysokiej jakości</w:t>
        </w:r>
        <w:r w:rsidR="00CC6C79">
          <w:rPr>
            <w:noProof/>
            <w:webHidden/>
          </w:rPr>
          <w:tab/>
        </w:r>
        <w:r w:rsidR="00CC6C79">
          <w:rPr>
            <w:noProof/>
            <w:webHidden/>
          </w:rPr>
          <w:fldChar w:fldCharType="begin"/>
        </w:r>
        <w:r w:rsidR="00CC6C79">
          <w:rPr>
            <w:noProof/>
            <w:webHidden/>
          </w:rPr>
          <w:instrText xml:space="preserve"> PAGEREF _Toc73534987 \h </w:instrText>
        </w:r>
        <w:r w:rsidR="00CC6C79">
          <w:rPr>
            <w:noProof/>
            <w:webHidden/>
          </w:rPr>
        </w:r>
        <w:r w:rsidR="00CC6C79">
          <w:rPr>
            <w:noProof/>
            <w:webHidden/>
          </w:rPr>
          <w:fldChar w:fldCharType="separate"/>
        </w:r>
        <w:r w:rsidR="00AD58C3">
          <w:rPr>
            <w:noProof/>
            <w:webHidden/>
          </w:rPr>
          <w:t>81</w:t>
        </w:r>
        <w:r w:rsidR="00CC6C79">
          <w:rPr>
            <w:noProof/>
            <w:webHidden/>
          </w:rPr>
          <w:fldChar w:fldCharType="end"/>
        </w:r>
      </w:hyperlink>
    </w:p>
    <w:p w14:paraId="3C2A1B07" w14:textId="62915056" w:rsidR="00CC6C79" w:rsidRDefault="00D22FE8">
      <w:pPr>
        <w:pStyle w:val="Spisilustracji"/>
        <w:tabs>
          <w:tab w:val="right" w:leader="dot" w:pos="9062"/>
        </w:tabs>
        <w:rPr>
          <w:rFonts w:eastAsiaTheme="minorEastAsia"/>
          <w:noProof/>
          <w:lang w:eastAsia="pl-PL"/>
        </w:rPr>
      </w:pPr>
      <w:hyperlink w:anchor="_Toc73534988" w:history="1">
        <w:r w:rsidR="00CC6C79" w:rsidRPr="00561298">
          <w:rPr>
            <w:rStyle w:val="Hipercze"/>
            <w:noProof/>
          </w:rPr>
          <w:t xml:space="preserve">Tabela 25. Przykłady firm z Olsztyna i MOF Olsztyna prowadzące działalność w branżach powiązanych z regionalnymi inteligentnymi specjalizacjami - </w:t>
        </w:r>
        <w:r w:rsidR="00CC6C79" w:rsidRPr="00561298">
          <w:rPr>
            <w:rStyle w:val="Hipercze"/>
            <w:noProof/>
            <w:lang w:eastAsia="pl-PL"/>
          </w:rPr>
          <w:t>drewno i meblarstwo</w:t>
        </w:r>
        <w:r w:rsidR="00CC6C79">
          <w:rPr>
            <w:noProof/>
            <w:webHidden/>
          </w:rPr>
          <w:tab/>
        </w:r>
        <w:r w:rsidR="00CC6C79">
          <w:rPr>
            <w:noProof/>
            <w:webHidden/>
          </w:rPr>
          <w:fldChar w:fldCharType="begin"/>
        </w:r>
        <w:r w:rsidR="00CC6C79">
          <w:rPr>
            <w:noProof/>
            <w:webHidden/>
          </w:rPr>
          <w:instrText xml:space="preserve"> PAGEREF _Toc73534988 \h </w:instrText>
        </w:r>
        <w:r w:rsidR="00CC6C79">
          <w:rPr>
            <w:noProof/>
            <w:webHidden/>
          </w:rPr>
        </w:r>
        <w:r w:rsidR="00CC6C79">
          <w:rPr>
            <w:noProof/>
            <w:webHidden/>
          </w:rPr>
          <w:fldChar w:fldCharType="separate"/>
        </w:r>
        <w:r w:rsidR="00AD58C3">
          <w:rPr>
            <w:noProof/>
            <w:webHidden/>
          </w:rPr>
          <w:t>82</w:t>
        </w:r>
        <w:r w:rsidR="00CC6C79">
          <w:rPr>
            <w:noProof/>
            <w:webHidden/>
          </w:rPr>
          <w:fldChar w:fldCharType="end"/>
        </w:r>
      </w:hyperlink>
    </w:p>
    <w:p w14:paraId="365BB9A7" w14:textId="268D5787" w:rsidR="00CC6C79" w:rsidRDefault="00D22FE8">
      <w:pPr>
        <w:pStyle w:val="Spisilustracji"/>
        <w:tabs>
          <w:tab w:val="right" w:leader="dot" w:pos="9062"/>
        </w:tabs>
        <w:rPr>
          <w:rFonts w:eastAsiaTheme="minorEastAsia"/>
          <w:noProof/>
          <w:lang w:eastAsia="pl-PL"/>
        </w:rPr>
      </w:pPr>
      <w:hyperlink w:anchor="_Toc73534989" w:history="1">
        <w:r w:rsidR="00CC6C79" w:rsidRPr="00561298">
          <w:rPr>
            <w:rStyle w:val="Hipercze"/>
            <w:noProof/>
          </w:rPr>
          <w:t>Tabela 26. Wybrane klastry z siedzibą w Olsztynie</w:t>
        </w:r>
        <w:r w:rsidR="00CC6C79">
          <w:rPr>
            <w:noProof/>
            <w:webHidden/>
          </w:rPr>
          <w:tab/>
        </w:r>
        <w:r w:rsidR="00CC6C79">
          <w:rPr>
            <w:noProof/>
            <w:webHidden/>
          </w:rPr>
          <w:fldChar w:fldCharType="begin"/>
        </w:r>
        <w:r w:rsidR="00CC6C79">
          <w:rPr>
            <w:noProof/>
            <w:webHidden/>
          </w:rPr>
          <w:instrText xml:space="preserve"> PAGEREF _Toc73534989 \h </w:instrText>
        </w:r>
        <w:r w:rsidR="00CC6C79">
          <w:rPr>
            <w:noProof/>
            <w:webHidden/>
          </w:rPr>
        </w:r>
        <w:r w:rsidR="00CC6C79">
          <w:rPr>
            <w:noProof/>
            <w:webHidden/>
          </w:rPr>
          <w:fldChar w:fldCharType="separate"/>
        </w:r>
        <w:r w:rsidR="00AD58C3">
          <w:rPr>
            <w:noProof/>
            <w:webHidden/>
          </w:rPr>
          <w:t>87</w:t>
        </w:r>
        <w:r w:rsidR="00CC6C79">
          <w:rPr>
            <w:noProof/>
            <w:webHidden/>
          </w:rPr>
          <w:fldChar w:fldCharType="end"/>
        </w:r>
      </w:hyperlink>
    </w:p>
    <w:p w14:paraId="77EE1AE6" w14:textId="65680DE5" w:rsidR="00CC6C79" w:rsidRDefault="00D22FE8">
      <w:pPr>
        <w:pStyle w:val="Spisilustracji"/>
        <w:tabs>
          <w:tab w:val="right" w:leader="dot" w:pos="9062"/>
        </w:tabs>
        <w:rPr>
          <w:rFonts w:eastAsiaTheme="minorEastAsia"/>
          <w:noProof/>
          <w:lang w:eastAsia="pl-PL"/>
        </w:rPr>
      </w:pPr>
      <w:hyperlink w:anchor="_Toc73534990" w:history="1">
        <w:r w:rsidR="00CC6C79" w:rsidRPr="00561298">
          <w:rPr>
            <w:rStyle w:val="Hipercze"/>
            <w:noProof/>
          </w:rPr>
          <w:t>Tabela 27. Pozycja UWM w rankingu uczelni wyższych</w:t>
        </w:r>
        <w:r w:rsidR="00CC6C79">
          <w:rPr>
            <w:noProof/>
            <w:webHidden/>
          </w:rPr>
          <w:tab/>
        </w:r>
        <w:r w:rsidR="00CC6C79">
          <w:rPr>
            <w:noProof/>
            <w:webHidden/>
          </w:rPr>
          <w:fldChar w:fldCharType="begin"/>
        </w:r>
        <w:r w:rsidR="00CC6C79">
          <w:rPr>
            <w:noProof/>
            <w:webHidden/>
          </w:rPr>
          <w:instrText xml:space="preserve"> PAGEREF _Toc73534990 \h </w:instrText>
        </w:r>
        <w:r w:rsidR="00CC6C79">
          <w:rPr>
            <w:noProof/>
            <w:webHidden/>
          </w:rPr>
        </w:r>
        <w:r w:rsidR="00CC6C79">
          <w:rPr>
            <w:noProof/>
            <w:webHidden/>
          </w:rPr>
          <w:fldChar w:fldCharType="separate"/>
        </w:r>
        <w:r w:rsidR="00AD58C3">
          <w:rPr>
            <w:noProof/>
            <w:webHidden/>
          </w:rPr>
          <w:t>90</w:t>
        </w:r>
        <w:r w:rsidR="00CC6C79">
          <w:rPr>
            <w:noProof/>
            <w:webHidden/>
          </w:rPr>
          <w:fldChar w:fldCharType="end"/>
        </w:r>
      </w:hyperlink>
    </w:p>
    <w:p w14:paraId="048AE497" w14:textId="202B4994" w:rsidR="00CC6C79" w:rsidRDefault="00D22FE8">
      <w:pPr>
        <w:pStyle w:val="Spisilustracji"/>
        <w:tabs>
          <w:tab w:val="right" w:leader="dot" w:pos="9062"/>
        </w:tabs>
        <w:rPr>
          <w:rFonts w:eastAsiaTheme="minorEastAsia"/>
          <w:noProof/>
          <w:lang w:eastAsia="pl-PL"/>
        </w:rPr>
      </w:pPr>
      <w:hyperlink w:anchor="_Toc73534991" w:history="1">
        <w:r w:rsidR="00CC6C79" w:rsidRPr="00561298">
          <w:rPr>
            <w:rStyle w:val="Hipercze"/>
            <w:noProof/>
          </w:rPr>
          <w:t>Tabela 28. Wydziały i główne kierunki studiów na UWM</w:t>
        </w:r>
        <w:r w:rsidR="00CC6C79">
          <w:rPr>
            <w:noProof/>
            <w:webHidden/>
          </w:rPr>
          <w:tab/>
        </w:r>
        <w:r w:rsidR="00CC6C79">
          <w:rPr>
            <w:noProof/>
            <w:webHidden/>
          </w:rPr>
          <w:fldChar w:fldCharType="begin"/>
        </w:r>
        <w:r w:rsidR="00CC6C79">
          <w:rPr>
            <w:noProof/>
            <w:webHidden/>
          </w:rPr>
          <w:instrText xml:space="preserve"> PAGEREF _Toc73534991 \h </w:instrText>
        </w:r>
        <w:r w:rsidR="00CC6C79">
          <w:rPr>
            <w:noProof/>
            <w:webHidden/>
          </w:rPr>
        </w:r>
        <w:r w:rsidR="00CC6C79">
          <w:rPr>
            <w:noProof/>
            <w:webHidden/>
          </w:rPr>
          <w:fldChar w:fldCharType="separate"/>
        </w:r>
        <w:r w:rsidR="00AD58C3">
          <w:rPr>
            <w:noProof/>
            <w:webHidden/>
          </w:rPr>
          <w:t>90</w:t>
        </w:r>
        <w:r w:rsidR="00CC6C79">
          <w:rPr>
            <w:noProof/>
            <w:webHidden/>
          </w:rPr>
          <w:fldChar w:fldCharType="end"/>
        </w:r>
      </w:hyperlink>
    </w:p>
    <w:p w14:paraId="5F703238" w14:textId="55114747" w:rsidR="00CC6C79" w:rsidRDefault="00D22FE8">
      <w:pPr>
        <w:pStyle w:val="Spisilustracji"/>
        <w:tabs>
          <w:tab w:val="right" w:leader="dot" w:pos="9062"/>
        </w:tabs>
        <w:rPr>
          <w:rFonts w:eastAsiaTheme="minorEastAsia"/>
          <w:noProof/>
          <w:lang w:eastAsia="pl-PL"/>
        </w:rPr>
      </w:pPr>
      <w:hyperlink w:anchor="_Toc73534992" w:history="1">
        <w:r w:rsidR="00CC6C79" w:rsidRPr="00561298">
          <w:rPr>
            <w:rStyle w:val="Hipercze"/>
            <w:noProof/>
          </w:rPr>
          <w:t>Tabela 29. Sieć szerokopasmowa - węzły dystrtybucyjne na obszarze MOF Olsztyna</w:t>
        </w:r>
        <w:r w:rsidR="00CC6C79">
          <w:rPr>
            <w:noProof/>
            <w:webHidden/>
          </w:rPr>
          <w:tab/>
        </w:r>
        <w:r w:rsidR="00CC6C79">
          <w:rPr>
            <w:noProof/>
            <w:webHidden/>
          </w:rPr>
          <w:fldChar w:fldCharType="begin"/>
        </w:r>
        <w:r w:rsidR="00CC6C79">
          <w:rPr>
            <w:noProof/>
            <w:webHidden/>
          </w:rPr>
          <w:instrText xml:space="preserve"> PAGEREF _Toc73534992 \h </w:instrText>
        </w:r>
        <w:r w:rsidR="00CC6C79">
          <w:rPr>
            <w:noProof/>
            <w:webHidden/>
          </w:rPr>
        </w:r>
        <w:r w:rsidR="00CC6C79">
          <w:rPr>
            <w:noProof/>
            <w:webHidden/>
          </w:rPr>
          <w:fldChar w:fldCharType="separate"/>
        </w:r>
        <w:r w:rsidR="00AD58C3">
          <w:rPr>
            <w:noProof/>
            <w:webHidden/>
          </w:rPr>
          <w:t>98</w:t>
        </w:r>
        <w:r w:rsidR="00CC6C79">
          <w:rPr>
            <w:noProof/>
            <w:webHidden/>
          </w:rPr>
          <w:fldChar w:fldCharType="end"/>
        </w:r>
      </w:hyperlink>
    </w:p>
    <w:p w14:paraId="6E43857A" w14:textId="7420418E" w:rsidR="00CC6C79" w:rsidRDefault="00D22FE8">
      <w:pPr>
        <w:pStyle w:val="Spisilustracji"/>
        <w:tabs>
          <w:tab w:val="right" w:leader="dot" w:pos="9062"/>
        </w:tabs>
        <w:rPr>
          <w:rFonts w:eastAsiaTheme="minorEastAsia"/>
          <w:noProof/>
          <w:lang w:eastAsia="pl-PL"/>
        </w:rPr>
      </w:pPr>
      <w:hyperlink w:anchor="_Toc73534993" w:history="1">
        <w:r w:rsidR="00CC6C79" w:rsidRPr="00561298">
          <w:rPr>
            <w:rStyle w:val="Hipercze"/>
            <w:noProof/>
          </w:rPr>
          <w:t>Tabela 30. Jednostki oświatowe w poszczególnych dzielnicach Olsztyna</w:t>
        </w:r>
        <w:r w:rsidR="00CC6C79">
          <w:rPr>
            <w:noProof/>
            <w:webHidden/>
          </w:rPr>
          <w:tab/>
        </w:r>
        <w:r w:rsidR="00CC6C79">
          <w:rPr>
            <w:noProof/>
            <w:webHidden/>
          </w:rPr>
          <w:fldChar w:fldCharType="begin"/>
        </w:r>
        <w:r w:rsidR="00CC6C79">
          <w:rPr>
            <w:noProof/>
            <w:webHidden/>
          </w:rPr>
          <w:instrText xml:space="preserve"> PAGEREF _Toc73534993 \h </w:instrText>
        </w:r>
        <w:r w:rsidR="00CC6C79">
          <w:rPr>
            <w:noProof/>
            <w:webHidden/>
          </w:rPr>
        </w:r>
        <w:r w:rsidR="00CC6C79">
          <w:rPr>
            <w:noProof/>
            <w:webHidden/>
          </w:rPr>
          <w:fldChar w:fldCharType="separate"/>
        </w:r>
        <w:r w:rsidR="00AD58C3">
          <w:rPr>
            <w:noProof/>
            <w:webHidden/>
          </w:rPr>
          <w:t>105</w:t>
        </w:r>
        <w:r w:rsidR="00CC6C79">
          <w:rPr>
            <w:noProof/>
            <w:webHidden/>
          </w:rPr>
          <w:fldChar w:fldCharType="end"/>
        </w:r>
      </w:hyperlink>
    </w:p>
    <w:p w14:paraId="2F64922E" w14:textId="0898B539" w:rsidR="00CC6C79" w:rsidRDefault="00D22FE8">
      <w:pPr>
        <w:pStyle w:val="Spisilustracji"/>
        <w:tabs>
          <w:tab w:val="right" w:leader="dot" w:pos="9062"/>
        </w:tabs>
        <w:rPr>
          <w:rFonts w:eastAsiaTheme="minorEastAsia"/>
          <w:noProof/>
          <w:lang w:eastAsia="pl-PL"/>
        </w:rPr>
      </w:pPr>
      <w:hyperlink w:anchor="_Toc73534994" w:history="1">
        <w:r w:rsidR="00CC6C79" w:rsidRPr="00561298">
          <w:rPr>
            <w:rStyle w:val="Hipercze"/>
            <w:noProof/>
          </w:rPr>
          <w:t xml:space="preserve">Tabela 31. </w:t>
        </w:r>
        <w:r w:rsidR="00CC6C79" w:rsidRPr="00561298">
          <w:rPr>
            <w:rStyle w:val="Hipercze"/>
            <w:rFonts w:eastAsia="Times New Roman" w:cs="Times New Roman"/>
            <w:bCs/>
            <w:noProof/>
            <w:lang w:eastAsia="pl-PL"/>
          </w:rPr>
          <w:t>Szkoły podstawowe w latach 2013-2019</w:t>
        </w:r>
        <w:r w:rsidR="00CC6C79">
          <w:rPr>
            <w:noProof/>
            <w:webHidden/>
          </w:rPr>
          <w:tab/>
        </w:r>
        <w:r w:rsidR="00CC6C79">
          <w:rPr>
            <w:noProof/>
            <w:webHidden/>
          </w:rPr>
          <w:fldChar w:fldCharType="begin"/>
        </w:r>
        <w:r w:rsidR="00CC6C79">
          <w:rPr>
            <w:noProof/>
            <w:webHidden/>
          </w:rPr>
          <w:instrText xml:space="preserve"> PAGEREF _Toc73534994 \h </w:instrText>
        </w:r>
        <w:r w:rsidR="00CC6C79">
          <w:rPr>
            <w:noProof/>
            <w:webHidden/>
          </w:rPr>
        </w:r>
        <w:r w:rsidR="00CC6C79">
          <w:rPr>
            <w:noProof/>
            <w:webHidden/>
          </w:rPr>
          <w:fldChar w:fldCharType="separate"/>
        </w:r>
        <w:r w:rsidR="00AD58C3">
          <w:rPr>
            <w:noProof/>
            <w:webHidden/>
          </w:rPr>
          <w:t>110</w:t>
        </w:r>
        <w:r w:rsidR="00CC6C79">
          <w:rPr>
            <w:noProof/>
            <w:webHidden/>
          </w:rPr>
          <w:fldChar w:fldCharType="end"/>
        </w:r>
      </w:hyperlink>
    </w:p>
    <w:p w14:paraId="4048C81A" w14:textId="1EEE7D9F" w:rsidR="00CC6C79" w:rsidRDefault="00D22FE8">
      <w:pPr>
        <w:pStyle w:val="Spisilustracji"/>
        <w:tabs>
          <w:tab w:val="right" w:leader="dot" w:pos="9062"/>
        </w:tabs>
        <w:rPr>
          <w:rFonts w:eastAsiaTheme="minorEastAsia"/>
          <w:noProof/>
          <w:lang w:eastAsia="pl-PL"/>
        </w:rPr>
      </w:pPr>
      <w:hyperlink w:anchor="_Toc73534995" w:history="1">
        <w:r w:rsidR="00CC6C79" w:rsidRPr="00561298">
          <w:rPr>
            <w:rStyle w:val="Hipercze"/>
            <w:noProof/>
          </w:rPr>
          <w:t xml:space="preserve">Tabela 32. </w:t>
        </w:r>
        <w:r w:rsidR="00CC6C79" w:rsidRPr="00561298">
          <w:rPr>
            <w:rStyle w:val="Hipercze"/>
            <w:noProof/>
            <w:lang w:eastAsia="pl-PL"/>
          </w:rPr>
          <w:t>Wskaźnik skolaryzacji brutto w gminach MOF Olsztyna (szkoły podstawowe)</w:t>
        </w:r>
        <w:r w:rsidR="00CC6C79">
          <w:rPr>
            <w:noProof/>
            <w:webHidden/>
          </w:rPr>
          <w:tab/>
        </w:r>
        <w:r w:rsidR="00CC6C79">
          <w:rPr>
            <w:noProof/>
            <w:webHidden/>
          </w:rPr>
          <w:fldChar w:fldCharType="begin"/>
        </w:r>
        <w:r w:rsidR="00CC6C79">
          <w:rPr>
            <w:noProof/>
            <w:webHidden/>
          </w:rPr>
          <w:instrText xml:space="preserve"> PAGEREF _Toc73534995 \h </w:instrText>
        </w:r>
        <w:r w:rsidR="00CC6C79">
          <w:rPr>
            <w:noProof/>
            <w:webHidden/>
          </w:rPr>
        </w:r>
        <w:r w:rsidR="00CC6C79">
          <w:rPr>
            <w:noProof/>
            <w:webHidden/>
          </w:rPr>
          <w:fldChar w:fldCharType="separate"/>
        </w:r>
        <w:r w:rsidR="00AD58C3">
          <w:rPr>
            <w:noProof/>
            <w:webHidden/>
          </w:rPr>
          <w:t>110</w:t>
        </w:r>
        <w:r w:rsidR="00CC6C79">
          <w:rPr>
            <w:noProof/>
            <w:webHidden/>
          </w:rPr>
          <w:fldChar w:fldCharType="end"/>
        </w:r>
      </w:hyperlink>
    </w:p>
    <w:p w14:paraId="43315BAC" w14:textId="068B90AF" w:rsidR="00CC6C79" w:rsidRDefault="00D22FE8">
      <w:pPr>
        <w:pStyle w:val="Spisilustracji"/>
        <w:tabs>
          <w:tab w:val="right" w:leader="dot" w:pos="9062"/>
        </w:tabs>
        <w:rPr>
          <w:rFonts w:eastAsiaTheme="minorEastAsia"/>
          <w:noProof/>
          <w:lang w:eastAsia="pl-PL"/>
        </w:rPr>
      </w:pPr>
      <w:hyperlink w:anchor="_Toc73534996" w:history="1">
        <w:r w:rsidR="00CC6C79" w:rsidRPr="00561298">
          <w:rPr>
            <w:rStyle w:val="Hipercze"/>
            <w:noProof/>
          </w:rPr>
          <w:t>Tabela 33. Absolwenci kierunku lekarskiego UWM w Olsztynie w latach 2014-2019</w:t>
        </w:r>
        <w:r w:rsidR="00CC6C79">
          <w:rPr>
            <w:noProof/>
            <w:webHidden/>
          </w:rPr>
          <w:tab/>
        </w:r>
        <w:r w:rsidR="00CC6C79">
          <w:rPr>
            <w:noProof/>
            <w:webHidden/>
          </w:rPr>
          <w:fldChar w:fldCharType="begin"/>
        </w:r>
        <w:r w:rsidR="00CC6C79">
          <w:rPr>
            <w:noProof/>
            <w:webHidden/>
          </w:rPr>
          <w:instrText xml:space="preserve"> PAGEREF _Toc73534996 \h </w:instrText>
        </w:r>
        <w:r w:rsidR="00CC6C79">
          <w:rPr>
            <w:noProof/>
            <w:webHidden/>
          </w:rPr>
        </w:r>
        <w:r w:rsidR="00CC6C79">
          <w:rPr>
            <w:noProof/>
            <w:webHidden/>
          </w:rPr>
          <w:fldChar w:fldCharType="separate"/>
        </w:r>
        <w:r w:rsidR="00AD58C3">
          <w:rPr>
            <w:noProof/>
            <w:webHidden/>
          </w:rPr>
          <w:t>117</w:t>
        </w:r>
        <w:r w:rsidR="00CC6C79">
          <w:rPr>
            <w:noProof/>
            <w:webHidden/>
          </w:rPr>
          <w:fldChar w:fldCharType="end"/>
        </w:r>
      </w:hyperlink>
    </w:p>
    <w:p w14:paraId="5796A13C" w14:textId="5B565821" w:rsidR="00CC6C79" w:rsidRDefault="00D22FE8">
      <w:pPr>
        <w:pStyle w:val="Spisilustracji"/>
        <w:tabs>
          <w:tab w:val="right" w:leader="dot" w:pos="9062"/>
        </w:tabs>
        <w:rPr>
          <w:rFonts w:eastAsiaTheme="minorEastAsia"/>
          <w:noProof/>
          <w:lang w:eastAsia="pl-PL"/>
        </w:rPr>
      </w:pPr>
      <w:hyperlink w:anchor="_Toc73534997" w:history="1">
        <w:r w:rsidR="00CC6C79" w:rsidRPr="00561298">
          <w:rPr>
            <w:rStyle w:val="Hipercze"/>
            <w:noProof/>
          </w:rPr>
          <w:t>Tabela 34. C</w:t>
        </w:r>
        <w:r w:rsidR="00CC6C79" w:rsidRPr="00561298">
          <w:rPr>
            <w:rStyle w:val="Hipercze"/>
            <w:noProof/>
            <w:lang w:eastAsia="pl-PL"/>
          </w:rPr>
          <w:t>złonkowie klubów sportowych w przeliczeniu na 1000 mieszkańców (os.)</w:t>
        </w:r>
        <w:r w:rsidR="00CC6C79">
          <w:rPr>
            <w:noProof/>
            <w:webHidden/>
          </w:rPr>
          <w:tab/>
        </w:r>
        <w:r w:rsidR="00CC6C79">
          <w:rPr>
            <w:noProof/>
            <w:webHidden/>
          </w:rPr>
          <w:fldChar w:fldCharType="begin"/>
        </w:r>
        <w:r w:rsidR="00CC6C79">
          <w:rPr>
            <w:noProof/>
            <w:webHidden/>
          </w:rPr>
          <w:instrText xml:space="preserve"> PAGEREF _Toc73534997 \h </w:instrText>
        </w:r>
        <w:r w:rsidR="00CC6C79">
          <w:rPr>
            <w:noProof/>
            <w:webHidden/>
          </w:rPr>
        </w:r>
        <w:r w:rsidR="00CC6C79">
          <w:rPr>
            <w:noProof/>
            <w:webHidden/>
          </w:rPr>
          <w:fldChar w:fldCharType="separate"/>
        </w:r>
        <w:r w:rsidR="00AD58C3">
          <w:rPr>
            <w:noProof/>
            <w:webHidden/>
          </w:rPr>
          <w:t>126</w:t>
        </w:r>
        <w:r w:rsidR="00CC6C79">
          <w:rPr>
            <w:noProof/>
            <w:webHidden/>
          </w:rPr>
          <w:fldChar w:fldCharType="end"/>
        </w:r>
      </w:hyperlink>
    </w:p>
    <w:p w14:paraId="48B46D23" w14:textId="31FB9407" w:rsidR="00CC6C79" w:rsidRDefault="00D22FE8">
      <w:pPr>
        <w:pStyle w:val="Spisilustracji"/>
        <w:tabs>
          <w:tab w:val="right" w:leader="dot" w:pos="9062"/>
        </w:tabs>
        <w:rPr>
          <w:rFonts w:eastAsiaTheme="minorEastAsia"/>
          <w:noProof/>
          <w:lang w:eastAsia="pl-PL"/>
        </w:rPr>
      </w:pPr>
      <w:hyperlink w:anchor="_Toc73534998" w:history="1">
        <w:r w:rsidR="00CC6C79" w:rsidRPr="00561298">
          <w:rPr>
            <w:rStyle w:val="Hipercze"/>
            <w:noProof/>
          </w:rPr>
          <w:t>Tabela 35. Stan taboru autobusowego w Olsztynie</w:t>
        </w:r>
        <w:r w:rsidR="00CC6C79">
          <w:rPr>
            <w:noProof/>
            <w:webHidden/>
          </w:rPr>
          <w:tab/>
        </w:r>
        <w:r w:rsidR="00CC6C79">
          <w:rPr>
            <w:noProof/>
            <w:webHidden/>
          </w:rPr>
          <w:fldChar w:fldCharType="begin"/>
        </w:r>
        <w:r w:rsidR="00CC6C79">
          <w:rPr>
            <w:noProof/>
            <w:webHidden/>
          </w:rPr>
          <w:instrText xml:space="preserve"> PAGEREF _Toc73534998 \h </w:instrText>
        </w:r>
        <w:r w:rsidR="00CC6C79">
          <w:rPr>
            <w:noProof/>
            <w:webHidden/>
          </w:rPr>
        </w:r>
        <w:r w:rsidR="00CC6C79">
          <w:rPr>
            <w:noProof/>
            <w:webHidden/>
          </w:rPr>
          <w:fldChar w:fldCharType="separate"/>
        </w:r>
        <w:r w:rsidR="00AD58C3">
          <w:rPr>
            <w:noProof/>
            <w:webHidden/>
          </w:rPr>
          <w:t>131</w:t>
        </w:r>
        <w:r w:rsidR="00CC6C79">
          <w:rPr>
            <w:noProof/>
            <w:webHidden/>
          </w:rPr>
          <w:fldChar w:fldCharType="end"/>
        </w:r>
      </w:hyperlink>
    </w:p>
    <w:p w14:paraId="4CCBB899" w14:textId="61CA54CE" w:rsidR="00CC6C79" w:rsidRDefault="00D22FE8">
      <w:pPr>
        <w:pStyle w:val="Spisilustracji"/>
        <w:tabs>
          <w:tab w:val="right" w:leader="dot" w:pos="9062"/>
        </w:tabs>
        <w:rPr>
          <w:rFonts w:eastAsiaTheme="minorEastAsia"/>
          <w:noProof/>
          <w:lang w:eastAsia="pl-PL"/>
        </w:rPr>
      </w:pPr>
      <w:hyperlink w:anchor="_Toc73534999" w:history="1">
        <w:r w:rsidR="00CC6C79" w:rsidRPr="00561298">
          <w:rPr>
            <w:rStyle w:val="Hipercze"/>
            <w:noProof/>
          </w:rPr>
          <w:t>Tabela 36. Liczba zakupionych laptopów oraz % uczniów objętych wsparciem w ramach rządowego programu Zdalna Szkoła i Zdalna szkoła+</w:t>
        </w:r>
        <w:r w:rsidR="00CC6C79">
          <w:rPr>
            <w:noProof/>
            <w:webHidden/>
          </w:rPr>
          <w:tab/>
        </w:r>
        <w:r w:rsidR="00CC6C79">
          <w:rPr>
            <w:noProof/>
            <w:webHidden/>
          </w:rPr>
          <w:fldChar w:fldCharType="begin"/>
        </w:r>
        <w:r w:rsidR="00CC6C79">
          <w:rPr>
            <w:noProof/>
            <w:webHidden/>
          </w:rPr>
          <w:instrText xml:space="preserve"> PAGEREF _Toc73534999 \h </w:instrText>
        </w:r>
        <w:r w:rsidR="00CC6C79">
          <w:rPr>
            <w:noProof/>
            <w:webHidden/>
          </w:rPr>
        </w:r>
        <w:r w:rsidR="00CC6C79">
          <w:rPr>
            <w:noProof/>
            <w:webHidden/>
          </w:rPr>
          <w:fldChar w:fldCharType="separate"/>
        </w:r>
        <w:r w:rsidR="00AD58C3">
          <w:rPr>
            <w:noProof/>
            <w:webHidden/>
          </w:rPr>
          <w:t>143</w:t>
        </w:r>
        <w:r w:rsidR="00CC6C79">
          <w:rPr>
            <w:noProof/>
            <w:webHidden/>
          </w:rPr>
          <w:fldChar w:fldCharType="end"/>
        </w:r>
      </w:hyperlink>
    </w:p>
    <w:p w14:paraId="2EAB88AD" w14:textId="7AAB3808" w:rsidR="00C73174" w:rsidRPr="0042695E" w:rsidRDefault="00C73174" w:rsidP="004A6875">
      <w:pPr>
        <w:spacing w:before="120" w:after="120" w:line="276" w:lineRule="auto"/>
        <w:rPr>
          <w:color w:val="FF0000"/>
        </w:rPr>
      </w:pPr>
      <w:r w:rsidRPr="00B46FD6">
        <w:rPr>
          <w:color w:val="FF0000"/>
        </w:rPr>
        <w:fldChar w:fldCharType="end"/>
      </w:r>
    </w:p>
    <w:sectPr w:rsidR="00C73174" w:rsidRPr="0042695E" w:rsidSect="00070977">
      <w:headerReference w:type="even" r:id="rId154"/>
      <w:headerReference w:type="default" r:id="rId155"/>
      <w:footerReference w:type="even" r:id="rId156"/>
      <w:footerReference w:type="default" r:id="rId157"/>
      <w:headerReference w:type="first" r:id="rId158"/>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65D3E3" w14:textId="77777777" w:rsidR="00034BB4" w:rsidRDefault="00034BB4" w:rsidP="002D6EA9">
      <w:pPr>
        <w:spacing w:after="0" w:line="240" w:lineRule="auto"/>
      </w:pPr>
      <w:r>
        <w:separator/>
      </w:r>
    </w:p>
  </w:endnote>
  <w:endnote w:type="continuationSeparator" w:id="0">
    <w:p w14:paraId="3F2F5078" w14:textId="77777777" w:rsidR="00034BB4" w:rsidRDefault="00034BB4" w:rsidP="002D6EA9">
      <w:pPr>
        <w:spacing w:after="0" w:line="240" w:lineRule="auto"/>
      </w:pPr>
      <w:r>
        <w:continuationSeparator/>
      </w:r>
    </w:p>
  </w:endnote>
  <w:endnote w:type="continuationNotice" w:id="1">
    <w:p w14:paraId="42D9E85C" w14:textId="77777777" w:rsidR="00034BB4" w:rsidRDefault="00034BB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 w:name="Calibri">
    <w:panose1 w:val="020F0502020204030204"/>
    <w:charset w:val="EE"/>
    <w:family w:val="swiss"/>
    <w:pitch w:val="variable"/>
    <w:sig w:usb0="E00002FF" w:usb1="4000ACFF" w:usb2="00000001" w:usb3="00000000" w:csb0="0000019F" w:csb1="00000000"/>
  </w:font>
  <w:font w:name="Yu Gothic Light">
    <w:panose1 w:val="020B0300000000000000"/>
    <w:charset w:val="80"/>
    <w:family w:val="swiss"/>
    <w:pitch w:val="variable"/>
    <w:sig w:usb0="E00002FF" w:usb1="2AC7FDFF" w:usb2="00000016" w:usb3="00000000" w:csb0="0002009F" w:csb1="00000000"/>
  </w:font>
  <w:font w:name="Mangal">
    <w:panose1 w:val="02040503050203030202"/>
    <w:charset w:val="00"/>
    <w:family w:val="roman"/>
    <w:pitch w:val="variable"/>
    <w:sig w:usb0="00008003" w:usb1="00000000" w:usb2="00000000" w:usb3="00000000" w:csb0="00000001" w:csb1="00000000"/>
  </w:font>
  <w:font w:name="font219">
    <w:altName w:val="Times New Roman"/>
    <w:charset w:val="EE"/>
    <w:family w:val="auto"/>
    <w:pitch w:val="variable"/>
  </w:font>
  <w:font w:name="Segoe UI">
    <w:panose1 w:val="020B0502040204020203"/>
    <w:charset w:val="EE"/>
    <w:family w:val="swiss"/>
    <w:pitch w:val="variable"/>
    <w:sig w:usb0="E4002EFF" w:usb1="C000E47F" w:usb2="00000009" w:usb3="00000000" w:csb0="000001FF" w:csb1="00000000"/>
  </w:font>
  <w:font w:name="Yu Mincho">
    <w:panose1 w:val="02020400000000000000"/>
    <w:charset w:val="80"/>
    <w:family w:val="roman"/>
    <w:pitch w:val="variable"/>
    <w:sig w:usb0="800002E7" w:usb1="2AC7FCF0" w:usb2="00000012" w:usb3="00000000" w:csb0="0002009F" w:csb1="00000000"/>
  </w:font>
  <w:font w:name="Myriad Pro">
    <w:altName w:val="Arial"/>
    <w:panose1 w:val="00000000000000000000"/>
    <w:charset w:val="00"/>
    <w:family w:val="swiss"/>
    <w:notTrueType/>
    <w:pitch w:val="variable"/>
    <w:sig w:usb0="A00002AF" w:usb1="5000204B" w:usb2="00000000" w:usb3="00000000" w:csb0="0000009F" w:csb1="00000000"/>
  </w:font>
  <w:font w:name="MyriadPro-Regular">
    <w:altName w:val="MS Gothic"/>
    <w:panose1 w:val="00000000000000000000"/>
    <w:charset w:val="80"/>
    <w:family w:val="swiss"/>
    <w:notTrueType/>
    <w:pitch w:val="default"/>
    <w:sig w:usb0="00000000" w:usb1="08070000" w:usb2="00000010" w:usb3="00000000" w:csb0="00020000" w:csb1="00000000"/>
  </w:font>
  <w:font w:name="MyriadPro-Bold">
    <w:panose1 w:val="00000000000000000000"/>
    <w:charset w:val="EE"/>
    <w:family w:val="swiss"/>
    <w:notTrueType/>
    <w:pitch w:val="default"/>
    <w:sig w:usb0="00000005" w:usb1="00000000" w:usb2="00000000" w:usb3="00000000" w:csb0="00000002" w:csb1="00000000"/>
  </w:font>
  <w:font w:name="Sailec-Bold">
    <w:altName w:val="Arial"/>
    <w:panose1 w:val="00000000000000000000"/>
    <w:charset w:val="00"/>
    <w:family w:val="swiss"/>
    <w:notTrueType/>
    <w:pitch w:val="default"/>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1174062"/>
      <w:docPartObj>
        <w:docPartGallery w:val="Page Numbers (Bottom of Page)"/>
        <w:docPartUnique/>
      </w:docPartObj>
    </w:sdtPr>
    <w:sdtContent>
      <w:sdt>
        <w:sdtPr>
          <w:id w:val="-1705238520"/>
          <w:docPartObj>
            <w:docPartGallery w:val="Page Numbers (Top of Page)"/>
            <w:docPartUnique/>
          </w:docPartObj>
        </w:sdtPr>
        <w:sdtContent>
          <w:p w14:paraId="7B4109BA" w14:textId="561079A0" w:rsidR="00D22FE8" w:rsidRDefault="00D22FE8">
            <w:pPr>
              <w:pStyle w:val="Stopka"/>
            </w:pPr>
            <w:r>
              <w:t xml:space="preserve">Strona </w:t>
            </w:r>
            <w:r>
              <w:rPr>
                <w:b/>
                <w:bCs/>
                <w:sz w:val="24"/>
                <w:szCs w:val="24"/>
              </w:rPr>
              <w:fldChar w:fldCharType="begin"/>
            </w:r>
            <w:r>
              <w:rPr>
                <w:b/>
                <w:bCs/>
              </w:rPr>
              <w:instrText>PAGE</w:instrText>
            </w:r>
            <w:r>
              <w:rPr>
                <w:b/>
                <w:bCs/>
                <w:sz w:val="24"/>
                <w:szCs w:val="24"/>
              </w:rPr>
              <w:fldChar w:fldCharType="separate"/>
            </w:r>
            <w:r w:rsidR="00456FB2">
              <w:rPr>
                <w:b/>
                <w:bCs/>
                <w:noProof/>
              </w:rPr>
              <w:t>136</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456FB2">
              <w:rPr>
                <w:b/>
                <w:bCs/>
                <w:noProof/>
              </w:rPr>
              <w:t>151</w:t>
            </w:r>
            <w:r>
              <w:rPr>
                <w:b/>
                <w:bCs/>
                <w:sz w:val="24"/>
                <w:szCs w:val="24"/>
              </w:rPr>
              <w:fldChar w:fldCharType="end"/>
            </w:r>
          </w:p>
        </w:sdtContent>
      </w:sdt>
    </w:sdtContent>
  </w:sdt>
  <w:p w14:paraId="091F139E" w14:textId="77777777" w:rsidR="00D22FE8" w:rsidRDefault="00D22FE8">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8368528"/>
      <w:docPartObj>
        <w:docPartGallery w:val="Page Numbers (Bottom of Page)"/>
        <w:docPartUnique/>
      </w:docPartObj>
    </w:sdtPr>
    <w:sdtContent>
      <w:sdt>
        <w:sdtPr>
          <w:id w:val="-1769616900"/>
          <w:docPartObj>
            <w:docPartGallery w:val="Page Numbers (Top of Page)"/>
            <w:docPartUnique/>
          </w:docPartObj>
        </w:sdtPr>
        <w:sdtContent>
          <w:p w14:paraId="2631A11E" w14:textId="6D45FE53" w:rsidR="00D22FE8" w:rsidRDefault="00D22FE8">
            <w:pPr>
              <w:pStyle w:val="Stopka"/>
              <w:jc w:val="right"/>
            </w:pPr>
            <w:r>
              <w:t xml:space="preserve">Strona </w:t>
            </w:r>
            <w:r>
              <w:rPr>
                <w:b/>
                <w:bCs/>
                <w:sz w:val="24"/>
                <w:szCs w:val="24"/>
              </w:rPr>
              <w:fldChar w:fldCharType="begin"/>
            </w:r>
            <w:r>
              <w:rPr>
                <w:b/>
                <w:bCs/>
              </w:rPr>
              <w:instrText>PAGE</w:instrText>
            </w:r>
            <w:r>
              <w:rPr>
                <w:b/>
                <w:bCs/>
                <w:sz w:val="24"/>
                <w:szCs w:val="24"/>
              </w:rPr>
              <w:fldChar w:fldCharType="separate"/>
            </w:r>
            <w:r w:rsidR="00456FB2">
              <w:rPr>
                <w:b/>
                <w:bCs/>
                <w:noProof/>
              </w:rPr>
              <w:t>137</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456FB2">
              <w:rPr>
                <w:b/>
                <w:bCs/>
                <w:noProof/>
              </w:rPr>
              <w:t>151</w:t>
            </w:r>
            <w:r>
              <w:rPr>
                <w:b/>
                <w:bCs/>
                <w:sz w:val="24"/>
                <w:szCs w:val="24"/>
              </w:rPr>
              <w:fldChar w:fldCharType="end"/>
            </w:r>
          </w:p>
        </w:sdtContent>
      </w:sdt>
    </w:sdtContent>
  </w:sdt>
  <w:p w14:paraId="58FEB8D0" w14:textId="77777777" w:rsidR="00D22FE8" w:rsidRDefault="00D22FE8">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052C995" w14:textId="77777777" w:rsidR="00034BB4" w:rsidRDefault="00034BB4" w:rsidP="002D6EA9">
      <w:pPr>
        <w:spacing w:after="0" w:line="240" w:lineRule="auto"/>
      </w:pPr>
      <w:r>
        <w:separator/>
      </w:r>
    </w:p>
  </w:footnote>
  <w:footnote w:type="continuationSeparator" w:id="0">
    <w:p w14:paraId="12E46A1C" w14:textId="77777777" w:rsidR="00034BB4" w:rsidRDefault="00034BB4" w:rsidP="002D6EA9">
      <w:pPr>
        <w:spacing w:after="0" w:line="240" w:lineRule="auto"/>
      </w:pPr>
      <w:r>
        <w:continuationSeparator/>
      </w:r>
    </w:p>
  </w:footnote>
  <w:footnote w:type="continuationNotice" w:id="1">
    <w:p w14:paraId="00DFF179" w14:textId="77777777" w:rsidR="00034BB4" w:rsidRDefault="00034BB4">
      <w:pPr>
        <w:spacing w:after="0" w:line="240" w:lineRule="auto"/>
      </w:pPr>
    </w:p>
  </w:footnote>
  <w:footnote w:id="2">
    <w:p w14:paraId="6032E436" w14:textId="77777777" w:rsidR="00D22FE8" w:rsidRPr="0091031D" w:rsidRDefault="00D22FE8" w:rsidP="00F80720">
      <w:pPr>
        <w:spacing w:after="0" w:line="240" w:lineRule="auto"/>
        <w:jc w:val="both"/>
        <w:rPr>
          <w:sz w:val="18"/>
          <w:szCs w:val="18"/>
        </w:rPr>
      </w:pPr>
      <w:r>
        <w:rPr>
          <w:rStyle w:val="Odwoanieprzypisudolnego"/>
        </w:rPr>
        <w:footnoteRef/>
      </w:r>
      <w:r>
        <w:t xml:space="preserve"> </w:t>
      </w:r>
      <w:r w:rsidRPr="0091031D">
        <w:rPr>
          <w:i/>
          <w:sz w:val="18"/>
          <w:szCs w:val="18"/>
        </w:rPr>
        <w:t>Prognoza ludności gmin na lata 2017-2030</w:t>
      </w:r>
      <w:r>
        <w:rPr>
          <w:sz w:val="18"/>
          <w:szCs w:val="18"/>
        </w:rPr>
        <w:t xml:space="preserve">; </w:t>
      </w:r>
      <w:r w:rsidRPr="00C639B1">
        <w:rPr>
          <w:sz w:val="18"/>
          <w:szCs w:val="18"/>
        </w:rPr>
        <w:t>oprac. G</w:t>
      </w:r>
      <w:r>
        <w:rPr>
          <w:sz w:val="18"/>
          <w:szCs w:val="18"/>
        </w:rPr>
        <w:t>US, Warszawa, sierpień 2017</w:t>
      </w:r>
    </w:p>
  </w:footnote>
  <w:footnote w:id="3">
    <w:p w14:paraId="1B69E215" w14:textId="77777777" w:rsidR="00D22FE8" w:rsidRPr="006A5794" w:rsidRDefault="00D22FE8" w:rsidP="006A5794">
      <w:pPr>
        <w:spacing w:after="0"/>
        <w:jc w:val="both"/>
        <w:rPr>
          <w:sz w:val="18"/>
          <w:szCs w:val="18"/>
        </w:rPr>
      </w:pPr>
      <w:r w:rsidRPr="006A5794">
        <w:rPr>
          <w:rStyle w:val="Odwoanieprzypisudolnego"/>
          <w:sz w:val="18"/>
          <w:szCs w:val="18"/>
        </w:rPr>
        <w:footnoteRef/>
      </w:r>
      <w:r w:rsidRPr="006A5794">
        <w:rPr>
          <w:sz w:val="18"/>
          <w:szCs w:val="18"/>
        </w:rPr>
        <w:t xml:space="preserve"> </w:t>
      </w:r>
      <w:r w:rsidRPr="006A5794">
        <w:rPr>
          <w:i/>
          <w:sz w:val="18"/>
          <w:szCs w:val="18"/>
        </w:rPr>
        <w:t>Prognoza ludności gmin na lata 2017-2030</w:t>
      </w:r>
      <w:r w:rsidRPr="006A5794">
        <w:rPr>
          <w:sz w:val="18"/>
          <w:szCs w:val="18"/>
        </w:rPr>
        <w:t>; oprac. GUS, Warszawa, sierpień 2017</w:t>
      </w:r>
    </w:p>
  </w:footnote>
  <w:footnote w:id="4">
    <w:p w14:paraId="4812F9C6" w14:textId="77777777" w:rsidR="00D22FE8" w:rsidRPr="006A5794" w:rsidRDefault="00D22FE8" w:rsidP="006A5794">
      <w:pPr>
        <w:pStyle w:val="Tekstprzypisudolnego"/>
        <w:rPr>
          <w:sz w:val="18"/>
          <w:szCs w:val="18"/>
        </w:rPr>
      </w:pPr>
      <w:r w:rsidRPr="006A5794">
        <w:rPr>
          <w:rStyle w:val="Odwoanieprzypisudolnego"/>
          <w:sz w:val="18"/>
          <w:szCs w:val="18"/>
        </w:rPr>
        <w:footnoteRef/>
      </w:r>
      <w:r w:rsidRPr="006A5794">
        <w:rPr>
          <w:sz w:val="18"/>
          <w:szCs w:val="18"/>
        </w:rPr>
        <w:t xml:space="preserve"> Tamże</w:t>
      </w:r>
    </w:p>
  </w:footnote>
  <w:footnote w:id="5">
    <w:p w14:paraId="1B04F8F9" w14:textId="77777777" w:rsidR="00D22FE8" w:rsidRDefault="00D22FE8" w:rsidP="00EF61CC">
      <w:pPr>
        <w:spacing w:after="0" w:line="240" w:lineRule="auto"/>
        <w:ind w:left="142" w:hanging="142"/>
        <w:jc w:val="both"/>
      </w:pPr>
      <w:r>
        <w:rPr>
          <w:rStyle w:val="Odwoanieprzypisudolnego"/>
        </w:rPr>
        <w:footnoteRef/>
      </w:r>
      <w:r>
        <w:t xml:space="preserve"> </w:t>
      </w:r>
      <w:r w:rsidRPr="00C639B1">
        <w:rPr>
          <w:sz w:val="18"/>
          <w:szCs w:val="18"/>
        </w:rPr>
        <w:t xml:space="preserve">Źródłem danych dot. liczby ludności w odniesieniu do roku 2030 jest </w:t>
      </w:r>
      <w:r>
        <w:rPr>
          <w:sz w:val="18"/>
          <w:szCs w:val="18"/>
        </w:rPr>
        <w:t xml:space="preserve">opracowanie GUS pt. </w:t>
      </w:r>
      <w:r w:rsidRPr="0091031D">
        <w:rPr>
          <w:i/>
          <w:sz w:val="18"/>
          <w:szCs w:val="18"/>
        </w:rPr>
        <w:t>Prognoza ludności gmin na lata 2017-2030</w:t>
      </w:r>
      <w:r>
        <w:rPr>
          <w:i/>
          <w:sz w:val="18"/>
          <w:szCs w:val="18"/>
        </w:rPr>
        <w:t xml:space="preserve">, </w:t>
      </w:r>
      <w:r>
        <w:rPr>
          <w:sz w:val="18"/>
          <w:szCs w:val="18"/>
        </w:rPr>
        <w:t xml:space="preserve"> Warszawa, sierpień 2017</w:t>
      </w:r>
    </w:p>
    <w:p w14:paraId="28D02C58" w14:textId="77777777" w:rsidR="00D22FE8" w:rsidRDefault="00D22FE8">
      <w:pPr>
        <w:pStyle w:val="Tekstprzypisudolnego"/>
      </w:pPr>
    </w:p>
  </w:footnote>
  <w:footnote w:id="6">
    <w:p w14:paraId="5541F52C" w14:textId="6E6D7F88" w:rsidR="00D22FE8" w:rsidRPr="00BE71B3" w:rsidRDefault="00D22FE8">
      <w:pPr>
        <w:pStyle w:val="Tekstprzypisudolnego"/>
        <w:rPr>
          <w:color w:val="000000" w:themeColor="text1"/>
          <w:sz w:val="18"/>
          <w:szCs w:val="18"/>
        </w:rPr>
      </w:pPr>
      <w:r w:rsidRPr="00721F70">
        <w:rPr>
          <w:rStyle w:val="Odwoanieprzypisudolnego"/>
          <w:color w:val="000000" w:themeColor="text1"/>
        </w:rPr>
        <w:footnoteRef/>
      </w:r>
      <w:r w:rsidRPr="00721F70">
        <w:rPr>
          <w:color w:val="000000" w:themeColor="text1"/>
        </w:rPr>
        <w:t xml:space="preserve"> </w:t>
      </w:r>
      <w:r w:rsidRPr="00BE71B3">
        <w:rPr>
          <w:color w:val="000000" w:themeColor="text1"/>
          <w:sz w:val="18"/>
          <w:szCs w:val="18"/>
        </w:rPr>
        <w:t>Statystyczne Vademecum Samorządowca 2020, ZIT Olsztyn</w:t>
      </w:r>
    </w:p>
  </w:footnote>
  <w:footnote w:id="7">
    <w:p w14:paraId="5E678494" w14:textId="72A8BB40" w:rsidR="00D22FE8" w:rsidRPr="00BE71B3" w:rsidRDefault="00D22FE8">
      <w:pPr>
        <w:pStyle w:val="Tekstprzypisudolnego"/>
        <w:rPr>
          <w:color w:val="000000" w:themeColor="text1"/>
          <w:sz w:val="18"/>
          <w:szCs w:val="18"/>
        </w:rPr>
      </w:pPr>
      <w:r w:rsidRPr="00BE71B3">
        <w:rPr>
          <w:rStyle w:val="Odwoanieprzypisudolnego"/>
          <w:color w:val="000000" w:themeColor="text1"/>
          <w:sz w:val="18"/>
          <w:szCs w:val="18"/>
        </w:rPr>
        <w:footnoteRef/>
      </w:r>
      <w:r w:rsidRPr="00BE71B3">
        <w:rPr>
          <w:color w:val="000000" w:themeColor="text1"/>
          <w:sz w:val="18"/>
          <w:szCs w:val="18"/>
        </w:rPr>
        <w:t xml:space="preserve"> Statystyczne Vademecum Samorządowca 2020, ZIT Kielce</w:t>
      </w:r>
    </w:p>
  </w:footnote>
  <w:footnote w:id="8">
    <w:p w14:paraId="44561BAD" w14:textId="3C1ED1B7" w:rsidR="00D22FE8" w:rsidRPr="00BE71B3" w:rsidRDefault="00D22FE8">
      <w:pPr>
        <w:pStyle w:val="Tekstprzypisudolnego"/>
        <w:rPr>
          <w:color w:val="000000" w:themeColor="text1"/>
          <w:sz w:val="18"/>
          <w:szCs w:val="18"/>
        </w:rPr>
      </w:pPr>
      <w:r w:rsidRPr="00BE71B3">
        <w:rPr>
          <w:rStyle w:val="Odwoanieprzypisudolnego"/>
          <w:color w:val="000000" w:themeColor="text1"/>
          <w:sz w:val="18"/>
          <w:szCs w:val="18"/>
        </w:rPr>
        <w:footnoteRef/>
      </w:r>
      <w:r w:rsidRPr="00BE71B3">
        <w:rPr>
          <w:color w:val="000000" w:themeColor="text1"/>
          <w:sz w:val="18"/>
          <w:szCs w:val="18"/>
        </w:rPr>
        <w:t xml:space="preserve"> Statystyczne Vademecum Samorządowca 2020, ZIT Białystok</w:t>
      </w:r>
    </w:p>
  </w:footnote>
  <w:footnote w:id="9">
    <w:p w14:paraId="367083A1" w14:textId="78ACAB83" w:rsidR="00D22FE8" w:rsidRPr="00BE71B3" w:rsidRDefault="00D22FE8">
      <w:pPr>
        <w:pStyle w:val="Tekstprzypisudolnego"/>
        <w:rPr>
          <w:color w:val="000000" w:themeColor="text1"/>
          <w:sz w:val="18"/>
          <w:szCs w:val="18"/>
        </w:rPr>
      </w:pPr>
      <w:r w:rsidRPr="00BE71B3">
        <w:rPr>
          <w:rStyle w:val="Odwoanieprzypisudolnego"/>
          <w:color w:val="000000" w:themeColor="text1"/>
          <w:sz w:val="18"/>
          <w:szCs w:val="18"/>
        </w:rPr>
        <w:footnoteRef/>
      </w:r>
      <w:r w:rsidRPr="00BE71B3">
        <w:rPr>
          <w:color w:val="000000" w:themeColor="text1"/>
          <w:sz w:val="18"/>
          <w:szCs w:val="18"/>
        </w:rPr>
        <w:t xml:space="preserve"> Statystyczne Vademecum Samorządowca 2020, ZIT Rzeszów</w:t>
      </w:r>
    </w:p>
  </w:footnote>
  <w:footnote w:id="10">
    <w:p w14:paraId="157691C8" w14:textId="531FA538" w:rsidR="00D22FE8" w:rsidRPr="00BE71B3" w:rsidRDefault="00D22FE8">
      <w:pPr>
        <w:pStyle w:val="Tekstprzypisudolnego"/>
        <w:rPr>
          <w:sz w:val="18"/>
          <w:szCs w:val="18"/>
        </w:rPr>
      </w:pPr>
      <w:r w:rsidRPr="00BE71B3">
        <w:rPr>
          <w:rStyle w:val="Odwoanieprzypisudolnego"/>
          <w:color w:val="000000" w:themeColor="text1"/>
          <w:sz w:val="18"/>
          <w:szCs w:val="18"/>
        </w:rPr>
        <w:footnoteRef/>
      </w:r>
      <w:r w:rsidRPr="00BE71B3">
        <w:rPr>
          <w:color w:val="000000" w:themeColor="text1"/>
          <w:sz w:val="18"/>
          <w:szCs w:val="18"/>
        </w:rPr>
        <w:t xml:space="preserve"> Statystyczne Vademecum Samorządowca 2020, ZIT Lublin</w:t>
      </w:r>
    </w:p>
  </w:footnote>
  <w:footnote w:id="11">
    <w:p w14:paraId="11F38BEF" w14:textId="77777777" w:rsidR="00D22FE8" w:rsidRPr="00BE71B3" w:rsidRDefault="00D22FE8" w:rsidP="008E4EF6">
      <w:pPr>
        <w:pStyle w:val="Tekstprzypisudolnego"/>
        <w:rPr>
          <w:sz w:val="18"/>
          <w:szCs w:val="18"/>
        </w:rPr>
      </w:pPr>
      <w:r w:rsidRPr="00BE71B3">
        <w:rPr>
          <w:rStyle w:val="Odwoanieprzypisudolnego"/>
          <w:sz w:val="18"/>
          <w:szCs w:val="18"/>
        </w:rPr>
        <w:footnoteRef/>
      </w:r>
      <w:r w:rsidRPr="00BE71B3">
        <w:rPr>
          <w:sz w:val="18"/>
          <w:szCs w:val="18"/>
        </w:rPr>
        <w:t xml:space="preserve"> http://bip.olsztyn.eu/bip/folder/3207/rady_osiedli/</w:t>
      </w:r>
    </w:p>
  </w:footnote>
  <w:footnote w:id="12">
    <w:p w14:paraId="34948B73" w14:textId="636C6989" w:rsidR="00D22FE8" w:rsidRPr="00BE71B3" w:rsidRDefault="00D22FE8" w:rsidP="00BE71B3">
      <w:pPr>
        <w:pStyle w:val="Tekstprzypisudolnego"/>
        <w:ind w:left="142" w:hanging="142"/>
        <w:rPr>
          <w:sz w:val="18"/>
          <w:szCs w:val="18"/>
        </w:rPr>
      </w:pPr>
      <w:r>
        <w:rPr>
          <w:rStyle w:val="Odwoanieprzypisudolnego"/>
        </w:rPr>
        <w:footnoteRef/>
      </w:r>
      <w:r>
        <w:t xml:space="preserve"> </w:t>
      </w:r>
      <w:r w:rsidRPr="00BE71B3">
        <w:rPr>
          <w:i/>
          <w:sz w:val="18"/>
          <w:szCs w:val="18"/>
        </w:rPr>
        <w:t>Gminny program profilaktyki i rozwiązywania problemów alkoholowych oraz przeciwdziałania narkomanii dla Olsztyna na rok 2021, s. 4</w:t>
      </w:r>
    </w:p>
  </w:footnote>
  <w:footnote w:id="13">
    <w:p w14:paraId="00C3546A" w14:textId="50CA88CB" w:rsidR="00D22FE8" w:rsidRDefault="00D22FE8" w:rsidP="00723065">
      <w:pPr>
        <w:pStyle w:val="Tekstprzypisudolnego"/>
        <w:jc w:val="both"/>
      </w:pPr>
      <w:r>
        <w:rPr>
          <w:rStyle w:val="Odwoanieprzypisudolnego"/>
        </w:rPr>
        <w:footnoteRef/>
      </w:r>
      <w:r>
        <w:t xml:space="preserve"> </w:t>
      </w:r>
      <w:r w:rsidRPr="00BE71B3">
        <w:rPr>
          <w:sz w:val="18"/>
          <w:szCs w:val="18"/>
        </w:rPr>
        <w:t xml:space="preserve">Wszystkie dane w tej części pochodzą z badania cytowanego w </w:t>
      </w:r>
      <w:r w:rsidRPr="00BE71B3">
        <w:rPr>
          <w:i/>
          <w:sz w:val="18"/>
          <w:szCs w:val="18"/>
        </w:rPr>
        <w:t>Gminnym programie profilaktyki i rozwiązywania problemów alkoholowych oraz przeciwdziałania narkomanii dla Olsztyna na rok 2021</w:t>
      </w:r>
      <w:r w:rsidRPr="00BE71B3">
        <w:rPr>
          <w:sz w:val="18"/>
          <w:szCs w:val="18"/>
        </w:rPr>
        <w:t xml:space="preserve"> (dostęp: http://bip.olsztyn.eu/bip/dokument/372822/xxviii_489_20_w_sprawie_gminnego_programu_profilaktyki_i_rozwiazywania_problemow_alkoholowych_oraz_przeciwdzialania_narkomanii_na_rok_2021/)</w:t>
      </w:r>
    </w:p>
  </w:footnote>
  <w:footnote w:id="14">
    <w:p w14:paraId="4562C164" w14:textId="77777777" w:rsidR="00D22FE8" w:rsidRPr="00BE71B3" w:rsidRDefault="00D22FE8" w:rsidP="009544CD">
      <w:pPr>
        <w:pStyle w:val="Tekstprzypisudolnego"/>
        <w:jc w:val="both"/>
        <w:rPr>
          <w:sz w:val="18"/>
          <w:szCs w:val="18"/>
        </w:rPr>
      </w:pPr>
      <w:r>
        <w:rPr>
          <w:rStyle w:val="Odwoanieprzypisudolnego"/>
        </w:rPr>
        <w:footnoteRef/>
      </w:r>
      <w:r>
        <w:t xml:space="preserve"> </w:t>
      </w:r>
      <w:r w:rsidRPr="00BE71B3">
        <w:rPr>
          <w:sz w:val="18"/>
          <w:szCs w:val="18"/>
        </w:rPr>
        <w:t xml:space="preserve">Ranking w </w:t>
      </w:r>
      <w:r w:rsidRPr="00BE71B3">
        <w:rPr>
          <w:i/>
          <w:sz w:val="18"/>
          <w:szCs w:val="18"/>
        </w:rPr>
        <w:t xml:space="preserve">Raporcie </w:t>
      </w:r>
      <w:r w:rsidRPr="00BE71B3">
        <w:rPr>
          <w:sz w:val="18"/>
          <w:szCs w:val="18"/>
        </w:rPr>
        <w:t xml:space="preserve">został stworzony na podstawie analiz danych obejmujących wymiary: </w:t>
      </w:r>
      <w:r w:rsidRPr="00BE71B3">
        <w:rPr>
          <w:b/>
          <w:sz w:val="18"/>
          <w:szCs w:val="18"/>
        </w:rPr>
        <w:t>bezpieczeństwa publicznego</w:t>
      </w:r>
      <w:r w:rsidRPr="00BE71B3">
        <w:rPr>
          <w:sz w:val="18"/>
          <w:szCs w:val="18"/>
        </w:rPr>
        <w:t xml:space="preserve">, związanego z ogólnym poziomem przestępczości (i jej szczegółowych wymiarów); </w:t>
      </w:r>
      <w:r w:rsidRPr="00BE71B3">
        <w:rPr>
          <w:b/>
          <w:sz w:val="18"/>
          <w:szCs w:val="18"/>
        </w:rPr>
        <w:t>otwartości i  przyjmowania  pracowników  z  innych  krajów</w:t>
      </w:r>
      <w:r w:rsidRPr="00BE71B3">
        <w:rPr>
          <w:sz w:val="18"/>
          <w:szCs w:val="18"/>
        </w:rPr>
        <w:t xml:space="preserve"> (przede wszystkim Ukraińców); </w:t>
      </w:r>
      <w:r w:rsidRPr="00BE71B3">
        <w:rPr>
          <w:b/>
          <w:sz w:val="18"/>
          <w:szCs w:val="18"/>
        </w:rPr>
        <w:t>poczucia bezpieczeństwa indywidualnego</w:t>
      </w:r>
      <w:r w:rsidRPr="00BE71B3">
        <w:rPr>
          <w:sz w:val="18"/>
          <w:szCs w:val="18"/>
        </w:rPr>
        <w:t xml:space="preserve"> (także w domu, z uwzględnieniem liczby ofiar przemocy domowej), a także tego jak mieszkańcy postrzegają swoje miasto</w:t>
      </w:r>
      <w:r w:rsidRPr="00BE71B3">
        <w:rPr>
          <w:b/>
          <w:sz w:val="18"/>
          <w:szCs w:val="18"/>
        </w:rPr>
        <w:t>; bezpieczeństwa komunikacyjnego</w:t>
      </w:r>
      <w:r w:rsidRPr="00BE71B3">
        <w:rPr>
          <w:sz w:val="18"/>
          <w:szCs w:val="18"/>
        </w:rPr>
        <w:t xml:space="preserve">, czyli tego jak wielu kierowców jest łapanych przez policję za jazdę pod wpływem alkoholu, liczby wypadków i ich skutków w postaci rannych lub ofiar śmiertelnych; a  także </w:t>
      </w:r>
      <w:r w:rsidRPr="00BE71B3">
        <w:rPr>
          <w:b/>
          <w:sz w:val="18"/>
          <w:szCs w:val="18"/>
        </w:rPr>
        <w:t>bezpieczeństwa  społeczno-ekonomicznego</w:t>
      </w:r>
      <w:r w:rsidRPr="00BE71B3">
        <w:rPr>
          <w:sz w:val="18"/>
          <w:szCs w:val="18"/>
        </w:rPr>
        <w:t xml:space="preserve">, czyli tego, jakiej wielkości są średnie wynagrodzenia, czy łatwo jest znaleźć pracę i czy jest dużo miejsc w żłobkach. </w:t>
      </w:r>
    </w:p>
    <w:p w14:paraId="1F0C4431" w14:textId="46BB1AA2" w:rsidR="00D22FE8" w:rsidRDefault="00D22FE8" w:rsidP="009544CD">
      <w:pPr>
        <w:pStyle w:val="Tekstprzypisudolnego"/>
        <w:jc w:val="both"/>
      </w:pPr>
      <w:r w:rsidRPr="00BE71B3">
        <w:rPr>
          <w:sz w:val="18"/>
          <w:szCs w:val="18"/>
        </w:rPr>
        <w:t>(dostęp: https://www.miasta.pl/uploads/attachment/file/1436/Europolis.-Bezpieczne-i-otwarte-miasta.pdf)</w:t>
      </w:r>
    </w:p>
  </w:footnote>
  <w:footnote w:id="15">
    <w:p w14:paraId="34A0D588" w14:textId="77777777" w:rsidR="00D22FE8" w:rsidRPr="00BE71B3" w:rsidRDefault="00D22FE8" w:rsidP="009544CD">
      <w:pPr>
        <w:pStyle w:val="Tekstprzypisudolnego"/>
        <w:jc w:val="both"/>
        <w:rPr>
          <w:sz w:val="18"/>
          <w:szCs w:val="18"/>
        </w:rPr>
      </w:pPr>
      <w:r w:rsidRPr="00BE71B3">
        <w:rPr>
          <w:rStyle w:val="Odwoanieprzypisudolnego"/>
          <w:sz w:val="18"/>
          <w:szCs w:val="18"/>
        </w:rPr>
        <w:footnoteRef/>
      </w:r>
      <w:r w:rsidRPr="00BE71B3">
        <w:rPr>
          <w:sz w:val="18"/>
          <w:szCs w:val="18"/>
        </w:rPr>
        <w:t xml:space="preserve"> Zgodnie z Porozumieniem z dnia 30 grudnia 2009 r. między Prezydentem Miasta Olsztyna a Wójtem Gminy Dywity z dniem 1 stycznia 2010 r. został utworzony Referat Dywity z posterunkiem w Tuławkach w strukturze organizacyjnej Straży Miejskiej w Olsztynie. Gmina Dywity pokrywa koszty utrzymania dwóch strażników.</w:t>
      </w:r>
    </w:p>
  </w:footnote>
  <w:footnote w:id="16">
    <w:p w14:paraId="608A272B" w14:textId="77777777" w:rsidR="00D22FE8" w:rsidRPr="00BE71B3" w:rsidRDefault="00D22FE8" w:rsidP="00B53A27">
      <w:pPr>
        <w:pStyle w:val="Tekstprzypisudolnego"/>
        <w:rPr>
          <w:sz w:val="18"/>
          <w:szCs w:val="18"/>
        </w:rPr>
      </w:pPr>
      <w:r w:rsidRPr="00BE71B3">
        <w:rPr>
          <w:rStyle w:val="Odwoanieprzypisudolnego"/>
          <w:sz w:val="18"/>
          <w:szCs w:val="18"/>
        </w:rPr>
        <w:footnoteRef/>
      </w:r>
      <w:r w:rsidRPr="00BE71B3">
        <w:rPr>
          <w:sz w:val="18"/>
          <w:szCs w:val="18"/>
        </w:rPr>
        <w:t xml:space="preserve"> </w:t>
      </w:r>
      <w:hyperlink r:id="rId1" w:history="1">
        <w:r w:rsidRPr="00BE71B3">
          <w:rPr>
            <w:rStyle w:val="Hipercze"/>
            <w:sz w:val="18"/>
            <w:szCs w:val="18"/>
          </w:rPr>
          <w:t>https://spis.ngo.pl</w:t>
        </w:r>
      </w:hyperlink>
      <w:r w:rsidRPr="00BE71B3">
        <w:rPr>
          <w:sz w:val="18"/>
          <w:szCs w:val="18"/>
        </w:rPr>
        <w:t xml:space="preserve"> – dostęp z dnia 5 sierpnia 2020 r.</w:t>
      </w:r>
    </w:p>
  </w:footnote>
  <w:footnote w:id="17">
    <w:p w14:paraId="1AE37C13" w14:textId="77777777" w:rsidR="00D22FE8" w:rsidRPr="00BE71B3" w:rsidRDefault="00D22FE8" w:rsidP="000470D8">
      <w:pPr>
        <w:pStyle w:val="Tekstprzypisudolnego"/>
        <w:rPr>
          <w:sz w:val="18"/>
          <w:szCs w:val="18"/>
        </w:rPr>
      </w:pPr>
      <w:r w:rsidRPr="00BE71B3">
        <w:rPr>
          <w:rStyle w:val="Odwoanieprzypisudolnego"/>
          <w:sz w:val="18"/>
          <w:szCs w:val="18"/>
        </w:rPr>
        <w:footnoteRef/>
      </w:r>
      <w:r w:rsidRPr="00BE71B3">
        <w:rPr>
          <w:sz w:val="18"/>
          <w:szCs w:val="18"/>
        </w:rPr>
        <w:t xml:space="preserve"> https://wybory2018.pkw.gov.pl/pl/geografia/286200#general_committee_stat</w:t>
      </w:r>
    </w:p>
  </w:footnote>
  <w:footnote w:id="18">
    <w:p w14:paraId="241BA305" w14:textId="77777777" w:rsidR="00D22FE8" w:rsidRPr="00BE71B3" w:rsidRDefault="00D22FE8" w:rsidP="000470D8">
      <w:pPr>
        <w:pStyle w:val="Tekstprzypisudolnego"/>
        <w:rPr>
          <w:sz w:val="18"/>
          <w:szCs w:val="18"/>
        </w:rPr>
      </w:pPr>
      <w:r w:rsidRPr="00BE71B3">
        <w:rPr>
          <w:rStyle w:val="Odwoanieprzypisudolnego"/>
          <w:sz w:val="18"/>
          <w:szCs w:val="18"/>
        </w:rPr>
        <w:footnoteRef/>
      </w:r>
      <w:r w:rsidRPr="00BE71B3">
        <w:rPr>
          <w:sz w:val="18"/>
          <w:szCs w:val="18"/>
        </w:rPr>
        <w:t xml:space="preserve"> https://wybory2018.pkw.gov.pl/pl/frekwencja/0411#f1000001</w:t>
      </w:r>
    </w:p>
  </w:footnote>
  <w:footnote w:id="19">
    <w:p w14:paraId="5349C08C" w14:textId="77777777" w:rsidR="00D22FE8" w:rsidRDefault="00D22FE8" w:rsidP="000470D8">
      <w:pPr>
        <w:pStyle w:val="Tekstprzypisudolnego"/>
      </w:pPr>
      <w:r w:rsidRPr="00BE71B3">
        <w:rPr>
          <w:rStyle w:val="Odwoanieprzypisudolnego"/>
          <w:sz w:val="18"/>
          <w:szCs w:val="18"/>
        </w:rPr>
        <w:footnoteRef/>
      </w:r>
      <w:r w:rsidRPr="00BE71B3">
        <w:rPr>
          <w:sz w:val="18"/>
          <w:szCs w:val="18"/>
        </w:rPr>
        <w:t xml:space="preserve"> https://wybory.gov.pl/</w:t>
      </w:r>
    </w:p>
  </w:footnote>
  <w:footnote w:id="20">
    <w:p w14:paraId="2F0D9376" w14:textId="77777777" w:rsidR="00D22FE8" w:rsidRPr="00BE71B3" w:rsidRDefault="00D22FE8">
      <w:pPr>
        <w:pStyle w:val="Tekstprzypisudolnego"/>
        <w:rPr>
          <w:sz w:val="18"/>
          <w:szCs w:val="18"/>
        </w:rPr>
      </w:pPr>
      <w:r w:rsidRPr="00BE71B3">
        <w:rPr>
          <w:rStyle w:val="Odwoanieprzypisudolnego"/>
          <w:sz w:val="18"/>
          <w:szCs w:val="18"/>
        </w:rPr>
        <w:footnoteRef/>
      </w:r>
      <w:r w:rsidRPr="00BE71B3">
        <w:rPr>
          <w:sz w:val="18"/>
          <w:szCs w:val="18"/>
        </w:rPr>
        <w:t xml:space="preserve"> cyt. za: </w:t>
      </w:r>
      <w:r w:rsidRPr="00BE71B3">
        <w:rPr>
          <w:rFonts w:cs="Arial"/>
          <w:sz w:val="18"/>
          <w:szCs w:val="18"/>
        </w:rPr>
        <w:t>Pojęcia stosowane w statystyce publicznej, GUS; https://stat.gov.pl/metainformacje/slownik-pojec/pojecia-stosowane-w-statystyce-publicznej/663,pojecie.html?pdf=1</w:t>
      </w:r>
    </w:p>
  </w:footnote>
  <w:footnote w:id="21">
    <w:p w14:paraId="4916DEDF" w14:textId="77777777" w:rsidR="00D22FE8" w:rsidRPr="00BE71B3" w:rsidRDefault="00D22FE8" w:rsidP="00356A45">
      <w:pPr>
        <w:pStyle w:val="Tekstprzypisudolnego"/>
        <w:rPr>
          <w:sz w:val="18"/>
          <w:szCs w:val="18"/>
        </w:rPr>
      </w:pPr>
      <w:r w:rsidRPr="00BE71B3">
        <w:rPr>
          <w:rStyle w:val="Odwoanieprzypisudolnego"/>
          <w:sz w:val="18"/>
          <w:szCs w:val="18"/>
        </w:rPr>
        <w:footnoteRef/>
      </w:r>
      <w:r w:rsidRPr="00BE71B3">
        <w:rPr>
          <w:sz w:val="18"/>
          <w:szCs w:val="18"/>
        </w:rPr>
        <w:t xml:space="preserve"> https://olsztyn.eu/natura/rezerwaty.html</w:t>
      </w:r>
    </w:p>
  </w:footnote>
  <w:footnote w:id="22">
    <w:p w14:paraId="0D70F053" w14:textId="77777777" w:rsidR="00D22FE8" w:rsidRPr="00BE71B3" w:rsidRDefault="00D22FE8" w:rsidP="00356A45">
      <w:pPr>
        <w:pStyle w:val="Tekstprzypisudolnego"/>
        <w:rPr>
          <w:sz w:val="18"/>
          <w:szCs w:val="18"/>
        </w:rPr>
      </w:pPr>
      <w:r w:rsidRPr="00BE71B3">
        <w:rPr>
          <w:rStyle w:val="Odwoanieprzypisudolnego"/>
          <w:sz w:val="18"/>
          <w:szCs w:val="18"/>
        </w:rPr>
        <w:footnoteRef/>
      </w:r>
      <w:r w:rsidRPr="00BE71B3">
        <w:rPr>
          <w:sz w:val="18"/>
          <w:szCs w:val="18"/>
        </w:rPr>
        <w:t xml:space="preserve"> Program  Ochrony Środowiska dla Miasta Olsztyna do roku 2020</w:t>
      </w:r>
    </w:p>
  </w:footnote>
  <w:footnote w:id="23">
    <w:p w14:paraId="40C0556D" w14:textId="77777777" w:rsidR="00D22FE8" w:rsidRPr="00BE71B3" w:rsidRDefault="00D22FE8" w:rsidP="00356A45">
      <w:pPr>
        <w:pStyle w:val="Tekstprzypisudolnego"/>
        <w:rPr>
          <w:sz w:val="18"/>
          <w:szCs w:val="18"/>
        </w:rPr>
      </w:pPr>
      <w:r w:rsidRPr="00BE71B3">
        <w:rPr>
          <w:rStyle w:val="Odwoanieprzypisudolnego"/>
          <w:sz w:val="18"/>
          <w:szCs w:val="18"/>
        </w:rPr>
        <w:footnoteRef/>
      </w:r>
      <w:r w:rsidRPr="00BE71B3">
        <w:rPr>
          <w:sz w:val="18"/>
          <w:szCs w:val="18"/>
        </w:rPr>
        <w:t xml:space="preserve"> http://natura2000.fwie.pl/index.php/korytarz-ekologiczny</w:t>
      </w:r>
    </w:p>
  </w:footnote>
  <w:footnote w:id="24">
    <w:p w14:paraId="2D9A160F" w14:textId="77777777" w:rsidR="00D22FE8" w:rsidRDefault="00D22FE8" w:rsidP="00356A45">
      <w:pPr>
        <w:pStyle w:val="Tekstprzypisudolnego"/>
      </w:pPr>
      <w:r w:rsidRPr="00BE71B3">
        <w:rPr>
          <w:rStyle w:val="Odwoanieprzypisudolnego"/>
          <w:sz w:val="18"/>
          <w:szCs w:val="18"/>
        </w:rPr>
        <w:footnoteRef/>
      </w:r>
      <w:r w:rsidRPr="00BE71B3">
        <w:rPr>
          <w:sz w:val="18"/>
          <w:szCs w:val="18"/>
        </w:rPr>
        <w:t xml:space="preserve"> Program  Ochrony Środowiska dla Miasta Olsztyna do roku 2020; str. 137-138</w:t>
      </w:r>
    </w:p>
  </w:footnote>
  <w:footnote w:id="25">
    <w:p w14:paraId="36DED7F4" w14:textId="77777777" w:rsidR="00D22FE8" w:rsidRPr="00BE71B3" w:rsidRDefault="00D22FE8">
      <w:pPr>
        <w:pStyle w:val="Tekstprzypisudolnego"/>
        <w:rPr>
          <w:sz w:val="18"/>
          <w:szCs w:val="18"/>
        </w:rPr>
      </w:pPr>
      <w:r w:rsidRPr="00BE71B3">
        <w:rPr>
          <w:rStyle w:val="Odwoanieprzypisudolnego"/>
          <w:sz w:val="18"/>
          <w:szCs w:val="18"/>
        </w:rPr>
        <w:footnoteRef/>
      </w:r>
      <w:r w:rsidRPr="00BE71B3">
        <w:rPr>
          <w:sz w:val="18"/>
          <w:szCs w:val="18"/>
        </w:rPr>
        <w:t xml:space="preserve"> Brak danych dot. emisji zanieczyszczeń powietrza NO</w:t>
      </w:r>
      <w:r w:rsidRPr="00BE71B3">
        <w:rPr>
          <w:sz w:val="18"/>
          <w:szCs w:val="18"/>
          <w:vertAlign w:val="subscript"/>
        </w:rPr>
        <w:t>2</w:t>
      </w:r>
      <w:r w:rsidRPr="00BE71B3">
        <w:rPr>
          <w:sz w:val="18"/>
          <w:szCs w:val="18"/>
        </w:rPr>
        <w:t xml:space="preserve"> dla Kielc</w:t>
      </w:r>
    </w:p>
  </w:footnote>
  <w:footnote w:id="26">
    <w:p w14:paraId="1E0F8D6D" w14:textId="77777777" w:rsidR="00D22FE8" w:rsidRPr="00BE71B3" w:rsidRDefault="00D22FE8" w:rsidP="0034272C">
      <w:pPr>
        <w:pStyle w:val="Tekstprzypisudolnego"/>
        <w:rPr>
          <w:sz w:val="18"/>
          <w:szCs w:val="18"/>
        </w:rPr>
      </w:pPr>
      <w:r w:rsidRPr="00BE71B3">
        <w:rPr>
          <w:rStyle w:val="Odwoanieprzypisudolnego"/>
          <w:sz w:val="18"/>
          <w:szCs w:val="18"/>
        </w:rPr>
        <w:footnoteRef/>
      </w:r>
      <w:r w:rsidRPr="00BE71B3">
        <w:rPr>
          <w:sz w:val="18"/>
          <w:szCs w:val="18"/>
        </w:rPr>
        <w:t xml:space="preserve"> Brak danych dot. emisji zanieczyszczeń powietrza SO</w:t>
      </w:r>
      <w:r w:rsidRPr="00BE71B3">
        <w:rPr>
          <w:sz w:val="18"/>
          <w:szCs w:val="18"/>
          <w:vertAlign w:val="subscript"/>
        </w:rPr>
        <w:t>2</w:t>
      </w:r>
      <w:r w:rsidRPr="00BE71B3">
        <w:rPr>
          <w:sz w:val="18"/>
          <w:szCs w:val="18"/>
        </w:rPr>
        <w:t xml:space="preserve"> dla Kielc</w:t>
      </w:r>
    </w:p>
    <w:p w14:paraId="55B143A5" w14:textId="77777777" w:rsidR="00D22FE8" w:rsidRDefault="00D22FE8">
      <w:pPr>
        <w:pStyle w:val="Tekstprzypisudolnego"/>
      </w:pPr>
    </w:p>
  </w:footnote>
  <w:footnote w:id="27">
    <w:p w14:paraId="0C7D01DD" w14:textId="77777777" w:rsidR="00D22FE8" w:rsidRPr="00BE71B3" w:rsidRDefault="00D22FE8" w:rsidP="00AE57AD">
      <w:pPr>
        <w:pStyle w:val="Tekstprzypisudolnego"/>
        <w:ind w:left="142" w:hanging="142"/>
        <w:rPr>
          <w:sz w:val="18"/>
          <w:szCs w:val="18"/>
        </w:rPr>
      </w:pPr>
      <w:r w:rsidRPr="00BE71B3">
        <w:rPr>
          <w:rStyle w:val="Odwoanieprzypisudolnego"/>
          <w:sz w:val="18"/>
          <w:szCs w:val="18"/>
        </w:rPr>
        <w:footnoteRef/>
      </w:r>
      <w:r w:rsidRPr="00BE71B3">
        <w:rPr>
          <w:sz w:val="18"/>
          <w:szCs w:val="18"/>
        </w:rPr>
        <w:t xml:space="preserve"> </w:t>
      </w:r>
      <w:r w:rsidRPr="00BE71B3">
        <w:rPr>
          <w:i/>
          <w:sz w:val="18"/>
          <w:szCs w:val="18"/>
        </w:rPr>
        <w:t>Raport o stanie środowiska województwa warmińsko-mazurskiego w 2017 roku</w:t>
      </w:r>
      <w:r w:rsidRPr="00BE71B3">
        <w:rPr>
          <w:sz w:val="18"/>
          <w:szCs w:val="18"/>
        </w:rPr>
        <w:t>, Inspekcja Ochrony Środowiska, Wojewódzki Inspektorat Ochrony środowiska w Olsztynie, Biblioteka Monitoringu Środowiska, Olsztyn 2018, s. 91 (dostęp: https://www.wios.olsztyn.pl/gios-rwms-w-olsztynie/raporty-o-stanie-srodowiska/)</w:t>
      </w:r>
    </w:p>
  </w:footnote>
  <w:footnote w:id="28">
    <w:p w14:paraId="32BD247F" w14:textId="5822455C" w:rsidR="00D22FE8" w:rsidRPr="00BE71B3" w:rsidRDefault="00D22FE8">
      <w:pPr>
        <w:pStyle w:val="Tekstprzypisudolnego"/>
        <w:rPr>
          <w:sz w:val="18"/>
          <w:szCs w:val="18"/>
        </w:rPr>
      </w:pPr>
      <w:r w:rsidRPr="00BE71B3">
        <w:rPr>
          <w:rStyle w:val="Odwoanieprzypisudolnego"/>
          <w:sz w:val="18"/>
          <w:szCs w:val="18"/>
        </w:rPr>
        <w:footnoteRef/>
      </w:r>
      <w:r w:rsidRPr="00BE71B3">
        <w:rPr>
          <w:sz w:val="18"/>
          <w:szCs w:val="18"/>
        </w:rPr>
        <w:t xml:space="preserve"> Brak danych dot. emisji zanieczyszczeń</w:t>
      </w:r>
      <w:r>
        <w:rPr>
          <w:sz w:val="18"/>
          <w:szCs w:val="18"/>
        </w:rPr>
        <w:t xml:space="preserve"> powietrza pyłem zawieszonym PM2.</w:t>
      </w:r>
      <w:r w:rsidRPr="00BE71B3">
        <w:rPr>
          <w:sz w:val="18"/>
          <w:szCs w:val="18"/>
        </w:rPr>
        <w:t>5 dla Kielc</w:t>
      </w:r>
    </w:p>
  </w:footnote>
  <w:footnote w:id="29">
    <w:p w14:paraId="1D2DF23B" w14:textId="77777777" w:rsidR="00D22FE8" w:rsidRPr="00BE71B3" w:rsidRDefault="00D22FE8" w:rsidP="00B93E38">
      <w:pPr>
        <w:pStyle w:val="Tekstprzypisudolnego"/>
        <w:ind w:left="142" w:hanging="142"/>
        <w:rPr>
          <w:sz w:val="18"/>
          <w:szCs w:val="18"/>
        </w:rPr>
      </w:pPr>
      <w:r w:rsidRPr="00BE71B3">
        <w:rPr>
          <w:rStyle w:val="Odwoanieprzypisudolnego"/>
          <w:sz w:val="18"/>
          <w:szCs w:val="18"/>
        </w:rPr>
        <w:footnoteRef/>
      </w:r>
      <w:r w:rsidRPr="00BE71B3">
        <w:rPr>
          <w:sz w:val="18"/>
          <w:szCs w:val="18"/>
        </w:rPr>
        <w:t xml:space="preserve"> </w:t>
      </w:r>
      <w:r w:rsidRPr="00BE71B3">
        <w:rPr>
          <w:i/>
          <w:sz w:val="18"/>
          <w:szCs w:val="18"/>
        </w:rPr>
        <w:t>Raport o stanie środowiska województwa warmińsko-mazurskiego w 2017 roku</w:t>
      </w:r>
      <w:r w:rsidRPr="00BE71B3">
        <w:rPr>
          <w:sz w:val="18"/>
          <w:szCs w:val="18"/>
        </w:rPr>
        <w:t>, Inspekcja Ochrony Środowiska, Wojewódzki Inspektorat Ochrony środowiska w Olsztynie, Biblioteka Monitoringu Środowiska, Olsztyn 2018, s. 91 (dostęp: https://www.wios.olsztyn.pl/gios-rwms-w-olsztynie/raporty-o-stanie-srodowiska/)</w:t>
      </w:r>
    </w:p>
  </w:footnote>
  <w:footnote w:id="30">
    <w:p w14:paraId="06B28FF6" w14:textId="77777777" w:rsidR="00D22FE8" w:rsidRPr="00BE71B3" w:rsidRDefault="00D22FE8" w:rsidP="00955ED4">
      <w:pPr>
        <w:pStyle w:val="Tekstprzypisudolnego"/>
        <w:rPr>
          <w:sz w:val="18"/>
          <w:szCs w:val="18"/>
        </w:rPr>
      </w:pPr>
      <w:r w:rsidRPr="00BE71B3">
        <w:rPr>
          <w:rStyle w:val="Odwoanieprzypisudolnego"/>
          <w:sz w:val="18"/>
          <w:szCs w:val="18"/>
        </w:rPr>
        <w:footnoteRef/>
      </w:r>
      <w:r w:rsidRPr="00BE71B3">
        <w:rPr>
          <w:sz w:val="18"/>
          <w:szCs w:val="18"/>
        </w:rPr>
        <w:t xml:space="preserve"> Brak danych dot. emisji zanieczyszczeń powietrza benzenem dla Kielc, Białegostoku</w:t>
      </w:r>
    </w:p>
  </w:footnote>
  <w:footnote w:id="31">
    <w:p w14:paraId="0B4991A2" w14:textId="77777777" w:rsidR="00D22FE8" w:rsidRPr="00BE71B3" w:rsidRDefault="00D22FE8">
      <w:pPr>
        <w:pStyle w:val="Tekstprzypisudolnego"/>
        <w:rPr>
          <w:sz w:val="18"/>
          <w:szCs w:val="18"/>
        </w:rPr>
      </w:pPr>
      <w:r w:rsidRPr="00BE71B3">
        <w:rPr>
          <w:rStyle w:val="Odwoanieprzypisudolnego"/>
          <w:sz w:val="18"/>
          <w:szCs w:val="18"/>
        </w:rPr>
        <w:footnoteRef/>
      </w:r>
      <w:r w:rsidRPr="00BE71B3">
        <w:rPr>
          <w:sz w:val="18"/>
          <w:szCs w:val="18"/>
        </w:rPr>
        <w:t xml:space="preserve"> Brak danych dot. emisji zanieczyszczeń powietrza ołowiem dla Kielc</w:t>
      </w:r>
    </w:p>
  </w:footnote>
  <w:footnote w:id="32">
    <w:p w14:paraId="2064AF59" w14:textId="77777777" w:rsidR="00D22FE8" w:rsidRPr="00CC1906" w:rsidRDefault="00D22FE8" w:rsidP="00A23DC1">
      <w:pPr>
        <w:pStyle w:val="Tekstprzypisudolnego"/>
        <w:rPr>
          <w:sz w:val="18"/>
          <w:szCs w:val="18"/>
        </w:rPr>
      </w:pPr>
      <w:r w:rsidRPr="00CC1906">
        <w:rPr>
          <w:rStyle w:val="Odwoanieprzypisudolnego"/>
          <w:sz w:val="18"/>
          <w:szCs w:val="18"/>
        </w:rPr>
        <w:footnoteRef/>
      </w:r>
      <w:r w:rsidRPr="00CC1906">
        <w:rPr>
          <w:sz w:val="18"/>
          <w:szCs w:val="18"/>
        </w:rPr>
        <w:t xml:space="preserve"> Dz. U. z 2019 r., poz. 1396 z późn. zm.</w:t>
      </w:r>
    </w:p>
  </w:footnote>
  <w:footnote w:id="33">
    <w:p w14:paraId="51A7A559" w14:textId="1A675B50" w:rsidR="00D22FE8" w:rsidRPr="00BE71B3" w:rsidRDefault="00D22FE8" w:rsidP="00A23DC1">
      <w:pPr>
        <w:pStyle w:val="Tekstprzypisudolnego"/>
        <w:rPr>
          <w:sz w:val="18"/>
          <w:szCs w:val="18"/>
        </w:rPr>
      </w:pPr>
      <w:r w:rsidRPr="00BE71B3">
        <w:rPr>
          <w:rStyle w:val="Odwoanieprzypisudolnego"/>
          <w:sz w:val="18"/>
          <w:szCs w:val="18"/>
        </w:rPr>
        <w:footnoteRef/>
      </w:r>
      <w:r w:rsidRPr="00BE71B3">
        <w:rPr>
          <w:sz w:val="18"/>
          <w:szCs w:val="18"/>
        </w:rPr>
        <w:t xml:space="preserve"> źródło: </w:t>
      </w:r>
      <w:r w:rsidRPr="00BE71B3">
        <w:rPr>
          <w:i/>
          <w:sz w:val="18"/>
          <w:szCs w:val="18"/>
        </w:rPr>
        <w:t xml:space="preserve">Program ochrony </w:t>
      </w:r>
      <w:r w:rsidRPr="00BE71B3">
        <w:rPr>
          <w:rFonts w:hint="eastAsia"/>
          <w:i/>
          <w:sz w:val="18"/>
          <w:szCs w:val="18"/>
        </w:rPr>
        <w:t>ś</w:t>
      </w:r>
      <w:r w:rsidRPr="00BE71B3">
        <w:rPr>
          <w:i/>
          <w:sz w:val="18"/>
          <w:szCs w:val="18"/>
        </w:rPr>
        <w:t>rodowiska przed ha</w:t>
      </w:r>
      <w:r w:rsidRPr="00BE71B3">
        <w:rPr>
          <w:rFonts w:hint="eastAsia"/>
          <w:i/>
          <w:sz w:val="18"/>
          <w:szCs w:val="18"/>
        </w:rPr>
        <w:t>ł</w:t>
      </w:r>
      <w:r w:rsidRPr="00BE71B3">
        <w:rPr>
          <w:i/>
          <w:sz w:val="18"/>
          <w:szCs w:val="18"/>
        </w:rPr>
        <w:t>asem dla miasta Olsztyna, Olsztyn 2018</w:t>
      </w:r>
    </w:p>
  </w:footnote>
  <w:footnote w:id="34">
    <w:p w14:paraId="277F3421" w14:textId="77777777" w:rsidR="00D22FE8" w:rsidRDefault="00D22FE8" w:rsidP="006A1560">
      <w:pPr>
        <w:pStyle w:val="Tekstprzypisudolnego"/>
      </w:pPr>
      <w:r>
        <w:rPr>
          <w:rStyle w:val="Odwoanieprzypisudolnego"/>
        </w:rPr>
        <w:footnoteRef/>
      </w:r>
      <w:r>
        <w:t xml:space="preserve"> </w:t>
      </w:r>
      <w:r w:rsidRPr="00BE71B3">
        <w:rPr>
          <w:sz w:val="18"/>
          <w:szCs w:val="18"/>
        </w:rPr>
        <w:t>IMGW</w:t>
      </w:r>
    </w:p>
  </w:footnote>
  <w:footnote w:id="35">
    <w:p w14:paraId="7C9EE41D" w14:textId="36591C39" w:rsidR="00D22FE8" w:rsidRPr="00BE71B3" w:rsidRDefault="00D22FE8" w:rsidP="00BE71B3">
      <w:pPr>
        <w:spacing w:line="240" w:lineRule="auto"/>
        <w:ind w:left="142" w:hanging="142"/>
        <w:jc w:val="both"/>
        <w:rPr>
          <w:sz w:val="18"/>
          <w:szCs w:val="18"/>
        </w:rPr>
      </w:pPr>
      <w:r>
        <w:rPr>
          <w:vertAlign w:val="superscript"/>
        </w:rPr>
        <w:footnoteRef/>
      </w:r>
      <w:r>
        <w:rPr>
          <w:sz w:val="20"/>
          <w:szCs w:val="20"/>
          <w:vertAlign w:val="superscript"/>
        </w:rPr>
        <w:t xml:space="preserve"> </w:t>
      </w:r>
      <w:r w:rsidRPr="00BE71B3">
        <w:rPr>
          <w:rFonts w:ascii="Calibri" w:eastAsia="Calibri" w:hAnsi="Calibri" w:cs="Calibri"/>
          <w:sz w:val="18"/>
          <w:szCs w:val="18"/>
        </w:rPr>
        <w:t>Umiarkowany scenariusz RCP4.5 zakłada dalszy wzrost stężeń CO</w:t>
      </w:r>
      <w:r w:rsidRPr="00BE71B3">
        <w:rPr>
          <w:rFonts w:ascii="Calibri" w:eastAsia="Calibri" w:hAnsi="Calibri" w:cs="Calibri"/>
          <w:sz w:val="18"/>
          <w:szCs w:val="18"/>
          <w:vertAlign w:val="subscript"/>
        </w:rPr>
        <w:t>2</w:t>
      </w:r>
      <w:r w:rsidRPr="00BE71B3">
        <w:rPr>
          <w:rFonts w:ascii="Calibri" w:eastAsia="Calibri" w:hAnsi="Calibri" w:cs="Calibri"/>
          <w:sz w:val="18"/>
          <w:szCs w:val="18"/>
        </w:rPr>
        <w:t>, odpowiednio do 540 ppm w r. 2100 oraz osiągnięcie wymuszenia radiacyjnego na poziomie 4.5 W/m</w:t>
      </w:r>
      <w:r w:rsidRPr="00BE71B3">
        <w:rPr>
          <w:rFonts w:ascii="Calibri" w:eastAsia="Calibri" w:hAnsi="Calibri" w:cs="Calibri"/>
          <w:sz w:val="18"/>
          <w:szCs w:val="18"/>
          <w:vertAlign w:val="superscript"/>
        </w:rPr>
        <w:t>2</w:t>
      </w:r>
      <w:r w:rsidRPr="00BE71B3">
        <w:rPr>
          <w:rFonts w:ascii="Calibri" w:eastAsia="Calibri" w:hAnsi="Calibri" w:cs="Calibri"/>
          <w:sz w:val="18"/>
          <w:szCs w:val="18"/>
        </w:rPr>
        <w:t>. Wyniki symulacji klimatycznych obliczonych w ramach projektu Euro-CORDEX (</w:t>
      </w:r>
      <w:r w:rsidRPr="00BE71B3">
        <w:rPr>
          <w:rFonts w:ascii="Calibri" w:eastAsia="Calibri" w:hAnsi="Calibri" w:cs="Calibri"/>
          <w:i/>
          <w:sz w:val="18"/>
          <w:szCs w:val="18"/>
        </w:rPr>
        <w:t>Plan adaptacji do zmian klimatu miasta Olsztyn do roku 2030</w:t>
      </w:r>
      <w:r w:rsidRPr="00BE71B3">
        <w:rPr>
          <w:rFonts w:ascii="Calibri" w:eastAsia="Calibri" w:hAnsi="Calibri" w:cs="Calibri"/>
          <w:sz w:val="18"/>
          <w:szCs w:val="18"/>
        </w:rPr>
        <w:t>).</w:t>
      </w:r>
    </w:p>
  </w:footnote>
  <w:footnote w:id="36">
    <w:p w14:paraId="76A222B2" w14:textId="41935683" w:rsidR="00D22FE8" w:rsidRPr="00BE71B3" w:rsidRDefault="00D22FE8" w:rsidP="00BE71B3">
      <w:pPr>
        <w:spacing w:line="240" w:lineRule="auto"/>
        <w:ind w:left="142" w:hanging="142"/>
        <w:jc w:val="both"/>
        <w:rPr>
          <w:sz w:val="18"/>
          <w:szCs w:val="18"/>
        </w:rPr>
      </w:pPr>
      <w:r w:rsidRPr="00BE71B3">
        <w:rPr>
          <w:sz w:val="18"/>
          <w:szCs w:val="18"/>
          <w:vertAlign w:val="superscript"/>
        </w:rPr>
        <w:footnoteRef/>
      </w:r>
      <w:r w:rsidRPr="00BE71B3">
        <w:rPr>
          <w:sz w:val="18"/>
          <w:szCs w:val="18"/>
          <w:vertAlign w:val="subscript"/>
        </w:rPr>
        <w:t xml:space="preserve"> </w:t>
      </w:r>
      <w:r w:rsidRPr="00BE71B3">
        <w:rPr>
          <w:rFonts w:ascii="Calibri" w:eastAsia="Calibri" w:hAnsi="Calibri" w:cs="Calibri"/>
          <w:sz w:val="18"/>
          <w:szCs w:val="18"/>
        </w:rPr>
        <w:t>scenariusz ekstrapolacyjny RCP8.5 odpowiada wzrostowi stężeń CO</w:t>
      </w:r>
      <w:r w:rsidRPr="00BE71B3">
        <w:rPr>
          <w:rFonts w:ascii="Calibri" w:eastAsia="Calibri" w:hAnsi="Calibri" w:cs="Calibri"/>
          <w:sz w:val="18"/>
          <w:szCs w:val="18"/>
          <w:vertAlign w:val="subscript"/>
        </w:rPr>
        <w:t>2</w:t>
      </w:r>
      <w:r w:rsidRPr="00BE71B3">
        <w:rPr>
          <w:rFonts w:ascii="Calibri" w:eastAsia="Calibri" w:hAnsi="Calibri" w:cs="Calibri"/>
          <w:sz w:val="18"/>
          <w:szCs w:val="18"/>
        </w:rPr>
        <w:t xml:space="preserve"> do 940 ppm w r. 2100 i ciągły wzrost wymuszenia radiacyjnego do poziomu 8.5 W/m</w:t>
      </w:r>
      <w:r w:rsidRPr="00BE71B3">
        <w:rPr>
          <w:rFonts w:ascii="Calibri" w:eastAsia="Calibri" w:hAnsi="Calibri" w:cs="Calibri"/>
          <w:sz w:val="18"/>
          <w:szCs w:val="18"/>
          <w:vertAlign w:val="superscript"/>
        </w:rPr>
        <w:t>2</w:t>
      </w:r>
      <w:r w:rsidRPr="00BE71B3">
        <w:rPr>
          <w:rFonts w:ascii="Calibri" w:eastAsia="Calibri" w:hAnsi="Calibri" w:cs="Calibri"/>
          <w:sz w:val="18"/>
          <w:szCs w:val="18"/>
        </w:rPr>
        <w:t>.Wyniki symulacji klimatycznych obliczonych w ramach projektu Euro-CORDEX (</w:t>
      </w:r>
      <w:r w:rsidRPr="00BE71B3">
        <w:rPr>
          <w:rFonts w:ascii="Calibri" w:eastAsia="Calibri" w:hAnsi="Calibri" w:cs="Calibri"/>
          <w:i/>
          <w:sz w:val="18"/>
          <w:szCs w:val="18"/>
        </w:rPr>
        <w:t>Plan adaptacji do zmian klimatu miasta Olsztyn do roku 2030</w:t>
      </w:r>
      <w:r w:rsidRPr="00BE71B3">
        <w:rPr>
          <w:rFonts w:ascii="Calibri" w:eastAsia="Calibri" w:hAnsi="Calibri" w:cs="Calibri"/>
          <w:sz w:val="18"/>
          <w:szCs w:val="18"/>
        </w:rPr>
        <w:t>).</w:t>
      </w:r>
    </w:p>
  </w:footnote>
  <w:footnote w:id="37">
    <w:p w14:paraId="771BBB2A" w14:textId="07B7B632" w:rsidR="00D22FE8" w:rsidRPr="00BE71B3" w:rsidRDefault="00D22FE8">
      <w:pPr>
        <w:pStyle w:val="Tekstprzypisudolnego"/>
        <w:rPr>
          <w:sz w:val="18"/>
          <w:szCs w:val="18"/>
        </w:rPr>
      </w:pPr>
      <w:r w:rsidRPr="00BE71B3">
        <w:rPr>
          <w:rStyle w:val="Odwoanieprzypisudolnego"/>
          <w:sz w:val="18"/>
          <w:szCs w:val="18"/>
        </w:rPr>
        <w:footnoteRef/>
      </w:r>
      <w:r w:rsidRPr="00BE71B3">
        <w:rPr>
          <w:sz w:val="18"/>
          <w:szCs w:val="18"/>
        </w:rPr>
        <w:t xml:space="preserve"> </w:t>
      </w:r>
      <w:r w:rsidRPr="00BE71B3">
        <w:rPr>
          <w:i/>
          <w:sz w:val="18"/>
          <w:szCs w:val="18"/>
        </w:rPr>
        <w:t xml:space="preserve">Plan adaptacji do zmian klimatu miasta Olsztyn do roku 2030, </w:t>
      </w:r>
      <w:r w:rsidRPr="00BE71B3">
        <w:rPr>
          <w:sz w:val="18"/>
          <w:szCs w:val="18"/>
        </w:rPr>
        <w:t>2020,</w:t>
      </w:r>
      <w:r w:rsidRPr="00BE71B3">
        <w:rPr>
          <w:i/>
          <w:sz w:val="18"/>
          <w:szCs w:val="18"/>
        </w:rPr>
        <w:t xml:space="preserve"> </w:t>
      </w:r>
      <w:r w:rsidRPr="00BE71B3">
        <w:rPr>
          <w:sz w:val="18"/>
          <w:szCs w:val="18"/>
        </w:rPr>
        <w:t>IOŚ-PIB, UM Olsztyn.</w:t>
      </w:r>
    </w:p>
  </w:footnote>
  <w:footnote w:id="38">
    <w:p w14:paraId="55FFA5F0" w14:textId="77777777" w:rsidR="00D22FE8" w:rsidRPr="00BE71B3" w:rsidRDefault="00D22FE8" w:rsidP="006A1560">
      <w:pPr>
        <w:ind w:left="142" w:hanging="142"/>
        <w:rPr>
          <w:sz w:val="18"/>
          <w:szCs w:val="18"/>
        </w:rPr>
      </w:pPr>
      <w:r w:rsidRPr="00BE71B3">
        <w:rPr>
          <w:rStyle w:val="Odwoanieprzypisudolnego"/>
          <w:sz w:val="18"/>
          <w:szCs w:val="18"/>
        </w:rPr>
        <w:footnoteRef/>
      </w:r>
      <w:r w:rsidRPr="00BE71B3">
        <w:rPr>
          <w:sz w:val="18"/>
          <w:szCs w:val="18"/>
        </w:rPr>
        <w:t xml:space="preserve"> </w:t>
      </w:r>
      <w:r w:rsidRPr="00BE71B3">
        <w:rPr>
          <w:i/>
          <w:sz w:val="18"/>
          <w:szCs w:val="18"/>
        </w:rPr>
        <w:t>Rocznik Meteorologiczny 2019</w:t>
      </w:r>
      <w:r w:rsidRPr="00BE71B3">
        <w:rPr>
          <w:sz w:val="18"/>
          <w:szCs w:val="18"/>
        </w:rPr>
        <w:t>; oprac.: Wydział Baz Danych Instytutu Meteorologii i Gospodarki Wodnej Państwowego Instytutu Badawczego, Warszawa (dostęp:https://danepubliczne.imgw.pl/data/dane_pomiarowo_obserwacyjne/Roczniki/Rocznik%20meteorologiczny/)</w:t>
      </w:r>
    </w:p>
    <w:p w14:paraId="4B8DBAC2" w14:textId="77777777" w:rsidR="00D22FE8" w:rsidRDefault="00D22FE8" w:rsidP="006A1560">
      <w:pPr>
        <w:pStyle w:val="Tekstprzypisudolnego"/>
      </w:pPr>
    </w:p>
  </w:footnote>
  <w:footnote w:id="39">
    <w:p w14:paraId="35E6982A" w14:textId="06EFE9DA" w:rsidR="00D22FE8" w:rsidRPr="00AA0668" w:rsidRDefault="00D22FE8">
      <w:pPr>
        <w:pStyle w:val="Tekstprzypisudolnego"/>
        <w:rPr>
          <w:sz w:val="18"/>
          <w:szCs w:val="18"/>
        </w:rPr>
      </w:pPr>
      <w:r w:rsidRPr="00AA0668">
        <w:rPr>
          <w:rStyle w:val="Odwoanieprzypisudolnego"/>
          <w:sz w:val="18"/>
          <w:szCs w:val="18"/>
        </w:rPr>
        <w:footnoteRef/>
      </w:r>
      <w:r>
        <w:rPr>
          <w:sz w:val="18"/>
          <w:szCs w:val="18"/>
        </w:rPr>
        <w:t xml:space="preserve"> </w:t>
      </w:r>
      <w:r w:rsidRPr="005E2F66">
        <w:rPr>
          <w:i/>
          <w:sz w:val="18"/>
        </w:rPr>
        <w:t xml:space="preserve">Plan adaptacji do zmian klimatu miasta Olsztyn do roku 2030, </w:t>
      </w:r>
      <w:r w:rsidRPr="005E2F66">
        <w:rPr>
          <w:sz w:val="18"/>
        </w:rPr>
        <w:t>2020,</w:t>
      </w:r>
      <w:r w:rsidRPr="005E2F66">
        <w:rPr>
          <w:i/>
          <w:sz w:val="18"/>
        </w:rPr>
        <w:t xml:space="preserve"> </w:t>
      </w:r>
      <w:r>
        <w:rPr>
          <w:sz w:val="18"/>
        </w:rPr>
        <w:t>IOŚ-PIB, UM Olsztyn.</w:t>
      </w:r>
    </w:p>
  </w:footnote>
  <w:footnote w:id="40">
    <w:p w14:paraId="1EF499E7" w14:textId="1F23CD38" w:rsidR="00D22FE8" w:rsidRDefault="00D22FE8">
      <w:pPr>
        <w:pStyle w:val="Tekstprzypisudolnego"/>
      </w:pPr>
      <w:r w:rsidRPr="00AA0668">
        <w:rPr>
          <w:rStyle w:val="Odwoanieprzypisudolnego"/>
          <w:sz w:val="18"/>
          <w:szCs w:val="18"/>
        </w:rPr>
        <w:footnoteRef/>
      </w:r>
      <w:r w:rsidRPr="00AA0668">
        <w:rPr>
          <w:sz w:val="18"/>
          <w:szCs w:val="18"/>
        </w:rPr>
        <w:t xml:space="preserve"> </w:t>
      </w:r>
      <w:r w:rsidRPr="005E2F66">
        <w:rPr>
          <w:i/>
          <w:sz w:val="18"/>
        </w:rPr>
        <w:t xml:space="preserve">Plan adaptacji do zmian klimatu miasta Olsztyn do roku 2030, </w:t>
      </w:r>
      <w:r w:rsidRPr="005E2F66">
        <w:rPr>
          <w:sz w:val="18"/>
        </w:rPr>
        <w:t>2020,</w:t>
      </w:r>
      <w:r w:rsidRPr="005E2F66">
        <w:rPr>
          <w:i/>
          <w:sz w:val="18"/>
        </w:rPr>
        <w:t xml:space="preserve"> </w:t>
      </w:r>
      <w:r>
        <w:rPr>
          <w:sz w:val="18"/>
        </w:rPr>
        <w:t>IOŚ-PIB, UM Olsztyn.</w:t>
      </w:r>
    </w:p>
  </w:footnote>
  <w:footnote w:id="41">
    <w:p w14:paraId="7ACDF0F5" w14:textId="3EA2E0FE" w:rsidR="00D22FE8" w:rsidRDefault="00D22FE8">
      <w:pPr>
        <w:pStyle w:val="Tekstprzypisudolnego"/>
      </w:pPr>
      <w:r>
        <w:rPr>
          <w:rStyle w:val="Odwoanieprzypisudolnego"/>
        </w:rPr>
        <w:footnoteRef/>
      </w:r>
      <w:r>
        <w:t xml:space="preserve"> </w:t>
      </w:r>
      <w:r w:rsidRPr="005E2F66">
        <w:rPr>
          <w:i/>
          <w:sz w:val="18"/>
        </w:rPr>
        <w:t xml:space="preserve">Plan adaptacji do zmian klimatu miasta Olsztyn do roku 2030, </w:t>
      </w:r>
      <w:r w:rsidRPr="005E2F66">
        <w:rPr>
          <w:sz w:val="18"/>
        </w:rPr>
        <w:t>2020,</w:t>
      </w:r>
      <w:r w:rsidRPr="005E2F66">
        <w:rPr>
          <w:i/>
          <w:sz w:val="18"/>
        </w:rPr>
        <w:t xml:space="preserve"> </w:t>
      </w:r>
      <w:r>
        <w:rPr>
          <w:sz w:val="18"/>
        </w:rPr>
        <w:t>IOŚ-PIB, UM Olsztyn.</w:t>
      </w:r>
    </w:p>
  </w:footnote>
  <w:footnote w:id="42">
    <w:p w14:paraId="510B0947" w14:textId="3E65BABE" w:rsidR="00D22FE8" w:rsidRDefault="00D22FE8">
      <w:pPr>
        <w:pStyle w:val="Tekstprzypisudolnego"/>
      </w:pPr>
      <w:r>
        <w:rPr>
          <w:rStyle w:val="Odwoanieprzypisudolnego"/>
        </w:rPr>
        <w:footnoteRef/>
      </w:r>
      <w:r>
        <w:t xml:space="preserve"> </w:t>
      </w:r>
      <w:r w:rsidRPr="005E2F66">
        <w:rPr>
          <w:i/>
          <w:sz w:val="18"/>
        </w:rPr>
        <w:t xml:space="preserve">Plan adaptacji do zmian klimatu miasta Olsztyn do roku 2030, </w:t>
      </w:r>
      <w:r w:rsidRPr="005E2F66">
        <w:rPr>
          <w:sz w:val="18"/>
        </w:rPr>
        <w:t>2020,</w:t>
      </w:r>
      <w:r w:rsidRPr="005E2F66">
        <w:rPr>
          <w:i/>
          <w:sz w:val="18"/>
        </w:rPr>
        <w:t xml:space="preserve"> </w:t>
      </w:r>
      <w:r>
        <w:rPr>
          <w:sz w:val="18"/>
        </w:rPr>
        <w:t>IOŚ-PIB, UM Olsztyn.</w:t>
      </w:r>
    </w:p>
  </w:footnote>
  <w:footnote w:id="43">
    <w:p w14:paraId="4AC0AF53" w14:textId="19688262" w:rsidR="00D22FE8" w:rsidRDefault="00D22FE8">
      <w:pPr>
        <w:pStyle w:val="Tekstprzypisudolnego"/>
      </w:pPr>
      <w:r>
        <w:rPr>
          <w:rStyle w:val="Odwoanieprzypisudolnego"/>
        </w:rPr>
        <w:footnoteRef/>
      </w:r>
      <w:r>
        <w:t xml:space="preserve"> </w:t>
      </w:r>
      <w:r w:rsidRPr="005E2F66">
        <w:rPr>
          <w:i/>
          <w:sz w:val="18"/>
        </w:rPr>
        <w:t xml:space="preserve">Plan adaptacji do zmian klimatu miasta Olsztyn do roku 2030, </w:t>
      </w:r>
      <w:r w:rsidRPr="005E2F66">
        <w:rPr>
          <w:sz w:val="18"/>
        </w:rPr>
        <w:t>2020,</w:t>
      </w:r>
      <w:r w:rsidRPr="005E2F66">
        <w:rPr>
          <w:i/>
          <w:sz w:val="18"/>
        </w:rPr>
        <w:t xml:space="preserve"> </w:t>
      </w:r>
      <w:r>
        <w:rPr>
          <w:sz w:val="18"/>
        </w:rPr>
        <w:t>IOŚ-PIB, UM Olsztyn.</w:t>
      </w:r>
    </w:p>
  </w:footnote>
  <w:footnote w:id="44">
    <w:p w14:paraId="174284C3" w14:textId="77777777" w:rsidR="00D22FE8" w:rsidRPr="00CC1906" w:rsidRDefault="00D22FE8">
      <w:pPr>
        <w:pStyle w:val="Tekstprzypisudolnego"/>
        <w:rPr>
          <w:sz w:val="18"/>
          <w:szCs w:val="18"/>
        </w:rPr>
      </w:pPr>
      <w:r w:rsidRPr="00CC1906">
        <w:rPr>
          <w:rStyle w:val="Odwoanieprzypisudolnego"/>
          <w:sz w:val="18"/>
          <w:szCs w:val="18"/>
        </w:rPr>
        <w:footnoteRef/>
      </w:r>
      <w:r w:rsidRPr="00CC1906">
        <w:rPr>
          <w:sz w:val="18"/>
          <w:szCs w:val="18"/>
        </w:rPr>
        <w:t xml:space="preserve"> Przedsiębiorstwo Wodociągów i Kanalizacji Sp. z o.o. w Olsztynie </w:t>
      </w:r>
    </w:p>
  </w:footnote>
  <w:footnote w:id="45">
    <w:p w14:paraId="6DEBEFF9" w14:textId="2DC56A93" w:rsidR="00D22FE8" w:rsidRPr="00CC1906" w:rsidRDefault="00D22FE8" w:rsidP="009C799A">
      <w:pPr>
        <w:pStyle w:val="Tekstprzypisudolnego"/>
        <w:ind w:left="142" w:hanging="142"/>
        <w:jc w:val="both"/>
        <w:rPr>
          <w:sz w:val="18"/>
          <w:szCs w:val="18"/>
        </w:rPr>
      </w:pPr>
      <w:r w:rsidRPr="00CC1906">
        <w:rPr>
          <w:rStyle w:val="Odwoanieprzypisudolnego"/>
          <w:sz w:val="18"/>
          <w:szCs w:val="18"/>
        </w:rPr>
        <w:footnoteRef/>
      </w:r>
      <w:r w:rsidRPr="00CC1906">
        <w:rPr>
          <w:sz w:val="18"/>
          <w:szCs w:val="18"/>
        </w:rPr>
        <w:t xml:space="preserve"> </w:t>
      </w:r>
      <w:r w:rsidRPr="00CC1906">
        <w:rPr>
          <w:rFonts w:cs="Arial"/>
          <w:sz w:val="18"/>
          <w:szCs w:val="18"/>
        </w:rPr>
        <w:t>Do zużycia wody w gospodarstwach domowych nie zalicza się wody dostarczonej do budynków mieszkalnych znajdujących się w budowie i nie oddanych do użytkowania oraz wody dostarczonej obiektom czasowego zakwaterowania jak: domy noclegowe, hotele, domy wczasowe, sanatoria, schroniska turystyczne, żłobki tygodniowe, szpitale, zakłady penitencjarne, itp. (dostęp: https://stat.gov.pl/metainformacje/slownik-pojec/pojecia-stosowane-w-statystyce-publicznej/570,pojecie.html?pdf=1)</w:t>
      </w:r>
    </w:p>
  </w:footnote>
  <w:footnote w:id="46">
    <w:p w14:paraId="0F621A12" w14:textId="77777777" w:rsidR="00D22FE8" w:rsidRPr="00CC1906" w:rsidRDefault="00D22FE8">
      <w:pPr>
        <w:pStyle w:val="Tekstprzypisudolnego"/>
        <w:rPr>
          <w:sz w:val="18"/>
          <w:szCs w:val="18"/>
        </w:rPr>
      </w:pPr>
      <w:r w:rsidRPr="00CC1906">
        <w:rPr>
          <w:rStyle w:val="Odwoanieprzypisudolnego"/>
          <w:sz w:val="18"/>
          <w:szCs w:val="18"/>
        </w:rPr>
        <w:footnoteRef/>
      </w:r>
      <w:r w:rsidRPr="00CC1906">
        <w:rPr>
          <w:sz w:val="18"/>
          <w:szCs w:val="18"/>
        </w:rPr>
        <w:t xml:space="preserve"> dane GUS - BDL</w:t>
      </w:r>
    </w:p>
  </w:footnote>
  <w:footnote w:id="47">
    <w:p w14:paraId="418EECB2" w14:textId="77777777" w:rsidR="00D22FE8" w:rsidRPr="00CC1906" w:rsidRDefault="00D22FE8" w:rsidP="000107E1">
      <w:pPr>
        <w:pStyle w:val="Default"/>
        <w:tabs>
          <w:tab w:val="left" w:pos="2835"/>
        </w:tabs>
        <w:ind w:left="142" w:hanging="142"/>
        <w:jc w:val="both"/>
        <w:rPr>
          <w:sz w:val="18"/>
          <w:szCs w:val="18"/>
        </w:rPr>
      </w:pPr>
      <w:r w:rsidRPr="00CC1906">
        <w:rPr>
          <w:rStyle w:val="Odwoanieprzypisudolnego"/>
          <w:sz w:val="18"/>
          <w:szCs w:val="18"/>
        </w:rPr>
        <w:footnoteRef/>
      </w:r>
      <w:r w:rsidRPr="00CC1906">
        <w:rPr>
          <w:sz w:val="18"/>
          <w:szCs w:val="18"/>
        </w:rPr>
        <w:t xml:space="preserve"> Raporty - </w:t>
      </w:r>
      <w:r w:rsidRPr="00CC1906">
        <w:rPr>
          <w:rFonts w:cstheme="minorBidi"/>
          <w:color w:val="auto"/>
          <w:sz w:val="18"/>
          <w:szCs w:val="18"/>
        </w:rPr>
        <w:t xml:space="preserve">zbiorcze informacje dotyczące wytwarzania energii elektrycznej z odnawialnych źródeł energii </w:t>
      </w:r>
      <w:r w:rsidRPr="00CC1906">
        <w:rPr>
          <w:rFonts w:cstheme="minorBidi"/>
          <w:color w:val="auto"/>
          <w:sz w:val="18"/>
          <w:szCs w:val="18"/>
        </w:rPr>
        <w:br/>
        <w:t xml:space="preserve">w mikroinstalacji lub małej instalacji </w:t>
      </w:r>
      <w:r w:rsidRPr="00CC1906">
        <w:rPr>
          <w:color w:val="auto"/>
          <w:sz w:val="18"/>
          <w:szCs w:val="18"/>
        </w:rPr>
        <w:t>(art. 17 ustawy OZE); Urząd Regulacji Energetyki (dostęp: https://bip.ure.gov.pl/bip/o-urzedzie/zadania-prezesa-ure/raport-oze-art-17-ustaw/3556,Raport-zbiorcze-informacje-dotyczace-wytwarzania-energii-elektrycznej-z-odnawial.html)</w:t>
      </w:r>
    </w:p>
  </w:footnote>
  <w:footnote w:id="48">
    <w:p w14:paraId="231B3F6F" w14:textId="77777777" w:rsidR="00D22FE8" w:rsidRPr="00CC1906" w:rsidRDefault="00D22FE8" w:rsidP="00EF1EF8">
      <w:pPr>
        <w:pStyle w:val="Tekstprzypisudolnego"/>
        <w:ind w:left="142" w:hanging="142"/>
        <w:jc w:val="both"/>
        <w:rPr>
          <w:sz w:val="18"/>
          <w:szCs w:val="18"/>
        </w:rPr>
      </w:pPr>
      <w:r w:rsidRPr="00CC1906">
        <w:rPr>
          <w:rStyle w:val="Odwoanieprzypisudolnego"/>
          <w:sz w:val="18"/>
          <w:szCs w:val="18"/>
        </w:rPr>
        <w:footnoteRef/>
      </w:r>
      <w:r w:rsidRPr="00CC1906">
        <w:rPr>
          <w:sz w:val="18"/>
          <w:szCs w:val="18"/>
        </w:rPr>
        <w:t xml:space="preserve"> Mała instalacja to instalacja OZE o łącznej mocy zainstalowanej elektrycznej większej niż 50 kW i mniejszej niż 500 kW, przyłączona do sieci elektroenergetycznej o napięciu znamionowym niższym niż 110 kV albo o mocy osiągalnej cieplnej w skojarzeniu większej niż 150 kW i nie większej niż 900 kW, w której łączna moc zainstalowana elektryczna jest większa niż 50 kW i mniejsza niż 500 kW.</w:t>
      </w:r>
    </w:p>
  </w:footnote>
  <w:footnote w:id="49">
    <w:p w14:paraId="675D45D6" w14:textId="77777777" w:rsidR="00D22FE8" w:rsidRPr="00CC1906" w:rsidRDefault="00D22FE8" w:rsidP="00EF1EF8">
      <w:pPr>
        <w:pStyle w:val="Tekstprzypisudolnego"/>
        <w:tabs>
          <w:tab w:val="left" w:pos="142"/>
        </w:tabs>
        <w:ind w:left="142" w:hanging="142"/>
        <w:jc w:val="both"/>
        <w:rPr>
          <w:sz w:val="18"/>
          <w:szCs w:val="18"/>
        </w:rPr>
      </w:pPr>
      <w:r w:rsidRPr="00CC1906">
        <w:rPr>
          <w:rStyle w:val="Odwoanieprzypisudolnego"/>
          <w:sz w:val="18"/>
          <w:szCs w:val="18"/>
        </w:rPr>
        <w:footnoteRef/>
      </w:r>
      <w:r w:rsidRPr="00CC1906">
        <w:rPr>
          <w:sz w:val="18"/>
          <w:szCs w:val="18"/>
        </w:rPr>
        <w:t>https://bip.ure.gov.pl/bip/rejestry-i-bazy/wytworcy-energii-w-male/2138,Rejestr-wytworcow-energii-w-malej-instalacji.html</w:t>
      </w:r>
    </w:p>
  </w:footnote>
  <w:footnote w:id="50">
    <w:p w14:paraId="004D0BA5" w14:textId="77777777" w:rsidR="00D22FE8" w:rsidRPr="00CC1906" w:rsidRDefault="00D22FE8" w:rsidP="00394F4A">
      <w:pPr>
        <w:pStyle w:val="Tekstprzypisudolnego"/>
        <w:rPr>
          <w:sz w:val="18"/>
          <w:szCs w:val="18"/>
        </w:rPr>
      </w:pPr>
      <w:r w:rsidRPr="00CC1906">
        <w:rPr>
          <w:rStyle w:val="Odwoanieprzypisudolnego"/>
          <w:sz w:val="18"/>
          <w:szCs w:val="18"/>
        </w:rPr>
        <w:footnoteRef/>
      </w:r>
      <w:r w:rsidRPr="00CC1906">
        <w:rPr>
          <w:sz w:val="18"/>
          <w:szCs w:val="18"/>
        </w:rPr>
        <w:t xml:space="preserve"> https://rpo.warmia.mazury.pl/</w:t>
      </w:r>
    </w:p>
  </w:footnote>
  <w:footnote w:id="51">
    <w:p w14:paraId="13EC5DFD" w14:textId="7C7DD340" w:rsidR="00D22FE8" w:rsidRPr="00CC1906" w:rsidRDefault="00D22FE8">
      <w:pPr>
        <w:pStyle w:val="Tekstprzypisudolnego"/>
        <w:rPr>
          <w:sz w:val="18"/>
          <w:szCs w:val="18"/>
        </w:rPr>
      </w:pPr>
      <w:r w:rsidRPr="00CC1906">
        <w:rPr>
          <w:rStyle w:val="Odwoanieprzypisudolnego"/>
          <w:sz w:val="18"/>
          <w:szCs w:val="18"/>
        </w:rPr>
        <w:footnoteRef/>
      </w:r>
      <w:r w:rsidRPr="00CC1906">
        <w:rPr>
          <w:sz w:val="18"/>
          <w:szCs w:val="18"/>
        </w:rPr>
        <w:t xml:space="preserve"> </w:t>
      </w:r>
      <w:r w:rsidRPr="00CC1906">
        <w:rPr>
          <w:i/>
          <w:sz w:val="18"/>
          <w:szCs w:val="18"/>
        </w:rPr>
        <w:t>Branża turystyczna w Polsce. Obraz sprzed pandemii</w:t>
      </w:r>
      <w:r w:rsidRPr="00CC1906">
        <w:rPr>
          <w:sz w:val="18"/>
          <w:szCs w:val="18"/>
        </w:rPr>
        <w:t>, Polski Instytut Ekonomiczny, Warszawa maj 2020</w:t>
      </w:r>
    </w:p>
  </w:footnote>
  <w:footnote w:id="52">
    <w:p w14:paraId="69B9B3BB" w14:textId="1B8DFC98" w:rsidR="00D22FE8" w:rsidRPr="00CC1906" w:rsidRDefault="00D22FE8">
      <w:pPr>
        <w:pStyle w:val="Tekstprzypisudolnego"/>
        <w:rPr>
          <w:sz w:val="18"/>
          <w:szCs w:val="18"/>
        </w:rPr>
      </w:pPr>
      <w:r w:rsidRPr="00CC1906">
        <w:rPr>
          <w:rStyle w:val="Odwoanieprzypisudolnego"/>
          <w:sz w:val="18"/>
          <w:szCs w:val="18"/>
        </w:rPr>
        <w:footnoteRef/>
      </w:r>
      <w:r w:rsidRPr="00CC1906">
        <w:rPr>
          <w:sz w:val="18"/>
          <w:szCs w:val="18"/>
        </w:rPr>
        <w:t xml:space="preserve"> </w:t>
      </w:r>
      <w:r w:rsidRPr="00CC1906">
        <w:rPr>
          <w:i/>
          <w:sz w:val="18"/>
          <w:szCs w:val="18"/>
        </w:rPr>
        <w:t>Branża turystyczna w Polsce. Obraz sprzed pandemii</w:t>
      </w:r>
      <w:r w:rsidRPr="00CC1906">
        <w:rPr>
          <w:sz w:val="18"/>
          <w:szCs w:val="18"/>
        </w:rPr>
        <w:t>, Polski Instytut Ekonomiczny, Warszawa maj 2020</w:t>
      </w:r>
    </w:p>
  </w:footnote>
  <w:footnote w:id="53">
    <w:p w14:paraId="61BB2C93" w14:textId="1109D262" w:rsidR="00D22FE8" w:rsidRPr="007E6374" w:rsidRDefault="00D22FE8" w:rsidP="007E6374">
      <w:pPr>
        <w:pStyle w:val="Tekstprzypisudolnego"/>
        <w:jc w:val="both"/>
      </w:pPr>
      <w:r w:rsidRPr="00CC1906">
        <w:rPr>
          <w:rStyle w:val="Odwoanieprzypisudolnego"/>
          <w:sz w:val="18"/>
          <w:szCs w:val="18"/>
        </w:rPr>
        <w:footnoteRef/>
      </w:r>
      <w:r w:rsidRPr="00CC1906">
        <w:rPr>
          <w:sz w:val="18"/>
          <w:szCs w:val="18"/>
        </w:rPr>
        <w:t xml:space="preserve"> Do obiektów noclegowych GUS zalicza hotele, motele, pensjonaty, inne obiekty hotelowe, domy wycieczkowe, schroniska, schroniska młodzieżowe, szkolne schroniska młodzieżowe, ośrodki wczasowe, ośrodki kolonijne, ośrodki szkoleniowo-wypoczynkowe, domy pracy twórczej, zespoły ogólnodostępnych domków turystycznych, pola biwakowe, kempingi, obiekty do wypoczynku sobotnio-niedzielnego i świątecznego, zakłady uzdrowiskowe i inne.</w:t>
      </w:r>
      <w:r w:rsidRPr="007E6374">
        <w:t xml:space="preserve"> </w:t>
      </w:r>
    </w:p>
  </w:footnote>
  <w:footnote w:id="54">
    <w:p w14:paraId="26C477CF" w14:textId="77777777" w:rsidR="00D22FE8" w:rsidRPr="00CC1906" w:rsidRDefault="00D22FE8" w:rsidP="006547C1">
      <w:pPr>
        <w:pStyle w:val="Tekstprzypisudolnego"/>
        <w:rPr>
          <w:sz w:val="18"/>
          <w:szCs w:val="18"/>
        </w:rPr>
      </w:pPr>
      <w:r w:rsidRPr="00CC1906">
        <w:rPr>
          <w:rStyle w:val="Odwoanieprzypisudolnego"/>
          <w:sz w:val="18"/>
          <w:szCs w:val="18"/>
        </w:rPr>
        <w:footnoteRef/>
      </w:r>
      <w:r w:rsidRPr="00CC1906">
        <w:rPr>
          <w:sz w:val="18"/>
          <w:szCs w:val="18"/>
        </w:rPr>
        <w:t xml:space="preserve"> Na podstawie </w:t>
      </w:r>
      <w:hyperlink r:id="rId2" w:history="1">
        <w:r w:rsidRPr="00CC1906">
          <w:rPr>
            <w:rStyle w:val="Hipercze"/>
            <w:sz w:val="18"/>
            <w:szCs w:val="18"/>
          </w:rPr>
          <w:t>https://www.forbes.pl/diamenty/2020/laureaci-diamentow-forbesa-2020-woj-warminsko-mazurskie/phyy4es</w:t>
        </w:r>
      </w:hyperlink>
      <w:r w:rsidRPr="00CC1906">
        <w:rPr>
          <w:sz w:val="18"/>
          <w:szCs w:val="18"/>
        </w:rPr>
        <w:t xml:space="preserve"> </w:t>
      </w:r>
    </w:p>
  </w:footnote>
  <w:footnote w:id="55">
    <w:p w14:paraId="56F07AAE" w14:textId="40119AD9" w:rsidR="00D22FE8" w:rsidRPr="00CC1906" w:rsidRDefault="00D22FE8" w:rsidP="007339EC">
      <w:pPr>
        <w:pStyle w:val="Tekstprzypisudolnego"/>
        <w:ind w:left="142" w:hanging="142"/>
        <w:rPr>
          <w:sz w:val="18"/>
          <w:szCs w:val="18"/>
        </w:rPr>
      </w:pPr>
      <w:r w:rsidRPr="00CC1906">
        <w:rPr>
          <w:rStyle w:val="Odwoanieprzypisudolnego"/>
          <w:sz w:val="18"/>
          <w:szCs w:val="18"/>
        </w:rPr>
        <w:footnoteRef/>
      </w:r>
      <w:r w:rsidRPr="00CC1906">
        <w:rPr>
          <w:sz w:val="18"/>
          <w:szCs w:val="18"/>
        </w:rPr>
        <w:t xml:space="preserve"> Raport nr III z monitorowania inteligentnych specjalizacji województwa warmińsko-mazurskiego (stan na koniec 2019 r.); Urząd Marszałkowski Województwa Warmińsko-Mazurskiego w Olsztynie</w:t>
      </w:r>
    </w:p>
  </w:footnote>
  <w:footnote w:id="56">
    <w:p w14:paraId="5A3502E3" w14:textId="06FD630F" w:rsidR="00D22FE8" w:rsidRPr="00CC1906" w:rsidRDefault="00D22FE8" w:rsidP="00A16A1D">
      <w:pPr>
        <w:pStyle w:val="Tekstprzypisudolnego"/>
        <w:rPr>
          <w:sz w:val="18"/>
          <w:szCs w:val="18"/>
        </w:rPr>
      </w:pPr>
      <w:r w:rsidRPr="00CC1906">
        <w:rPr>
          <w:rStyle w:val="Odwoanieprzypisudolnego"/>
          <w:sz w:val="18"/>
          <w:szCs w:val="18"/>
        </w:rPr>
        <w:footnoteRef/>
      </w:r>
      <w:r w:rsidRPr="00CC1906">
        <w:rPr>
          <w:sz w:val="18"/>
          <w:szCs w:val="18"/>
        </w:rPr>
        <w:t xml:space="preserve"> Na podstawie </w:t>
      </w:r>
      <w:hyperlink r:id="rId3" w:history="1">
        <w:r w:rsidRPr="00CC1906">
          <w:rPr>
            <w:rStyle w:val="Hipercze"/>
            <w:sz w:val="18"/>
            <w:szCs w:val="18"/>
          </w:rPr>
          <w:t>https://invest.olsztyn.eu/pl/</w:t>
        </w:r>
      </w:hyperlink>
      <w:r w:rsidRPr="00CC1906">
        <w:rPr>
          <w:sz w:val="18"/>
          <w:szCs w:val="18"/>
        </w:rPr>
        <w:t xml:space="preserve"> , informacji z gmin MOF oraz stron internetowych gmin MOF, stan na 31.05.2021 r. </w:t>
      </w:r>
    </w:p>
  </w:footnote>
  <w:footnote w:id="57">
    <w:p w14:paraId="3EBC99A7" w14:textId="77777777" w:rsidR="00D22FE8" w:rsidRPr="00CC1906" w:rsidRDefault="00D22FE8" w:rsidP="0076598B">
      <w:pPr>
        <w:pStyle w:val="Tekstprzypisudolnego"/>
        <w:rPr>
          <w:sz w:val="18"/>
          <w:szCs w:val="18"/>
        </w:rPr>
      </w:pPr>
      <w:r w:rsidRPr="00CC1906">
        <w:rPr>
          <w:rStyle w:val="Odwoanieprzypisudolnego"/>
          <w:sz w:val="18"/>
          <w:szCs w:val="18"/>
        </w:rPr>
        <w:footnoteRef/>
      </w:r>
      <w:r w:rsidRPr="00CC1906">
        <w:rPr>
          <w:sz w:val="18"/>
          <w:szCs w:val="18"/>
        </w:rPr>
        <w:t xml:space="preserve"> Na podstawie </w:t>
      </w:r>
      <w:hyperlink r:id="rId4" w:history="1">
        <w:r w:rsidRPr="00CC1906">
          <w:rPr>
            <w:rStyle w:val="Hipercze"/>
            <w:sz w:val="18"/>
            <w:szCs w:val="18"/>
          </w:rPr>
          <w:t>http://www.panattonieurope.com/pl/kraj/polska/portfolio-projektow/magazyn-do-wynajecia/warmian-masurian/panattoni-park-olsztyn/</w:t>
        </w:r>
      </w:hyperlink>
      <w:r w:rsidRPr="00CC1906">
        <w:rPr>
          <w:sz w:val="18"/>
          <w:szCs w:val="18"/>
        </w:rPr>
        <w:t xml:space="preserve"> </w:t>
      </w:r>
    </w:p>
  </w:footnote>
  <w:footnote w:id="58">
    <w:p w14:paraId="645F77AE" w14:textId="11BD8F1B" w:rsidR="00D22FE8" w:rsidRPr="00CC1906" w:rsidRDefault="00D22FE8" w:rsidP="00A16A1D">
      <w:pPr>
        <w:pStyle w:val="Tekstprzypisudolnego"/>
        <w:jc w:val="both"/>
        <w:rPr>
          <w:sz w:val="18"/>
          <w:szCs w:val="18"/>
        </w:rPr>
      </w:pPr>
      <w:r w:rsidRPr="00CC1906">
        <w:rPr>
          <w:rStyle w:val="Odwoanieprzypisudolnego"/>
          <w:sz w:val="18"/>
          <w:szCs w:val="18"/>
        </w:rPr>
        <w:footnoteRef/>
      </w:r>
      <w:r w:rsidRPr="00CC1906">
        <w:rPr>
          <w:sz w:val="18"/>
          <w:szCs w:val="18"/>
        </w:rPr>
        <w:t>Analiza wpływu zbudowanej infrastruktury drogowej na poziom aktywności ekonomicznej w otaczających jednostkach terytorialnych,  Warszawa 30 listopada 2017 r.</w:t>
      </w:r>
    </w:p>
  </w:footnote>
  <w:footnote w:id="59">
    <w:p w14:paraId="62C24975" w14:textId="77777777" w:rsidR="00D22FE8" w:rsidRPr="00CC1906" w:rsidRDefault="00D22FE8" w:rsidP="00F00985">
      <w:pPr>
        <w:pStyle w:val="Tekstprzypisudolnego"/>
        <w:rPr>
          <w:sz w:val="18"/>
          <w:szCs w:val="18"/>
        </w:rPr>
      </w:pPr>
      <w:r w:rsidRPr="00CC1906">
        <w:rPr>
          <w:rStyle w:val="Odwoanieprzypisudolnego"/>
          <w:sz w:val="18"/>
          <w:szCs w:val="18"/>
        </w:rPr>
        <w:footnoteRef/>
      </w:r>
      <w:r w:rsidRPr="00CC1906">
        <w:rPr>
          <w:sz w:val="18"/>
          <w:szCs w:val="18"/>
        </w:rPr>
        <w:t xml:space="preserve"> https://invest.olsztyn.eu/pl/oferty.html</w:t>
      </w:r>
    </w:p>
  </w:footnote>
  <w:footnote w:id="60">
    <w:p w14:paraId="3D7F2A26" w14:textId="0D853F76" w:rsidR="00D22FE8" w:rsidRPr="00CC1906" w:rsidRDefault="00D22FE8" w:rsidP="00A16A1D">
      <w:pPr>
        <w:pStyle w:val="Tekstprzypisudolnego"/>
        <w:rPr>
          <w:sz w:val="18"/>
          <w:szCs w:val="18"/>
        </w:rPr>
      </w:pPr>
      <w:r w:rsidRPr="00CC1906">
        <w:rPr>
          <w:rStyle w:val="Odwoanieprzypisudolnego"/>
          <w:sz w:val="18"/>
          <w:szCs w:val="18"/>
        </w:rPr>
        <w:footnoteRef/>
      </w:r>
      <w:r w:rsidRPr="00CC1906">
        <w:rPr>
          <w:sz w:val="18"/>
          <w:szCs w:val="18"/>
        </w:rPr>
        <w:t xml:space="preserve"> Na podstawie </w:t>
      </w:r>
      <w:hyperlink r:id="rId5" w:history="1">
        <w:r w:rsidRPr="00CC1906">
          <w:rPr>
            <w:rStyle w:val="Hipercze"/>
            <w:sz w:val="18"/>
            <w:szCs w:val="18"/>
          </w:rPr>
          <w:t>www.wmsse.com.pl</w:t>
        </w:r>
      </w:hyperlink>
      <w:r w:rsidRPr="00CC1906">
        <w:rPr>
          <w:sz w:val="18"/>
          <w:szCs w:val="18"/>
        </w:rPr>
        <w:t xml:space="preserve"> stan na 31.05.2021 r.</w:t>
      </w:r>
    </w:p>
  </w:footnote>
  <w:footnote w:id="61">
    <w:p w14:paraId="5280C8C6" w14:textId="39AD103A" w:rsidR="00D22FE8" w:rsidRPr="00CC1906" w:rsidRDefault="00D22FE8" w:rsidP="00A16A1D">
      <w:pPr>
        <w:pStyle w:val="Tekstprzypisudolnego"/>
        <w:rPr>
          <w:sz w:val="18"/>
          <w:szCs w:val="18"/>
        </w:rPr>
      </w:pPr>
      <w:r w:rsidRPr="00CC1906">
        <w:rPr>
          <w:rStyle w:val="Odwoanieprzypisudolnego"/>
          <w:sz w:val="18"/>
          <w:szCs w:val="18"/>
        </w:rPr>
        <w:footnoteRef/>
      </w:r>
      <w:r w:rsidRPr="00CC1906">
        <w:rPr>
          <w:sz w:val="18"/>
          <w:szCs w:val="18"/>
        </w:rPr>
        <w:t xml:space="preserve"> Na podstawie </w:t>
      </w:r>
      <w:hyperlink r:id="rId6" w:history="1">
        <w:r w:rsidRPr="00CC1906">
          <w:rPr>
            <w:rStyle w:val="Hipercze"/>
            <w:sz w:val="18"/>
            <w:szCs w:val="18"/>
          </w:rPr>
          <w:t>https://pl.wikipedia.org/wiki/Klaster_(gospodarka)</w:t>
        </w:r>
      </w:hyperlink>
      <w:r w:rsidRPr="00CC1906">
        <w:rPr>
          <w:sz w:val="18"/>
          <w:szCs w:val="18"/>
        </w:rPr>
        <w:t xml:space="preserve"> </w:t>
      </w:r>
    </w:p>
  </w:footnote>
  <w:footnote w:id="62">
    <w:p w14:paraId="31A32D05" w14:textId="78C402B8" w:rsidR="00D22FE8" w:rsidRPr="00CC1906" w:rsidRDefault="00D22FE8" w:rsidP="00A16A1D">
      <w:pPr>
        <w:pStyle w:val="Tekstprzypisudolnego"/>
        <w:rPr>
          <w:sz w:val="18"/>
          <w:szCs w:val="18"/>
        </w:rPr>
      </w:pPr>
      <w:r w:rsidRPr="00CC1906">
        <w:rPr>
          <w:rStyle w:val="Odwoanieprzypisudolnego"/>
          <w:sz w:val="18"/>
          <w:szCs w:val="18"/>
        </w:rPr>
        <w:footnoteRef/>
      </w:r>
      <w:r w:rsidRPr="00CC1906">
        <w:rPr>
          <w:sz w:val="18"/>
          <w:szCs w:val="18"/>
        </w:rPr>
        <w:t xml:space="preserve"> Na podstawie </w:t>
      </w:r>
      <w:hyperlink r:id="rId7" w:history="1">
        <w:r w:rsidRPr="00CC1906">
          <w:rPr>
            <w:rStyle w:val="Hipercze"/>
            <w:sz w:val="18"/>
            <w:szCs w:val="18"/>
          </w:rPr>
          <w:t>https://klastrypolskie.pl/czlonkowie.html stan na 31.05.2021</w:t>
        </w:r>
      </w:hyperlink>
      <w:r w:rsidRPr="00CC1906">
        <w:rPr>
          <w:sz w:val="18"/>
          <w:szCs w:val="18"/>
        </w:rPr>
        <w:t xml:space="preserve"> r.</w:t>
      </w:r>
    </w:p>
  </w:footnote>
  <w:footnote w:id="63">
    <w:p w14:paraId="5C02F188" w14:textId="77777777" w:rsidR="00D22FE8" w:rsidRPr="00CC1906" w:rsidRDefault="00D22FE8" w:rsidP="00A16A1D">
      <w:pPr>
        <w:pStyle w:val="Tekstprzypisudolnego"/>
        <w:rPr>
          <w:sz w:val="18"/>
          <w:szCs w:val="18"/>
        </w:rPr>
      </w:pPr>
      <w:r w:rsidRPr="00CC1906">
        <w:rPr>
          <w:rStyle w:val="Odwoanieprzypisudolnego"/>
          <w:sz w:val="18"/>
          <w:szCs w:val="18"/>
        </w:rPr>
        <w:footnoteRef/>
      </w:r>
      <w:r w:rsidRPr="00CC1906">
        <w:rPr>
          <w:sz w:val="18"/>
          <w:szCs w:val="18"/>
        </w:rPr>
        <w:t xml:space="preserve"> Na podstawie </w:t>
      </w:r>
      <w:hyperlink r:id="rId8" w:history="1">
        <w:r w:rsidRPr="00CC1906">
          <w:rPr>
            <w:rStyle w:val="Hipercze"/>
            <w:sz w:val="18"/>
            <w:szCs w:val="18"/>
          </w:rPr>
          <w:t>https://klastrypolskie.pl/czlonkowie/wschodni-klaster-budowlany,90.htm</w:t>
        </w:r>
      </w:hyperlink>
      <w:r w:rsidRPr="00CC1906">
        <w:rPr>
          <w:sz w:val="18"/>
          <w:szCs w:val="18"/>
        </w:rPr>
        <w:t xml:space="preserve"> stan na 10.06.2020r. </w:t>
      </w:r>
    </w:p>
  </w:footnote>
  <w:footnote w:id="64">
    <w:p w14:paraId="77F8CAA4" w14:textId="77777777" w:rsidR="00D22FE8" w:rsidRPr="00CC1906" w:rsidRDefault="00D22FE8" w:rsidP="00B37418">
      <w:pPr>
        <w:pStyle w:val="Tekstprzypisudolnego"/>
        <w:ind w:left="284" w:hanging="284"/>
        <w:rPr>
          <w:sz w:val="18"/>
          <w:szCs w:val="18"/>
        </w:rPr>
      </w:pPr>
      <w:r w:rsidRPr="00CC1906">
        <w:rPr>
          <w:rStyle w:val="Odwoanieprzypisudolnego"/>
          <w:sz w:val="18"/>
          <w:szCs w:val="18"/>
        </w:rPr>
        <w:footnoteRef/>
      </w:r>
      <w:r w:rsidRPr="00CC1906">
        <w:rPr>
          <w:sz w:val="18"/>
          <w:szCs w:val="18"/>
        </w:rPr>
        <w:t xml:space="preserve"> Na podstawie </w:t>
      </w:r>
      <w:hyperlink r:id="rId9" w:history="1">
        <w:r w:rsidRPr="00CC1906">
          <w:rPr>
            <w:rStyle w:val="Hipercze"/>
            <w:sz w:val="18"/>
            <w:szCs w:val="18"/>
          </w:rPr>
          <w:t>https://klastrypolskie.pl/czlonkowie/klaster-marek-turystycznych-polski-wschodniej,200.htm</w:t>
        </w:r>
      </w:hyperlink>
      <w:r w:rsidRPr="00CC1906">
        <w:rPr>
          <w:sz w:val="18"/>
          <w:szCs w:val="18"/>
        </w:rPr>
        <w:t xml:space="preserve"> stan na 03.09.2020 r.</w:t>
      </w:r>
    </w:p>
  </w:footnote>
  <w:footnote w:id="65">
    <w:p w14:paraId="1E82E66C" w14:textId="77777777" w:rsidR="00D22FE8" w:rsidRPr="00CC1906" w:rsidRDefault="00D22FE8" w:rsidP="00B37418">
      <w:pPr>
        <w:pStyle w:val="Tekstprzypisudolnego"/>
        <w:ind w:left="284" w:hanging="284"/>
        <w:rPr>
          <w:sz w:val="18"/>
          <w:szCs w:val="18"/>
        </w:rPr>
      </w:pPr>
      <w:r w:rsidRPr="00CC1906">
        <w:rPr>
          <w:rStyle w:val="Odwoanieprzypisudolnego"/>
          <w:sz w:val="18"/>
          <w:szCs w:val="18"/>
        </w:rPr>
        <w:footnoteRef/>
      </w:r>
      <w:r w:rsidRPr="00CC1906">
        <w:rPr>
          <w:sz w:val="18"/>
          <w:szCs w:val="18"/>
        </w:rPr>
        <w:t xml:space="preserve"> Na podstawie </w:t>
      </w:r>
      <w:hyperlink r:id="rId10" w:history="1">
        <w:r w:rsidRPr="00CC1906">
          <w:rPr>
            <w:rStyle w:val="Hipercze"/>
            <w:sz w:val="18"/>
            <w:szCs w:val="18"/>
          </w:rPr>
          <w:t>http://www.klasterturystyczny.pl/czlonkowie-klastra/</w:t>
        </w:r>
      </w:hyperlink>
      <w:r w:rsidRPr="00CC1906">
        <w:rPr>
          <w:sz w:val="18"/>
          <w:szCs w:val="18"/>
        </w:rPr>
        <w:t xml:space="preserve"> stan na 03.09.2020 r.</w:t>
      </w:r>
    </w:p>
  </w:footnote>
  <w:footnote w:id="66">
    <w:p w14:paraId="1ECE85FE" w14:textId="77777777" w:rsidR="00D22FE8" w:rsidRPr="00CC1906" w:rsidRDefault="00D22FE8" w:rsidP="00B37418">
      <w:pPr>
        <w:pStyle w:val="Tekstprzypisudolnego"/>
        <w:ind w:left="284" w:hanging="284"/>
        <w:rPr>
          <w:sz w:val="18"/>
          <w:szCs w:val="18"/>
        </w:rPr>
      </w:pPr>
      <w:r w:rsidRPr="00CC1906">
        <w:rPr>
          <w:rStyle w:val="Odwoanieprzypisudolnego"/>
          <w:sz w:val="18"/>
          <w:szCs w:val="18"/>
        </w:rPr>
        <w:footnoteRef/>
      </w:r>
      <w:r w:rsidRPr="00CC1906">
        <w:rPr>
          <w:sz w:val="18"/>
          <w:szCs w:val="18"/>
        </w:rPr>
        <w:t xml:space="preserve"> Na podstawie </w:t>
      </w:r>
      <w:hyperlink r:id="rId11" w:history="1">
        <w:r w:rsidRPr="00CC1906">
          <w:rPr>
            <w:rStyle w:val="Hipercze"/>
            <w:sz w:val="18"/>
            <w:szCs w:val="18"/>
          </w:rPr>
          <w:t>https://klastrypolskie.pl/czlonkowie/wschodni-okreg-spozywczo-przemyslowy,230.htm</w:t>
        </w:r>
      </w:hyperlink>
      <w:r w:rsidRPr="00CC1906">
        <w:rPr>
          <w:sz w:val="18"/>
          <w:szCs w:val="18"/>
        </w:rPr>
        <w:t xml:space="preserve"> stan na 03.09.2020 r.</w:t>
      </w:r>
    </w:p>
  </w:footnote>
  <w:footnote w:id="67">
    <w:p w14:paraId="73F7230F" w14:textId="77777777" w:rsidR="00D22FE8" w:rsidRPr="00CC1906" w:rsidRDefault="00D22FE8" w:rsidP="00A16A1D">
      <w:pPr>
        <w:pStyle w:val="Tekstprzypisudolnego"/>
        <w:rPr>
          <w:sz w:val="18"/>
          <w:szCs w:val="18"/>
        </w:rPr>
      </w:pPr>
      <w:r w:rsidRPr="00CC1906">
        <w:rPr>
          <w:rStyle w:val="Odwoanieprzypisudolnego"/>
          <w:sz w:val="18"/>
          <w:szCs w:val="18"/>
        </w:rPr>
        <w:footnoteRef/>
      </w:r>
      <w:r w:rsidRPr="00CC1906">
        <w:rPr>
          <w:sz w:val="18"/>
          <w:szCs w:val="18"/>
        </w:rPr>
        <w:t xml:space="preserve"> Na podstawie </w:t>
      </w:r>
      <w:hyperlink r:id="rId12" w:history="1">
        <w:r w:rsidRPr="00CC1906">
          <w:rPr>
            <w:rStyle w:val="Hipercze"/>
            <w:sz w:val="18"/>
            <w:szCs w:val="18"/>
          </w:rPr>
          <w:t>http://ranking.perspektywy.pl/2019/ranking-uczelni-akademickich</w:t>
        </w:r>
      </w:hyperlink>
      <w:r w:rsidRPr="00CC1906">
        <w:rPr>
          <w:sz w:val="18"/>
          <w:szCs w:val="18"/>
        </w:rPr>
        <w:t xml:space="preserve"> </w:t>
      </w:r>
    </w:p>
  </w:footnote>
  <w:footnote w:id="68">
    <w:p w14:paraId="6424047C" w14:textId="77777777" w:rsidR="00D22FE8" w:rsidRPr="00CC1906" w:rsidRDefault="00D22FE8" w:rsidP="00F00985">
      <w:pPr>
        <w:pStyle w:val="Tekstprzypisudolnego"/>
        <w:rPr>
          <w:sz w:val="18"/>
          <w:szCs w:val="18"/>
        </w:rPr>
      </w:pPr>
      <w:r w:rsidRPr="00CC1906">
        <w:rPr>
          <w:rStyle w:val="Odwoanieprzypisudolnego"/>
          <w:sz w:val="18"/>
          <w:szCs w:val="18"/>
        </w:rPr>
        <w:footnoteRef/>
      </w:r>
      <w:r w:rsidRPr="00CC1906">
        <w:rPr>
          <w:sz w:val="18"/>
          <w:szCs w:val="18"/>
        </w:rPr>
        <w:t xml:space="preserve"> https://www.zak.olsztyn.pl/akademiki.html</w:t>
      </w:r>
    </w:p>
  </w:footnote>
  <w:footnote w:id="69">
    <w:p w14:paraId="54CCF1F3" w14:textId="77777777" w:rsidR="00D22FE8" w:rsidRPr="00CC1906" w:rsidRDefault="00D22FE8" w:rsidP="00F00985">
      <w:pPr>
        <w:pStyle w:val="Tekstprzypisudolnego"/>
        <w:rPr>
          <w:sz w:val="18"/>
          <w:szCs w:val="18"/>
        </w:rPr>
      </w:pPr>
      <w:r w:rsidRPr="00CC1906">
        <w:rPr>
          <w:rStyle w:val="Odwoanieprzypisudolnego"/>
          <w:sz w:val="18"/>
          <w:szCs w:val="18"/>
        </w:rPr>
        <w:footnoteRef/>
      </w:r>
      <w:r w:rsidRPr="00CC1906">
        <w:rPr>
          <w:sz w:val="18"/>
          <w:szCs w:val="18"/>
        </w:rPr>
        <w:t xml:space="preserve"> https://visit.olsztyn.eu/place/2259/miasteczko-uniwersyteckie-kortowo</w:t>
      </w:r>
    </w:p>
  </w:footnote>
  <w:footnote w:id="70">
    <w:p w14:paraId="556ACD25" w14:textId="77777777" w:rsidR="00D22FE8" w:rsidRPr="00CC1906" w:rsidRDefault="00D22FE8" w:rsidP="00F00985">
      <w:pPr>
        <w:pStyle w:val="Tekstprzypisudolnego"/>
        <w:rPr>
          <w:sz w:val="18"/>
          <w:szCs w:val="18"/>
        </w:rPr>
      </w:pPr>
      <w:r w:rsidRPr="00CC1906">
        <w:rPr>
          <w:rStyle w:val="Odwoanieprzypisudolnego"/>
          <w:sz w:val="18"/>
          <w:szCs w:val="18"/>
        </w:rPr>
        <w:footnoteRef/>
      </w:r>
      <w:r w:rsidRPr="00CC1906">
        <w:rPr>
          <w:sz w:val="18"/>
          <w:szCs w:val="18"/>
        </w:rPr>
        <w:t xml:space="preserve"> http://www.uwm.edu.pl/uniwersytet/najpiekniejszy-kampus</w:t>
      </w:r>
    </w:p>
  </w:footnote>
  <w:footnote w:id="71">
    <w:p w14:paraId="6B08E2B8" w14:textId="77777777" w:rsidR="00D22FE8" w:rsidRPr="00CC1906" w:rsidRDefault="00D22FE8" w:rsidP="00A16A1D">
      <w:pPr>
        <w:pStyle w:val="Tekstprzypisudolnego"/>
        <w:rPr>
          <w:sz w:val="18"/>
          <w:szCs w:val="18"/>
        </w:rPr>
      </w:pPr>
      <w:r w:rsidRPr="00CC1906">
        <w:rPr>
          <w:rStyle w:val="Odwoanieprzypisudolnego"/>
          <w:sz w:val="18"/>
          <w:szCs w:val="18"/>
        </w:rPr>
        <w:footnoteRef/>
      </w:r>
      <w:r w:rsidRPr="00CC1906">
        <w:rPr>
          <w:sz w:val="18"/>
          <w:szCs w:val="18"/>
        </w:rPr>
        <w:t xml:space="preserve"> Na podstawie </w:t>
      </w:r>
      <w:hyperlink r:id="rId13" w:history="1">
        <w:r w:rsidRPr="00CC1906">
          <w:rPr>
            <w:rStyle w:val="Hipercze"/>
            <w:sz w:val="18"/>
            <w:szCs w:val="18"/>
          </w:rPr>
          <w:t>http://pan.olsztyn.pl/</w:t>
        </w:r>
      </w:hyperlink>
      <w:r w:rsidRPr="00CC1906">
        <w:rPr>
          <w:sz w:val="18"/>
          <w:szCs w:val="18"/>
        </w:rPr>
        <w:t xml:space="preserve"> stan na 03.09.2020 r.</w:t>
      </w:r>
    </w:p>
  </w:footnote>
  <w:footnote w:id="72">
    <w:p w14:paraId="4EEE98D1" w14:textId="62E1AE46" w:rsidR="00D22FE8" w:rsidRPr="00CC1906" w:rsidRDefault="00D22FE8" w:rsidP="00A16A1D">
      <w:pPr>
        <w:pStyle w:val="Tekstprzypisudolnego"/>
        <w:rPr>
          <w:sz w:val="18"/>
          <w:szCs w:val="18"/>
        </w:rPr>
      </w:pPr>
      <w:r w:rsidRPr="00CC1906">
        <w:rPr>
          <w:rStyle w:val="Odwoanieprzypisudolnego"/>
          <w:sz w:val="18"/>
          <w:szCs w:val="18"/>
        </w:rPr>
        <w:footnoteRef/>
      </w:r>
      <w:r w:rsidRPr="00CC1906">
        <w:rPr>
          <w:sz w:val="18"/>
          <w:szCs w:val="18"/>
        </w:rPr>
        <w:t xml:space="preserve"> Na podstawie </w:t>
      </w:r>
      <w:hyperlink r:id="rId14" w:history="1">
        <w:r w:rsidRPr="00CC1906">
          <w:rPr>
            <w:rStyle w:val="Hipercze"/>
            <w:sz w:val="18"/>
            <w:szCs w:val="18"/>
          </w:rPr>
          <w:t>https://www.infish.com.pl/content/historia-irs stan na 03.09.2020</w:t>
        </w:r>
      </w:hyperlink>
      <w:r w:rsidRPr="00CC1906">
        <w:rPr>
          <w:sz w:val="18"/>
          <w:szCs w:val="18"/>
        </w:rPr>
        <w:t xml:space="preserve"> r.</w:t>
      </w:r>
    </w:p>
  </w:footnote>
  <w:footnote w:id="73">
    <w:p w14:paraId="32695A06" w14:textId="6B21B3B6" w:rsidR="00D22FE8" w:rsidRPr="00CC1906" w:rsidRDefault="00D22FE8" w:rsidP="00A16A1D">
      <w:pPr>
        <w:pStyle w:val="Tekstprzypisudolnego"/>
        <w:rPr>
          <w:sz w:val="18"/>
          <w:szCs w:val="18"/>
        </w:rPr>
      </w:pPr>
      <w:r w:rsidRPr="00CC1906">
        <w:rPr>
          <w:rStyle w:val="Odwoanieprzypisudolnego"/>
          <w:sz w:val="18"/>
          <w:szCs w:val="18"/>
        </w:rPr>
        <w:footnoteRef/>
      </w:r>
      <w:r w:rsidRPr="00CC1906">
        <w:rPr>
          <w:sz w:val="18"/>
          <w:szCs w:val="18"/>
        </w:rPr>
        <w:t xml:space="preserve"> Na podstawie </w:t>
      </w:r>
      <w:hyperlink r:id="rId15" w:history="1">
        <w:r w:rsidRPr="00CC1906">
          <w:rPr>
            <w:rStyle w:val="Hipercze"/>
            <w:sz w:val="18"/>
            <w:szCs w:val="18"/>
          </w:rPr>
          <w:t>http://ip.olsztyn.pl/o-nas-2/</w:t>
        </w:r>
      </w:hyperlink>
      <w:r w:rsidRPr="00CC1906">
        <w:rPr>
          <w:sz w:val="18"/>
          <w:szCs w:val="18"/>
        </w:rPr>
        <w:t xml:space="preserve"> stan na 03.09.2020 r.</w:t>
      </w:r>
    </w:p>
  </w:footnote>
  <w:footnote w:id="74">
    <w:p w14:paraId="0EAF78B1" w14:textId="1D4A044D" w:rsidR="00D22FE8" w:rsidRPr="00CC1906" w:rsidRDefault="00D22FE8" w:rsidP="00A16A1D">
      <w:pPr>
        <w:pStyle w:val="Tekstprzypisudolnego"/>
        <w:rPr>
          <w:sz w:val="18"/>
          <w:szCs w:val="18"/>
        </w:rPr>
      </w:pPr>
      <w:r w:rsidRPr="00CC1906">
        <w:rPr>
          <w:rStyle w:val="Odwoanieprzypisudolnego"/>
          <w:sz w:val="18"/>
          <w:szCs w:val="18"/>
        </w:rPr>
        <w:footnoteRef/>
      </w:r>
      <w:r w:rsidRPr="00CC1906">
        <w:rPr>
          <w:sz w:val="18"/>
          <w:szCs w:val="18"/>
        </w:rPr>
        <w:t xml:space="preserve"> Na podstawie </w:t>
      </w:r>
      <w:hyperlink r:id="rId16" w:history="1">
        <w:r w:rsidRPr="00CC1906">
          <w:rPr>
            <w:rStyle w:val="Hipercze"/>
            <w:sz w:val="18"/>
            <w:szCs w:val="18"/>
          </w:rPr>
          <w:t>https://opnt.olsztyn.pl</w:t>
        </w:r>
      </w:hyperlink>
      <w:r w:rsidRPr="00CC1906">
        <w:rPr>
          <w:sz w:val="18"/>
          <w:szCs w:val="18"/>
        </w:rPr>
        <w:t xml:space="preserve"> stan na 19.05.2021 r.</w:t>
      </w:r>
    </w:p>
  </w:footnote>
  <w:footnote w:id="75">
    <w:p w14:paraId="7CB5CFFA" w14:textId="07BFCBB1" w:rsidR="00D22FE8" w:rsidRPr="00CC1906" w:rsidRDefault="00D22FE8" w:rsidP="00A16A1D">
      <w:pPr>
        <w:pStyle w:val="Tekstprzypisudolnego"/>
        <w:rPr>
          <w:sz w:val="18"/>
          <w:szCs w:val="18"/>
        </w:rPr>
      </w:pPr>
      <w:r w:rsidRPr="00CC1906">
        <w:rPr>
          <w:rStyle w:val="Odwoanieprzypisudolnego"/>
          <w:sz w:val="18"/>
          <w:szCs w:val="18"/>
        </w:rPr>
        <w:footnoteRef/>
      </w:r>
      <w:r w:rsidRPr="00CC1906">
        <w:rPr>
          <w:sz w:val="18"/>
          <w:szCs w:val="18"/>
        </w:rPr>
        <w:t xml:space="preserve"> Na podstawie </w:t>
      </w:r>
      <w:hyperlink r:id="rId17" w:history="1">
        <w:r w:rsidRPr="00CC1906">
          <w:rPr>
            <w:rStyle w:val="Hipercze"/>
            <w:sz w:val="18"/>
            <w:szCs w:val="18"/>
          </w:rPr>
          <w:t>https://www.opnt.olsztyn.pl/startup-heroes/o-projekcie/</w:t>
        </w:r>
      </w:hyperlink>
      <w:r w:rsidRPr="00CC1906">
        <w:rPr>
          <w:sz w:val="18"/>
          <w:szCs w:val="18"/>
        </w:rPr>
        <w:t xml:space="preserve">  stan na 19.05.2021 r.</w:t>
      </w:r>
    </w:p>
  </w:footnote>
  <w:footnote w:id="76">
    <w:p w14:paraId="65F89411" w14:textId="77777777" w:rsidR="00D22FE8" w:rsidRPr="00CC1906" w:rsidRDefault="00D22FE8" w:rsidP="00A16A1D">
      <w:pPr>
        <w:pStyle w:val="Tekstprzypisudolnego"/>
        <w:rPr>
          <w:sz w:val="18"/>
          <w:szCs w:val="18"/>
        </w:rPr>
      </w:pPr>
      <w:r w:rsidRPr="00CC1906">
        <w:rPr>
          <w:rStyle w:val="Odwoanieprzypisudolnego"/>
          <w:sz w:val="18"/>
          <w:szCs w:val="18"/>
        </w:rPr>
        <w:footnoteRef/>
      </w:r>
      <w:r w:rsidRPr="00CC1906">
        <w:rPr>
          <w:sz w:val="18"/>
          <w:szCs w:val="18"/>
        </w:rPr>
        <w:t xml:space="preserve"> Na podstawie </w:t>
      </w:r>
      <w:hyperlink r:id="rId18" w:history="1">
        <w:r w:rsidRPr="00CC1906">
          <w:rPr>
            <w:rStyle w:val="Hipercze"/>
            <w:sz w:val="18"/>
            <w:szCs w:val="18"/>
          </w:rPr>
          <w:t>https://mycompanypolska.pl/artykul/2948/25-najlepszych-polskich-startupow</w:t>
        </w:r>
      </w:hyperlink>
      <w:r w:rsidRPr="00CC1906">
        <w:rPr>
          <w:sz w:val="18"/>
          <w:szCs w:val="18"/>
        </w:rPr>
        <w:t xml:space="preserve"> </w:t>
      </w:r>
    </w:p>
  </w:footnote>
  <w:footnote w:id="77">
    <w:p w14:paraId="0C553FE6" w14:textId="6FA0D604" w:rsidR="00D22FE8" w:rsidRPr="00CC1906" w:rsidRDefault="00D22FE8" w:rsidP="00A16A1D">
      <w:pPr>
        <w:pStyle w:val="Tekstprzypisudolnego"/>
        <w:rPr>
          <w:sz w:val="18"/>
          <w:szCs w:val="18"/>
        </w:rPr>
      </w:pPr>
      <w:r w:rsidRPr="00CC1906">
        <w:rPr>
          <w:rStyle w:val="Odwoanieprzypisudolnego"/>
          <w:sz w:val="18"/>
          <w:szCs w:val="18"/>
        </w:rPr>
        <w:footnoteRef/>
      </w:r>
      <w:r w:rsidRPr="00CC1906">
        <w:rPr>
          <w:sz w:val="18"/>
          <w:szCs w:val="18"/>
        </w:rPr>
        <w:t xml:space="preserve"> Na podstawie http://invest.warmia.mazury.pl/pl/dlaczego-warto-tu-inwestowac/warminsko-mazurskie-centrum-obslugi-inwestorow-i-eksporterow.html, stan na 19.05.2021 r.</w:t>
      </w:r>
    </w:p>
  </w:footnote>
  <w:footnote w:id="78">
    <w:p w14:paraId="3D81075D" w14:textId="2201A9A8" w:rsidR="00D22FE8" w:rsidRPr="00CC1906" w:rsidRDefault="00D22FE8" w:rsidP="005010A2">
      <w:pPr>
        <w:pStyle w:val="Tekstprzypisudolnego"/>
        <w:ind w:left="142" w:hanging="142"/>
        <w:rPr>
          <w:sz w:val="18"/>
          <w:szCs w:val="18"/>
        </w:rPr>
      </w:pPr>
      <w:r w:rsidRPr="00CC1906">
        <w:rPr>
          <w:rStyle w:val="Odwoanieprzypisudolnego"/>
          <w:sz w:val="18"/>
          <w:szCs w:val="18"/>
        </w:rPr>
        <w:footnoteRef/>
      </w:r>
      <w:r w:rsidRPr="00CC1906">
        <w:rPr>
          <w:sz w:val="18"/>
          <w:szCs w:val="18"/>
        </w:rPr>
        <w:t xml:space="preserve"> Analiza przeprowadzona przez Gminę Olsztyn w związku z programem </w:t>
      </w:r>
      <w:r w:rsidRPr="00CC1906">
        <w:rPr>
          <w:i/>
          <w:sz w:val="18"/>
          <w:szCs w:val="18"/>
        </w:rPr>
        <w:t xml:space="preserve">Zdalna szkoła </w:t>
      </w:r>
      <w:r w:rsidRPr="00CC1906">
        <w:rPr>
          <w:sz w:val="18"/>
          <w:szCs w:val="18"/>
        </w:rPr>
        <w:t>realizowanym w 2020 r. przez Ministerstwo Cyfryzacji</w:t>
      </w:r>
    </w:p>
  </w:footnote>
  <w:footnote w:id="79">
    <w:p w14:paraId="1A044617" w14:textId="1D83C60F" w:rsidR="00D22FE8" w:rsidRPr="00CC1906" w:rsidRDefault="00D22FE8" w:rsidP="005010A2">
      <w:pPr>
        <w:pStyle w:val="Tekstprzypisudolnego"/>
        <w:ind w:left="142" w:hanging="142"/>
        <w:rPr>
          <w:sz w:val="18"/>
          <w:szCs w:val="18"/>
        </w:rPr>
      </w:pPr>
      <w:r w:rsidRPr="00CC1906">
        <w:rPr>
          <w:rStyle w:val="Odwoanieprzypisudolnego"/>
          <w:sz w:val="18"/>
          <w:szCs w:val="18"/>
        </w:rPr>
        <w:footnoteRef/>
      </w:r>
      <w:r w:rsidRPr="00CC1906">
        <w:rPr>
          <w:sz w:val="18"/>
          <w:szCs w:val="18"/>
        </w:rPr>
        <w:t xml:space="preserve"> opracowanie statystyczne GUS pt. </w:t>
      </w:r>
      <w:r w:rsidRPr="00CC1906">
        <w:rPr>
          <w:bCs/>
          <w:i/>
          <w:sz w:val="18"/>
          <w:szCs w:val="18"/>
        </w:rPr>
        <w:t>Społeczeństwo informacyjne w Polsce w 2019 roku. Informacje sygnalne -</w:t>
      </w:r>
      <w:r w:rsidRPr="00CC1906">
        <w:rPr>
          <w:bCs/>
          <w:sz w:val="18"/>
          <w:szCs w:val="18"/>
        </w:rPr>
        <w:t>21.10.2019 r.</w:t>
      </w:r>
    </w:p>
  </w:footnote>
  <w:footnote w:id="80">
    <w:p w14:paraId="3101A8E3" w14:textId="77777777" w:rsidR="00D22FE8" w:rsidRPr="00CC1906" w:rsidRDefault="00D22FE8" w:rsidP="009D379B">
      <w:pPr>
        <w:pStyle w:val="Tekstprzypisudolnego"/>
        <w:ind w:left="142" w:hanging="142"/>
        <w:jc w:val="both"/>
        <w:rPr>
          <w:sz w:val="18"/>
          <w:szCs w:val="18"/>
        </w:rPr>
      </w:pPr>
      <w:r w:rsidRPr="00CC1906">
        <w:rPr>
          <w:rStyle w:val="Odwoanieprzypisudolnego"/>
          <w:sz w:val="18"/>
          <w:szCs w:val="18"/>
        </w:rPr>
        <w:footnoteRef/>
      </w:r>
      <w:r w:rsidRPr="00CC1906">
        <w:rPr>
          <w:sz w:val="18"/>
          <w:szCs w:val="18"/>
        </w:rPr>
        <w:t xml:space="preserve"> Węzły dystrybucyjne: urządzenia telekomunikacyjne lub zespoły urządzeń telekomunikacyjnych, zapewniających fizyczne połączenie sieci telekomunikacyjnych, łączące węzły szkieletowej sieci telekomunikacyjnej z agregującymi ruch od użytkowników końcowych węzłami dostępowej sieci telekomunikacyjnej.</w:t>
      </w:r>
    </w:p>
  </w:footnote>
  <w:footnote w:id="81">
    <w:p w14:paraId="27B8DFB6" w14:textId="77777777" w:rsidR="00D22FE8" w:rsidRPr="00CC1906" w:rsidRDefault="00D22FE8" w:rsidP="009D379B">
      <w:pPr>
        <w:pStyle w:val="Tekstprzypisudolnego"/>
        <w:ind w:left="142" w:hanging="142"/>
        <w:jc w:val="both"/>
        <w:rPr>
          <w:sz w:val="18"/>
          <w:szCs w:val="18"/>
        </w:rPr>
      </w:pPr>
      <w:r w:rsidRPr="00CC1906">
        <w:rPr>
          <w:rStyle w:val="Odwoanieprzypisudolnego"/>
          <w:sz w:val="18"/>
          <w:szCs w:val="18"/>
        </w:rPr>
        <w:footnoteRef/>
      </w:r>
      <w:r w:rsidRPr="00CC1906">
        <w:rPr>
          <w:sz w:val="18"/>
          <w:szCs w:val="18"/>
        </w:rPr>
        <w:t xml:space="preserve"> Węzły szkieletowe: urządzenia telekomunikacyjne lub zespoły urządzeń telekomunikacyjnych, zapewniających fizyczne połączenie sieci telekomunikacyjnych  w najwyższej warstwie publicznej sieci telekomunikacyjnej, agregującej ruch sieciowy z niższych warstw sieci.</w:t>
      </w:r>
    </w:p>
  </w:footnote>
  <w:footnote w:id="82">
    <w:p w14:paraId="7A6B1B63" w14:textId="77777777" w:rsidR="00D22FE8" w:rsidRPr="00CC1906" w:rsidRDefault="00D22FE8" w:rsidP="00E15341">
      <w:pPr>
        <w:pStyle w:val="Tekstprzypisudolnego"/>
        <w:rPr>
          <w:sz w:val="18"/>
          <w:szCs w:val="18"/>
        </w:rPr>
      </w:pPr>
      <w:r w:rsidRPr="00CC1906">
        <w:rPr>
          <w:rStyle w:val="Odwoanieprzypisudolnego"/>
          <w:sz w:val="18"/>
          <w:szCs w:val="18"/>
        </w:rPr>
        <w:footnoteRef/>
      </w:r>
      <w:r w:rsidRPr="00CC1906">
        <w:rPr>
          <w:sz w:val="18"/>
          <w:szCs w:val="18"/>
        </w:rPr>
        <w:t xml:space="preserve"> http://warminsko-mazurskie.orss.pl/wp-content/uploads/2014/11/SSPW_WWM_-_mapa_do_prezentacji_rotated.pdf</w:t>
      </w:r>
    </w:p>
  </w:footnote>
  <w:footnote w:id="83">
    <w:p w14:paraId="7A068FBC" w14:textId="21807544" w:rsidR="00D22FE8" w:rsidRPr="00CC1906" w:rsidRDefault="00D22FE8" w:rsidP="00E15341">
      <w:pPr>
        <w:pStyle w:val="Tekstprzypisudolnego"/>
        <w:rPr>
          <w:sz w:val="18"/>
          <w:szCs w:val="18"/>
        </w:rPr>
      </w:pPr>
      <w:r w:rsidRPr="00CC1906">
        <w:rPr>
          <w:rStyle w:val="Odwoanieprzypisudolnego"/>
          <w:sz w:val="18"/>
          <w:szCs w:val="18"/>
        </w:rPr>
        <w:footnoteRef/>
      </w:r>
      <w:r w:rsidRPr="00CC1906">
        <w:rPr>
          <w:sz w:val="18"/>
          <w:szCs w:val="18"/>
        </w:rPr>
        <w:t xml:space="preserve"> </w:t>
      </w:r>
      <w:r w:rsidRPr="00CC1906">
        <w:rPr>
          <w:i/>
          <w:sz w:val="18"/>
          <w:szCs w:val="18"/>
        </w:rPr>
        <w:t>Społeczeństwo informacyjne w Polsce. Wyniki badań statystycznych z lat 2015-2019, GUS</w:t>
      </w:r>
    </w:p>
  </w:footnote>
  <w:footnote w:id="84">
    <w:p w14:paraId="68C5195A" w14:textId="7875AC34" w:rsidR="00D22FE8" w:rsidRPr="00CC1906" w:rsidRDefault="00D22FE8" w:rsidP="00E15341">
      <w:pPr>
        <w:pStyle w:val="Tekstprzypisudolnego"/>
        <w:rPr>
          <w:sz w:val="18"/>
          <w:szCs w:val="18"/>
        </w:rPr>
      </w:pPr>
      <w:r w:rsidRPr="00CC1906">
        <w:rPr>
          <w:rStyle w:val="Odwoanieprzypisudolnego"/>
          <w:sz w:val="18"/>
          <w:szCs w:val="18"/>
        </w:rPr>
        <w:footnoteRef/>
      </w:r>
      <w:r w:rsidRPr="00CC1906">
        <w:rPr>
          <w:sz w:val="18"/>
          <w:szCs w:val="18"/>
        </w:rPr>
        <w:t xml:space="preserve"> </w:t>
      </w:r>
      <w:r w:rsidRPr="00CC1906">
        <w:rPr>
          <w:i/>
          <w:sz w:val="18"/>
          <w:szCs w:val="18"/>
        </w:rPr>
        <w:t>Społeczeństwo informacyjne w Polsce. Wyniki badań statystycznych z lat 2015-2019, GUS</w:t>
      </w:r>
    </w:p>
  </w:footnote>
  <w:footnote w:id="85">
    <w:p w14:paraId="6C6A8DD9" w14:textId="46D98E02" w:rsidR="00D22FE8" w:rsidRPr="009E6503" w:rsidRDefault="00D22FE8" w:rsidP="00E15341">
      <w:pPr>
        <w:pStyle w:val="Tekstprzypisudolnego"/>
        <w:rPr>
          <w:sz w:val="18"/>
          <w:szCs w:val="18"/>
        </w:rPr>
      </w:pPr>
      <w:r w:rsidRPr="009E6503">
        <w:rPr>
          <w:rStyle w:val="Odwoanieprzypisudolnego"/>
          <w:sz w:val="18"/>
          <w:szCs w:val="18"/>
        </w:rPr>
        <w:footnoteRef/>
      </w:r>
      <w:r w:rsidRPr="009E6503">
        <w:rPr>
          <w:sz w:val="18"/>
          <w:szCs w:val="18"/>
        </w:rPr>
        <w:t xml:space="preserve"> Stan na 19.05.2021 r.</w:t>
      </w:r>
    </w:p>
  </w:footnote>
  <w:footnote w:id="86">
    <w:p w14:paraId="4ED0BD36" w14:textId="6A441D04" w:rsidR="00D22FE8" w:rsidRPr="009E6503" w:rsidRDefault="00D22FE8" w:rsidP="00E15341">
      <w:pPr>
        <w:pStyle w:val="Tekstprzypisudolnego"/>
        <w:rPr>
          <w:sz w:val="18"/>
          <w:szCs w:val="18"/>
        </w:rPr>
      </w:pPr>
      <w:r w:rsidRPr="009E6503">
        <w:rPr>
          <w:rStyle w:val="Odwoanieprzypisudolnego"/>
          <w:sz w:val="18"/>
          <w:szCs w:val="18"/>
        </w:rPr>
        <w:footnoteRef/>
      </w:r>
      <w:r w:rsidRPr="009E6503">
        <w:rPr>
          <w:sz w:val="18"/>
          <w:szCs w:val="18"/>
        </w:rPr>
        <w:t xml:space="preserve"> wg informacji z gmin MOF Olsztyna, maj-czerwiec 2020 r.</w:t>
      </w:r>
    </w:p>
  </w:footnote>
  <w:footnote w:id="87">
    <w:p w14:paraId="37949E3B" w14:textId="77777777" w:rsidR="00D22FE8" w:rsidRPr="009E6503" w:rsidRDefault="00D22FE8" w:rsidP="00876812">
      <w:pPr>
        <w:pStyle w:val="Tekstprzypisudolnego"/>
        <w:ind w:left="142" w:hanging="142"/>
        <w:jc w:val="both"/>
        <w:rPr>
          <w:sz w:val="18"/>
          <w:szCs w:val="18"/>
        </w:rPr>
      </w:pPr>
      <w:r w:rsidRPr="009E6503">
        <w:rPr>
          <w:rStyle w:val="Odwoanieprzypisudolnego"/>
          <w:sz w:val="18"/>
          <w:szCs w:val="18"/>
        </w:rPr>
        <w:footnoteRef/>
      </w:r>
      <w:r w:rsidRPr="009E6503">
        <w:rPr>
          <w:sz w:val="18"/>
          <w:szCs w:val="18"/>
        </w:rPr>
        <w:t xml:space="preserve"> „Rynek pracy, edukacja, kompetencje. Aktualne trendy i wyniki badań. Styczeń 2020” – raport monitoringowy PARP</w:t>
      </w:r>
    </w:p>
  </w:footnote>
  <w:footnote w:id="88">
    <w:p w14:paraId="5B871865" w14:textId="0CB8E6D0" w:rsidR="00D22FE8" w:rsidRDefault="00D22FE8" w:rsidP="009E6503">
      <w:pPr>
        <w:pStyle w:val="Tekstprzypisudolnego"/>
        <w:tabs>
          <w:tab w:val="left" w:pos="142"/>
        </w:tabs>
        <w:ind w:left="142" w:hanging="142"/>
        <w:jc w:val="both"/>
      </w:pPr>
      <w:r w:rsidRPr="009E6503">
        <w:rPr>
          <w:rStyle w:val="Odwoanieprzypisudolnego"/>
          <w:sz w:val="18"/>
          <w:szCs w:val="18"/>
        </w:rPr>
        <w:footnoteRef/>
      </w:r>
      <w:r w:rsidRPr="009E6503">
        <w:rPr>
          <w:sz w:val="18"/>
          <w:szCs w:val="18"/>
        </w:rPr>
        <w:t xml:space="preserve"> </w:t>
      </w:r>
      <w:hyperlink r:id="rId19" w:history="1">
        <w:r w:rsidRPr="009E6503">
          <w:rPr>
            <w:rStyle w:val="Hipercze"/>
            <w:sz w:val="18"/>
            <w:szCs w:val="18"/>
          </w:rPr>
          <w:t>https://perspektywy.pl/portal/index.php?option=com_content&amp;view=article&amp;id=3363:top-6-zawodow-przyszlosci-prognoza-na-najblizsze-12-miesiecy&amp;catid=21&amp;Itemid=119</w:t>
        </w:r>
      </w:hyperlink>
      <w:r w:rsidRPr="009E6503">
        <w:rPr>
          <w:sz w:val="18"/>
          <w:szCs w:val="18"/>
        </w:rPr>
        <w:t xml:space="preserve"> – dostęp 3 marca 2020 r.</w:t>
      </w:r>
    </w:p>
  </w:footnote>
  <w:footnote w:id="89">
    <w:p w14:paraId="68BFC829" w14:textId="77777777" w:rsidR="00D22FE8" w:rsidRPr="009E6503" w:rsidRDefault="00D22FE8" w:rsidP="00930DFC">
      <w:pPr>
        <w:pStyle w:val="Tekstprzypisudolnego"/>
        <w:jc w:val="both"/>
        <w:rPr>
          <w:sz w:val="18"/>
          <w:szCs w:val="18"/>
        </w:rPr>
      </w:pPr>
      <w:r w:rsidRPr="009E6503">
        <w:rPr>
          <w:rStyle w:val="Odwoanieprzypisudolnego"/>
          <w:sz w:val="18"/>
          <w:szCs w:val="18"/>
        </w:rPr>
        <w:footnoteRef/>
      </w:r>
      <w:r w:rsidRPr="009E6503">
        <w:rPr>
          <w:sz w:val="18"/>
          <w:szCs w:val="18"/>
        </w:rPr>
        <w:t xml:space="preserve"> Przedmioty STEM – nauki przyrodnicze, technologia, inżynieria i matematyka.</w:t>
      </w:r>
    </w:p>
  </w:footnote>
  <w:footnote w:id="90">
    <w:p w14:paraId="206EB532" w14:textId="77777777" w:rsidR="00D22FE8" w:rsidRPr="009E6503" w:rsidRDefault="00D22FE8" w:rsidP="00930DFC">
      <w:pPr>
        <w:pStyle w:val="Tekstprzypisudolnego"/>
        <w:jc w:val="both"/>
        <w:rPr>
          <w:sz w:val="18"/>
          <w:szCs w:val="18"/>
        </w:rPr>
      </w:pPr>
      <w:r w:rsidRPr="009E6503">
        <w:rPr>
          <w:rStyle w:val="Odwoanieprzypisudolnego"/>
          <w:sz w:val="18"/>
          <w:szCs w:val="18"/>
        </w:rPr>
        <w:footnoteRef/>
      </w:r>
      <w:r w:rsidRPr="009E6503">
        <w:rPr>
          <w:sz w:val="18"/>
          <w:szCs w:val="18"/>
        </w:rPr>
        <w:t xml:space="preserve"> Oddział dwujęzyczny to oddział szkolny, w którym nauczanie jest prowadzone w dwóch językach: polskim oraz obcym nowożytnym będącym drugim językiem nauczania, przy czym prowadzone w dwóch językach są co najmniej dwa zajęcia edukacyjne, z wyjątkiem zajęć obejmujących język polski, część historii dotyczącą historii Polski i część geografii dotyczącą geografii Polski, w tym co najmniej jedne zajęcia edukacyjne wybrane spośród zajęć obejmujących: biologię, chemię, fizykę, część geografii odnoszącą się do geografii ogólnej, część historii odnoszącą się do historii powszechnej lub matematykę (wg art. 4 pkt 4 ustawy z dnia 14 grudnia 2016 r. Prawo oświatowe).</w:t>
      </w:r>
    </w:p>
  </w:footnote>
  <w:footnote w:id="91">
    <w:p w14:paraId="522A1302" w14:textId="77777777" w:rsidR="00D22FE8" w:rsidRPr="009E6503" w:rsidRDefault="00D22FE8" w:rsidP="00930DFC">
      <w:pPr>
        <w:pStyle w:val="Tekstprzypisudolnego"/>
        <w:jc w:val="both"/>
        <w:rPr>
          <w:sz w:val="18"/>
          <w:szCs w:val="18"/>
        </w:rPr>
      </w:pPr>
      <w:r w:rsidRPr="009E6503">
        <w:rPr>
          <w:rStyle w:val="Odwoanieprzypisudolnego"/>
          <w:sz w:val="18"/>
          <w:szCs w:val="18"/>
        </w:rPr>
        <w:footnoteRef/>
      </w:r>
      <w:r w:rsidRPr="009E6503">
        <w:rPr>
          <w:sz w:val="18"/>
          <w:szCs w:val="18"/>
        </w:rPr>
        <w:t xml:space="preserve"> Dane na temat uczestnictwa uczniów w zajęciach STEM, językowych i z zakresu kompetencji miękkich dotyczą wyłącznie szkół prowadzonych przez gminy.</w:t>
      </w:r>
    </w:p>
  </w:footnote>
  <w:footnote w:id="92">
    <w:p w14:paraId="354CB271" w14:textId="745FCB6A" w:rsidR="00D22FE8" w:rsidRPr="009E6503" w:rsidRDefault="00D22FE8" w:rsidP="009D10E2">
      <w:pPr>
        <w:pStyle w:val="Tekstprzypisudolnego"/>
        <w:rPr>
          <w:sz w:val="18"/>
          <w:szCs w:val="18"/>
          <w:lang w:val="en-US"/>
        </w:rPr>
      </w:pPr>
      <w:r w:rsidRPr="009E6503">
        <w:rPr>
          <w:rStyle w:val="Odwoanieprzypisudolnego"/>
          <w:sz w:val="18"/>
          <w:szCs w:val="18"/>
        </w:rPr>
        <w:footnoteRef/>
      </w:r>
      <w:r w:rsidRPr="009E6503">
        <w:rPr>
          <w:sz w:val="18"/>
          <w:szCs w:val="18"/>
          <w:lang w:val="en-US"/>
        </w:rPr>
        <w:t xml:space="preserve"> Miejski Program Rewitalizacji Olsztyna 2023</w:t>
      </w:r>
    </w:p>
  </w:footnote>
  <w:footnote w:id="93">
    <w:p w14:paraId="5A6665ED" w14:textId="1EFEB838" w:rsidR="00D22FE8" w:rsidRPr="009E6503" w:rsidRDefault="00D22FE8" w:rsidP="009D10E2">
      <w:pPr>
        <w:pStyle w:val="Tekstprzypisudolnego"/>
        <w:rPr>
          <w:sz w:val="18"/>
          <w:szCs w:val="18"/>
          <w:lang w:val="en-US"/>
        </w:rPr>
      </w:pPr>
      <w:r w:rsidRPr="009E6503">
        <w:rPr>
          <w:rStyle w:val="Odwoanieprzypisudolnego"/>
          <w:sz w:val="18"/>
          <w:szCs w:val="18"/>
        </w:rPr>
        <w:footnoteRef/>
      </w:r>
      <w:r w:rsidRPr="009E6503">
        <w:rPr>
          <w:sz w:val="18"/>
          <w:szCs w:val="18"/>
          <w:lang w:val="en-US"/>
        </w:rPr>
        <w:t xml:space="preserve"> https://www.gov.pl/web/uw-warminsko-mazurski/wykaz-szpitali-wpisanych-do-rejestru-wojewody-warminsko-mazurskieg</w:t>
      </w:r>
      <w:r>
        <w:rPr>
          <w:sz w:val="18"/>
          <w:szCs w:val="18"/>
          <w:lang w:val="en-US"/>
        </w:rPr>
        <w:t>o</w:t>
      </w:r>
    </w:p>
  </w:footnote>
  <w:footnote w:id="94">
    <w:p w14:paraId="0EBAB953" w14:textId="0C71A040" w:rsidR="00D22FE8" w:rsidRPr="009E6503" w:rsidRDefault="00D22FE8" w:rsidP="00F008F3">
      <w:pPr>
        <w:pStyle w:val="Tekstprzypisudolnego"/>
        <w:jc w:val="both"/>
        <w:rPr>
          <w:i/>
        </w:rPr>
      </w:pPr>
      <w:r w:rsidRPr="009E6503">
        <w:rPr>
          <w:rStyle w:val="Odwoanieprzypisudolnego"/>
          <w:i/>
        </w:rPr>
        <w:footnoteRef/>
      </w:r>
      <w:r w:rsidRPr="009E6503">
        <w:rPr>
          <w:i/>
        </w:rPr>
        <w:t xml:space="preserve"> Na podstawie wykazu świadczeniodawców zakwalifikowanych do poszczególnych poziomów podstawowego szpitalnego zabezpieczenia świadczeń opieki zdrowotnej (dane NFZ Oddziały Wojewódzkie województw: warmińsko-mazurskiego, świętokrzyskiego, podlaskiego, podkarpackiego, lubelskiego); dostęp: 11-09-2020 r.</w:t>
      </w:r>
    </w:p>
  </w:footnote>
  <w:footnote w:id="95">
    <w:p w14:paraId="42AD886F" w14:textId="0F5CBDC4" w:rsidR="00D22FE8" w:rsidRPr="009E6503" w:rsidRDefault="00D22FE8" w:rsidP="000162AF">
      <w:pPr>
        <w:pStyle w:val="Tekstprzypisudolnego"/>
        <w:rPr>
          <w:i/>
          <w:color w:val="FF0000"/>
          <w:sz w:val="18"/>
          <w:szCs w:val="18"/>
        </w:rPr>
      </w:pPr>
      <w:r w:rsidRPr="009E6503">
        <w:rPr>
          <w:rStyle w:val="Odwoanieprzypisudolnego"/>
          <w:sz w:val="18"/>
          <w:szCs w:val="18"/>
        </w:rPr>
        <w:footnoteRef/>
      </w:r>
      <w:r w:rsidRPr="009E6503">
        <w:rPr>
          <w:sz w:val="18"/>
          <w:szCs w:val="18"/>
        </w:rPr>
        <w:t xml:space="preserve"> Na podstawie danych Szkoły Zdrowia Publicznego UWM w Olsztynie </w:t>
      </w:r>
    </w:p>
  </w:footnote>
  <w:footnote w:id="96">
    <w:p w14:paraId="1657E4EA" w14:textId="77777777" w:rsidR="00D22FE8" w:rsidRPr="009E6503" w:rsidRDefault="00D22FE8" w:rsidP="000162AF">
      <w:pPr>
        <w:pStyle w:val="Tekstprzypisudolnego"/>
        <w:rPr>
          <w:sz w:val="18"/>
          <w:szCs w:val="18"/>
        </w:rPr>
      </w:pPr>
      <w:r w:rsidRPr="009E6503">
        <w:rPr>
          <w:rStyle w:val="Odwoanieprzypisudolnego"/>
          <w:sz w:val="18"/>
          <w:szCs w:val="18"/>
        </w:rPr>
        <w:footnoteRef/>
      </w:r>
      <w:r w:rsidRPr="009E6503">
        <w:rPr>
          <w:sz w:val="18"/>
          <w:szCs w:val="18"/>
        </w:rPr>
        <w:t xml:space="preserve"> Dane pozyskane ze Szkoły Policealnej im. prof. Zbigniewa Religi w Olsztynie</w:t>
      </w:r>
    </w:p>
  </w:footnote>
  <w:footnote w:id="97">
    <w:p w14:paraId="4514C670" w14:textId="77777777" w:rsidR="00D22FE8" w:rsidRPr="009E6503" w:rsidRDefault="00D22FE8" w:rsidP="00162434">
      <w:pPr>
        <w:pStyle w:val="Tekstprzypisudolnego"/>
        <w:rPr>
          <w:sz w:val="18"/>
          <w:szCs w:val="18"/>
        </w:rPr>
      </w:pPr>
      <w:r w:rsidRPr="009E6503">
        <w:rPr>
          <w:rStyle w:val="Odwoanieprzypisudolnego"/>
          <w:sz w:val="18"/>
          <w:szCs w:val="18"/>
        </w:rPr>
        <w:footnoteRef/>
      </w:r>
      <w:r w:rsidRPr="009E6503">
        <w:rPr>
          <w:sz w:val="18"/>
          <w:szCs w:val="18"/>
        </w:rPr>
        <w:t xml:space="preserve"> SUiKZP; Załącznik nr 3 do Uchwały Nr XXXVII/660/13 Rady Miasta Olsztyna z dnia 15 maja 2013 r.</w:t>
      </w:r>
    </w:p>
  </w:footnote>
  <w:footnote w:id="98">
    <w:p w14:paraId="0E892114" w14:textId="77777777" w:rsidR="00D22FE8" w:rsidRPr="009E6503" w:rsidRDefault="00D22FE8" w:rsidP="00C20E21">
      <w:pPr>
        <w:pStyle w:val="Tekstprzypisudolnego"/>
        <w:rPr>
          <w:sz w:val="18"/>
          <w:szCs w:val="18"/>
        </w:rPr>
      </w:pPr>
      <w:r w:rsidRPr="009E6503">
        <w:rPr>
          <w:rStyle w:val="Odwoanieprzypisudolnego"/>
          <w:sz w:val="18"/>
          <w:szCs w:val="18"/>
        </w:rPr>
        <w:footnoteRef/>
      </w:r>
      <w:r w:rsidRPr="009E6503">
        <w:rPr>
          <w:sz w:val="18"/>
          <w:szCs w:val="18"/>
        </w:rPr>
        <w:t xml:space="preserve"> Gminny Program Opieki nad Zabytkami Miasta Olsztyna na lata 2020-2023; str. 40</w:t>
      </w:r>
    </w:p>
  </w:footnote>
  <w:footnote w:id="99">
    <w:p w14:paraId="3DC6C82B" w14:textId="77777777" w:rsidR="00D22FE8" w:rsidRPr="009E6503" w:rsidRDefault="00D22FE8" w:rsidP="00C20E21">
      <w:pPr>
        <w:pStyle w:val="Tekstprzypisudolnego"/>
        <w:rPr>
          <w:sz w:val="18"/>
          <w:szCs w:val="18"/>
        </w:rPr>
      </w:pPr>
      <w:r w:rsidRPr="009E6503">
        <w:rPr>
          <w:rStyle w:val="Odwoanieprzypisudolnego"/>
          <w:sz w:val="18"/>
          <w:szCs w:val="18"/>
        </w:rPr>
        <w:footnoteRef/>
      </w:r>
      <w:r w:rsidRPr="009E6503">
        <w:rPr>
          <w:sz w:val="18"/>
          <w:szCs w:val="18"/>
        </w:rPr>
        <w:t xml:space="preserve"> SUiKZP; Uchwała Nr XXXVII/660/13 Rady Miasta Olsztyna z dnia 15 maja 2013 r.</w:t>
      </w:r>
    </w:p>
  </w:footnote>
  <w:footnote w:id="100">
    <w:p w14:paraId="0DF9F38A" w14:textId="77777777" w:rsidR="00D22FE8" w:rsidRPr="009E6503" w:rsidRDefault="00D22FE8" w:rsidP="00C20E21">
      <w:pPr>
        <w:pStyle w:val="Tekstprzypisudolnego"/>
        <w:rPr>
          <w:sz w:val="18"/>
          <w:szCs w:val="18"/>
        </w:rPr>
      </w:pPr>
      <w:r w:rsidRPr="009E6503">
        <w:rPr>
          <w:rStyle w:val="Odwoanieprzypisudolnego"/>
          <w:sz w:val="18"/>
          <w:szCs w:val="18"/>
        </w:rPr>
        <w:footnoteRef/>
      </w:r>
      <w:r w:rsidRPr="009E6503">
        <w:rPr>
          <w:sz w:val="18"/>
          <w:szCs w:val="18"/>
        </w:rPr>
        <w:t xml:space="preserve"> Tamże, str. 532</w:t>
      </w:r>
    </w:p>
  </w:footnote>
  <w:footnote w:id="101">
    <w:p w14:paraId="4900A769" w14:textId="77777777" w:rsidR="00D22FE8" w:rsidRDefault="00D22FE8" w:rsidP="00C20E21">
      <w:pPr>
        <w:pStyle w:val="Tekstprzypisudolnego"/>
      </w:pPr>
      <w:r w:rsidRPr="009E6503">
        <w:rPr>
          <w:rStyle w:val="Odwoanieprzypisudolnego"/>
          <w:sz w:val="18"/>
          <w:szCs w:val="18"/>
        </w:rPr>
        <w:footnoteRef/>
      </w:r>
      <w:r w:rsidRPr="009E6503">
        <w:rPr>
          <w:sz w:val="18"/>
          <w:szCs w:val="18"/>
        </w:rPr>
        <w:t xml:space="preserve"> Tamże, str. 537</w:t>
      </w:r>
    </w:p>
  </w:footnote>
  <w:footnote w:id="102">
    <w:p w14:paraId="3E5B100E" w14:textId="77777777" w:rsidR="00D22FE8" w:rsidRPr="009E6503" w:rsidRDefault="00D22FE8" w:rsidP="0006657C">
      <w:pPr>
        <w:autoSpaceDE w:val="0"/>
        <w:autoSpaceDN w:val="0"/>
        <w:adjustRightInd w:val="0"/>
        <w:spacing w:after="0" w:line="240" w:lineRule="auto"/>
        <w:jc w:val="both"/>
        <w:rPr>
          <w:rFonts w:ascii="Calibri" w:hAnsi="Calibri" w:cs="Calibri"/>
          <w:sz w:val="18"/>
          <w:szCs w:val="18"/>
        </w:rPr>
      </w:pPr>
      <w:r w:rsidRPr="009E6503">
        <w:rPr>
          <w:rStyle w:val="Odwoanieprzypisudolnego"/>
          <w:sz w:val="18"/>
          <w:szCs w:val="18"/>
        </w:rPr>
        <w:footnoteRef/>
      </w:r>
      <w:r w:rsidRPr="009E6503">
        <w:rPr>
          <w:sz w:val="18"/>
          <w:szCs w:val="18"/>
        </w:rPr>
        <w:t xml:space="preserve"> </w:t>
      </w:r>
      <w:r w:rsidRPr="009E6503">
        <w:rPr>
          <w:rFonts w:ascii="Calibri" w:hAnsi="Calibri" w:cs="Calibri"/>
          <w:sz w:val="18"/>
          <w:szCs w:val="18"/>
        </w:rPr>
        <w:t>Pewną jego ułomnością w tym przypadku jest nierozróżnianie uczestników, stanowiących mieszkańców danej gminy czy miasta od uczestników, którzy są turystami. Co ma znaczenie gdy badane są gminy turystyczne.</w:t>
      </w:r>
    </w:p>
  </w:footnote>
  <w:footnote w:id="103">
    <w:p w14:paraId="3FF4708F" w14:textId="4E1F0D7C" w:rsidR="00D22FE8" w:rsidRPr="009E6503" w:rsidRDefault="00D22FE8" w:rsidP="00DC641C">
      <w:pPr>
        <w:autoSpaceDE w:val="0"/>
        <w:autoSpaceDN w:val="0"/>
        <w:adjustRightInd w:val="0"/>
        <w:spacing w:after="0" w:line="240" w:lineRule="auto"/>
        <w:jc w:val="both"/>
        <w:rPr>
          <w:rFonts w:ascii="Calibri" w:hAnsi="Calibri" w:cs="Calibri"/>
          <w:sz w:val="18"/>
          <w:szCs w:val="18"/>
        </w:rPr>
      </w:pPr>
      <w:r w:rsidRPr="009E6503">
        <w:rPr>
          <w:rStyle w:val="Odwoanieprzypisudolnego"/>
          <w:sz w:val="18"/>
          <w:szCs w:val="18"/>
        </w:rPr>
        <w:footnoteRef/>
      </w:r>
      <w:r w:rsidRPr="009E6503">
        <w:rPr>
          <w:sz w:val="18"/>
          <w:szCs w:val="18"/>
        </w:rPr>
        <w:t xml:space="preserve"> </w:t>
      </w:r>
      <w:r w:rsidRPr="009E6503">
        <w:rPr>
          <w:rFonts w:ascii="Calibri" w:hAnsi="Calibri" w:cs="Calibri"/>
          <w:sz w:val="18"/>
          <w:szCs w:val="18"/>
        </w:rPr>
        <w:t>Hala Widowiskowo-Sportowa Urania, stadion piłkarski i boiska miejskie, sztuczne lodowiska (w sezonie zimowym), tor motocrossowy, trzy pływalnie miejskie (w tym największe Wodne Centrum Rekreacyjno-Sportowe Aquasfera), Centrum Rekreacyjno-Sportowe Ukiel (w tym Centrum Żeglarstwa Wodnego i Lodowego i Olsztyńskie Centrum Kajakarstwa, boiska i hala do siatkówki plażowej), skateparki i pumptrack, boiska, hale i sale sportowe.</w:t>
      </w:r>
    </w:p>
  </w:footnote>
  <w:footnote w:id="104">
    <w:p w14:paraId="1F8EFBE9" w14:textId="54B3D4E1" w:rsidR="00D22FE8" w:rsidRPr="009E6503" w:rsidRDefault="00D22FE8" w:rsidP="00DC641C">
      <w:pPr>
        <w:autoSpaceDE w:val="0"/>
        <w:autoSpaceDN w:val="0"/>
        <w:adjustRightInd w:val="0"/>
        <w:spacing w:after="0" w:line="240" w:lineRule="auto"/>
        <w:jc w:val="both"/>
        <w:rPr>
          <w:rFonts w:ascii="Calibri" w:hAnsi="Calibri" w:cs="Calibri"/>
          <w:sz w:val="18"/>
          <w:szCs w:val="18"/>
        </w:rPr>
      </w:pPr>
      <w:r w:rsidRPr="009E6503">
        <w:rPr>
          <w:rStyle w:val="Odwoanieprzypisudolnego"/>
          <w:sz w:val="18"/>
          <w:szCs w:val="18"/>
        </w:rPr>
        <w:footnoteRef/>
      </w:r>
      <w:r w:rsidRPr="009E6503">
        <w:rPr>
          <w:sz w:val="18"/>
          <w:szCs w:val="18"/>
        </w:rPr>
        <w:t xml:space="preserve"> </w:t>
      </w:r>
      <w:r w:rsidRPr="009E6503">
        <w:rPr>
          <w:rFonts w:ascii="Calibri" w:hAnsi="Calibri" w:cs="Calibri"/>
          <w:sz w:val="18"/>
          <w:szCs w:val="18"/>
        </w:rPr>
        <w:t>Zespół obiektów sportowych Uniwersytetu Warmińsko-Mazurskiego oraz funkcjonujące pod nazwą Centrum Zdrowia i Sportu obiekty sportowe należące do Olsztyńskiej Szkoły Wyższej.</w:t>
      </w:r>
    </w:p>
  </w:footnote>
  <w:footnote w:id="105">
    <w:p w14:paraId="4B62EAF1" w14:textId="6F19FA12" w:rsidR="00D22FE8" w:rsidRPr="009E6503" w:rsidRDefault="00D22FE8" w:rsidP="00DC641C">
      <w:pPr>
        <w:pStyle w:val="Tekstprzypisudolnego"/>
        <w:jc w:val="both"/>
        <w:rPr>
          <w:sz w:val="18"/>
          <w:szCs w:val="18"/>
        </w:rPr>
      </w:pPr>
      <w:r w:rsidRPr="009E6503">
        <w:rPr>
          <w:rStyle w:val="Odwoanieprzypisudolnego"/>
          <w:sz w:val="18"/>
          <w:szCs w:val="18"/>
        </w:rPr>
        <w:footnoteRef/>
      </w:r>
      <w:r w:rsidRPr="009E6503">
        <w:rPr>
          <w:sz w:val="18"/>
          <w:szCs w:val="18"/>
        </w:rPr>
        <w:t xml:space="preserve"> K</w:t>
      </w:r>
      <w:r w:rsidRPr="009E6503">
        <w:rPr>
          <w:rFonts w:ascii="Calibri" w:hAnsi="Calibri" w:cs="Calibri"/>
          <w:sz w:val="18"/>
          <w:szCs w:val="18"/>
        </w:rPr>
        <w:t>orty tenisowe, strzelnice, siłownie, kluby fitness, szkoły tańca i in.</w:t>
      </w:r>
    </w:p>
  </w:footnote>
  <w:footnote w:id="106">
    <w:p w14:paraId="7B9052A4" w14:textId="12A6DE44" w:rsidR="00D22FE8" w:rsidRPr="009E6503" w:rsidRDefault="00D22FE8">
      <w:pPr>
        <w:pStyle w:val="Tekstprzypisudolnego"/>
        <w:rPr>
          <w:sz w:val="18"/>
          <w:szCs w:val="18"/>
        </w:rPr>
      </w:pPr>
      <w:r w:rsidRPr="009E6503">
        <w:rPr>
          <w:rStyle w:val="Odwoanieprzypisudolnego"/>
          <w:sz w:val="18"/>
          <w:szCs w:val="18"/>
        </w:rPr>
        <w:footnoteRef/>
      </w:r>
      <w:r w:rsidRPr="009E6503">
        <w:rPr>
          <w:sz w:val="18"/>
          <w:szCs w:val="18"/>
        </w:rPr>
        <w:t xml:space="preserve"> bez obiektów przyszkolnych</w:t>
      </w:r>
    </w:p>
  </w:footnote>
  <w:footnote w:id="107">
    <w:p w14:paraId="23303AB7" w14:textId="29B28D7C" w:rsidR="00D22FE8" w:rsidRPr="009E6503" w:rsidRDefault="00D22FE8">
      <w:pPr>
        <w:pStyle w:val="Tekstprzypisudolnego"/>
        <w:rPr>
          <w:sz w:val="18"/>
          <w:szCs w:val="18"/>
        </w:rPr>
      </w:pPr>
      <w:r w:rsidRPr="009E6503">
        <w:rPr>
          <w:rStyle w:val="Odwoanieprzypisudolnego"/>
          <w:sz w:val="18"/>
          <w:szCs w:val="18"/>
        </w:rPr>
        <w:footnoteRef/>
      </w:r>
      <w:r w:rsidRPr="009E6503">
        <w:rPr>
          <w:sz w:val="18"/>
          <w:szCs w:val="18"/>
        </w:rPr>
        <w:t xml:space="preserve"> dane GUS, zbierane co 4 lata</w:t>
      </w:r>
    </w:p>
  </w:footnote>
  <w:footnote w:id="108">
    <w:p w14:paraId="385A8DA9" w14:textId="109FC91B" w:rsidR="00D22FE8" w:rsidRPr="009E6503" w:rsidRDefault="00D22FE8">
      <w:pPr>
        <w:pStyle w:val="Tekstprzypisudolnego"/>
        <w:rPr>
          <w:sz w:val="18"/>
          <w:szCs w:val="18"/>
        </w:rPr>
      </w:pPr>
      <w:r w:rsidRPr="009E6503">
        <w:rPr>
          <w:rStyle w:val="Odwoanieprzypisudolnego"/>
          <w:sz w:val="18"/>
          <w:szCs w:val="18"/>
        </w:rPr>
        <w:footnoteRef/>
      </w:r>
      <w:r w:rsidRPr="009E6503">
        <w:rPr>
          <w:sz w:val="18"/>
          <w:szCs w:val="18"/>
        </w:rPr>
        <w:t xml:space="preserve"> dane obejmują kluby sportowe łącznie z klubami wyznaniowymi i UKS</w:t>
      </w:r>
    </w:p>
  </w:footnote>
  <w:footnote w:id="109">
    <w:p w14:paraId="1D36F313" w14:textId="2140EEDC" w:rsidR="00D22FE8" w:rsidRPr="009E6503" w:rsidRDefault="00D22FE8">
      <w:pPr>
        <w:pStyle w:val="Tekstprzypisudolnego"/>
        <w:rPr>
          <w:sz w:val="18"/>
          <w:szCs w:val="18"/>
        </w:rPr>
      </w:pPr>
      <w:r w:rsidRPr="009E6503">
        <w:rPr>
          <w:rStyle w:val="Odwoanieprzypisudolnego"/>
          <w:sz w:val="18"/>
          <w:szCs w:val="18"/>
        </w:rPr>
        <w:footnoteRef/>
      </w:r>
      <w:r w:rsidRPr="009E6503">
        <w:rPr>
          <w:sz w:val="18"/>
          <w:szCs w:val="18"/>
        </w:rPr>
        <w:t xml:space="preserve"> dane GUS, zbierane co 2 lata</w:t>
      </w:r>
    </w:p>
  </w:footnote>
  <w:footnote w:id="110">
    <w:p w14:paraId="69A548C1" w14:textId="3F12C9C4" w:rsidR="00D22FE8" w:rsidRPr="009E6503" w:rsidRDefault="00D22FE8">
      <w:pPr>
        <w:pStyle w:val="Tekstprzypisudolnego"/>
        <w:rPr>
          <w:sz w:val="18"/>
          <w:szCs w:val="18"/>
        </w:rPr>
      </w:pPr>
      <w:r w:rsidRPr="009E6503">
        <w:rPr>
          <w:rStyle w:val="Odwoanieprzypisudolnego"/>
          <w:sz w:val="18"/>
          <w:szCs w:val="18"/>
        </w:rPr>
        <w:footnoteRef/>
      </w:r>
      <w:r w:rsidRPr="009E6503">
        <w:rPr>
          <w:sz w:val="18"/>
          <w:szCs w:val="18"/>
        </w:rPr>
        <w:t xml:space="preserve"> dane GUS, zbierane co 2 lata</w:t>
      </w:r>
    </w:p>
  </w:footnote>
  <w:footnote w:id="111">
    <w:p w14:paraId="76F790D6" w14:textId="2BC8F3A3" w:rsidR="00D22FE8" w:rsidRPr="009E6503" w:rsidRDefault="00D22FE8">
      <w:pPr>
        <w:pStyle w:val="Tekstprzypisudolnego"/>
        <w:rPr>
          <w:sz w:val="18"/>
          <w:szCs w:val="18"/>
        </w:rPr>
      </w:pPr>
      <w:r w:rsidRPr="009E6503">
        <w:rPr>
          <w:rStyle w:val="Odwoanieprzypisudolnego"/>
          <w:sz w:val="18"/>
          <w:szCs w:val="18"/>
        </w:rPr>
        <w:footnoteRef/>
      </w:r>
      <w:r w:rsidRPr="009E6503">
        <w:rPr>
          <w:sz w:val="18"/>
          <w:szCs w:val="18"/>
        </w:rPr>
        <w:t xml:space="preserve"> dane GUS; grupa: organizacja imprez masowych</w:t>
      </w:r>
    </w:p>
  </w:footnote>
  <w:footnote w:id="112">
    <w:p w14:paraId="049E4B15" w14:textId="12E59206" w:rsidR="00D22FE8" w:rsidRPr="009E6503" w:rsidRDefault="00D22FE8" w:rsidP="00F25738">
      <w:pPr>
        <w:pStyle w:val="Tekstprzypisudolnego"/>
        <w:rPr>
          <w:sz w:val="18"/>
          <w:szCs w:val="18"/>
        </w:rPr>
      </w:pPr>
      <w:r w:rsidRPr="009E6503">
        <w:rPr>
          <w:rStyle w:val="Odwoanieprzypisudolnego"/>
          <w:sz w:val="18"/>
          <w:szCs w:val="18"/>
        </w:rPr>
        <w:footnoteRef/>
      </w:r>
      <w:r w:rsidRPr="009E6503">
        <w:rPr>
          <w:sz w:val="18"/>
          <w:szCs w:val="18"/>
        </w:rPr>
        <w:t xml:space="preserve"> Plan transportowy dla Programu Operacyjnego Polska Wschodnia 2014-2020, Ministerstwo Rozwoju, Warszawa 2016, </w:t>
      </w:r>
      <w:r>
        <w:rPr>
          <w:sz w:val="18"/>
          <w:szCs w:val="18"/>
        </w:rPr>
        <w:br/>
      </w:r>
      <w:r w:rsidRPr="009E6503">
        <w:rPr>
          <w:sz w:val="18"/>
          <w:szCs w:val="18"/>
        </w:rPr>
        <w:t>s. 7</w:t>
      </w:r>
    </w:p>
  </w:footnote>
  <w:footnote w:id="113">
    <w:p w14:paraId="09688B73" w14:textId="77777777" w:rsidR="00D22FE8" w:rsidRPr="009E6503" w:rsidRDefault="00D22FE8" w:rsidP="00C20E21">
      <w:pPr>
        <w:pStyle w:val="Tekstprzypisudolnego"/>
        <w:rPr>
          <w:sz w:val="18"/>
          <w:szCs w:val="18"/>
        </w:rPr>
      </w:pPr>
      <w:r w:rsidRPr="009E6503">
        <w:rPr>
          <w:rStyle w:val="Odwoanieprzypisudolnego"/>
          <w:sz w:val="18"/>
          <w:szCs w:val="18"/>
        </w:rPr>
        <w:footnoteRef/>
      </w:r>
      <w:r w:rsidRPr="009E6503">
        <w:rPr>
          <w:sz w:val="18"/>
          <w:szCs w:val="18"/>
        </w:rPr>
        <w:t xml:space="preserve"> Studium rozwoju systemów komunikacyjnych Miasta Olsztyna 2017</w:t>
      </w:r>
    </w:p>
  </w:footnote>
  <w:footnote w:id="114">
    <w:p w14:paraId="7054FC0F" w14:textId="77777777" w:rsidR="00D22FE8" w:rsidRPr="009E6503" w:rsidRDefault="00D22FE8" w:rsidP="00C20E21">
      <w:pPr>
        <w:pStyle w:val="Tekstprzypisudolnego"/>
        <w:rPr>
          <w:sz w:val="18"/>
          <w:szCs w:val="18"/>
        </w:rPr>
      </w:pPr>
      <w:r w:rsidRPr="009E6503">
        <w:rPr>
          <w:rStyle w:val="Odwoanieprzypisudolnego"/>
          <w:sz w:val="18"/>
          <w:szCs w:val="18"/>
        </w:rPr>
        <w:footnoteRef/>
      </w:r>
      <w:r w:rsidRPr="009E6503">
        <w:rPr>
          <w:sz w:val="18"/>
          <w:szCs w:val="18"/>
        </w:rPr>
        <w:t xml:space="preserve"> Studium rozwoju systemów komunikacyjnych Miasta Olsztyna 2017</w:t>
      </w:r>
    </w:p>
  </w:footnote>
  <w:footnote w:id="115">
    <w:p w14:paraId="47B3164E" w14:textId="77777777" w:rsidR="00D22FE8" w:rsidRPr="009E6503" w:rsidRDefault="00D22FE8" w:rsidP="00F25738">
      <w:pPr>
        <w:pStyle w:val="Tekstprzypisudolnego"/>
        <w:rPr>
          <w:sz w:val="18"/>
          <w:szCs w:val="18"/>
        </w:rPr>
      </w:pPr>
      <w:r w:rsidRPr="009E6503">
        <w:rPr>
          <w:rStyle w:val="Odwoanieprzypisudolnego"/>
          <w:sz w:val="18"/>
          <w:szCs w:val="18"/>
        </w:rPr>
        <w:footnoteRef/>
      </w:r>
      <w:r w:rsidRPr="009E6503">
        <w:rPr>
          <w:sz w:val="18"/>
          <w:szCs w:val="18"/>
        </w:rPr>
        <w:t xml:space="preserve"> Stan na czerwiec 2020 r.</w:t>
      </w:r>
    </w:p>
  </w:footnote>
  <w:footnote w:id="116">
    <w:p w14:paraId="3C6B9896" w14:textId="77777777" w:rsidR="00D22FE8" w:rsidRPr="009E6503" w:rsidRDefault="00D22FE8" w:rsidP="00F25738">
      <w:pPr>
        <w:pStyle w:val="Tekstprzypisudolnego"/>
        <w:rPr>
          <w:sz w:val="18"/>
          <w:szCs w:val="18"/>
        </w:rPr>
      </w:pPr>
      <w:r w:rsidRPr="009E6503">
        <w:rPr>
          <w:rStyle w:val="Odwoanieprzypisudolnego"/>
          <w:sz w:val="18"/>
          <w:szCs w:val="18"/>
        </w:rPr>
        <w:footnoteRef/>
      </w:r>
      <w:r w:rsidRPr="009E6503">
        <w:rPr>
          <w:sz w:val="18"/>
          <w:szCs w:val="18"/>
        </w:rPr>
        <w:t xml:space="preserve"> Dane GUS; grupa: pojazdy </w:t>
      </w:r>
    </w:p>
  </w:footnote>
  <w:footnote w:id="117">
    <w:p w14:paraId="06C97BB3" w14:textId="77777777" w:rsidR="00D22FE8" w:rsidRPr="009E6503" w:rsidRDefault="00D22FE8" w:rsidP="00F25738">
      <w:pPr>
        <w:pStyle w:val="Tekstprzypisudolnego"/>
        <w:jc w:val="both"/>
        <w:rPr>
          <w:sz w:val="18"/>
          <w:szCs w:val="18"/>
        </w:rPr>
      </w:pPr>
      <w:r w:rsidRPr="009E6503">
        <w:rPr>
          <w:rStyle w:val="Odwoanieprzypisudolnego"/>
          <w:sz w:val="18"/>
          <w:szCs w:val="18"/>
        </w:rPr>
        <w:footnoteRef/>
      </w:r>
      <w:r w:rsidRPr="009E6503">
        <w:rPr>
          <w:sz w:val="18"/>
          <w:szCs w:val="18"/>
        </w:rPr>
        <w:t xml:space="preserve"> Wszystkie dane dotyczące podziału modalnego w MOF Olsztyna pochodzą z wyników badań ankietowych podróży </w:t>
      </w:r>
      <w:r w:rsidRPr="009E6503">
        <w:rPr>
          <w:sz w:val="18"/>
          <w:szCs w:val="18"/>
        </w:rPr>
        <w:br/>
        <w:t xml:space="preserve">i zachowań komunikacyjnych mieszkańców MOF Olsztyn wykonanych przez PBS Sopot na zlecenie Gminy Olsztyn </w:t>
      </w:r>
      <w:r w:rsidRPr="009E6503">
        <w:rPr>
          <w:sz w:val="18"/>
          <w:szCs w:val="18"/>
        </w:rPr>
        <w:br/>
        <w:t>w październiku i listopadzie 2018 r. w ramach projektu SUMBA, Interreg Region Morza Bałtyckiego</w:t>
      </w:r>
    </w:p>
  </w:footnote>
  <w:footnote w:id="118">
    <w:p w14:paraId="7A9B4742" w14:textId="77777777" w:rsidR="00D22FE8" w:rsidRPr="009E6503" w:rsidRDefault="00D22FE8" w:rsidP="00F25738">
      <w:pPr>
        <w:pStyle w:val="Tekstprzypisudolnego"/>
        <w:rPr>
          <w:sz w:val="18"/>
          <w:szCs w:val="18"/>
        </w:rPr>
      </w:pPr>
      <w:r w:rsidRPr="009E6503">
        <w:rPr>
          <w:rStyle w:val="Odwoanieprzypisudolnego"/>
          <w:sz w:val="18"/>
          <w:szCs w:val="18"/>
        </w:rPr>
        <w:footnoteRef/>
      </w:r>
      <w:r w:rsidRPr="009E6503">
        <w:rPr>
          <w:sz w:val="18"/>
          <w:szCs w:val="18"/>
        </w:rPr>
        <w:t xml:space="preserve"> </w:t>
      </w:r>
      <w:hyperlink r:id="rId20" w:history="1">
        <w:r w:rsidRPr="009E6503">
          <w:rPr>
            <w:rStyle w:val="Hipercze"/>
            <w:sz w:val="18"/>
            <w:szCs w:val="18"/>
          </w:rPr>
          <w:t>https://zit.olsztyn.eu/zit/aktualnosci/article/rozwoj-drog-rowerowych-w-olsztynie-i-sasiednich-gminach-szersze-spojrzenie.html</w:t>
        </w:r>
      </w:hyperlink>
      <w:r w:rsidRPr="009E6503">
        <w:rPr>
          <w:sz w:val="18"/>
          <w:szCs w:val="18"/>
        </w:rPr>
        <w:t xml:space="preserve"> </w:t>
      </w:r>
      <w:r w:rsidRPr="009E6503">
        <w:rPr>
          <w:rFonts w:cstheme="minorHAnsi"/>
          <w:sz w:val="18"/>
          <w:szCs w:val="18"/>
        </w:rPr>
        <w:t>(załącznik nr 7)</w:t>
      </w:r>
    </w:p>
  </w:footnote>
  <w:footnote w:id="119">
    <w:p w14:paraId="3209A8E3" w14:textId="77777777" w:rsidR="00D22FE8" w:rsidRPr="009E6503" w:rsidRDefault="00D22FE8" w:rsidP="00F25738">
      <w:pPr>
        <w:pStyle w:val="Tekstprzypisudolnego"/>
        <w:rPr>
          <w:i/>
          <w:sz w:val="18"/>
          <w:szCs w:val="18"/>
        </w:rPr>
      </w:pPr>
      <w:r w:rsidRPr="009E6503">
        <w:rPr>
          <w:rStyle w:val="Odwoanieprzypisudolnego"/>
          <w:sz w:val="18"/>
          <w:szCs w:val="18"/>
        </w:rPr>
        <w:footnoteRef/>
      </w:r>
      <w:r w:rsidRPr="009E6503">
        <w:rPr>
          <w:sz w:val="18"/>
          <w:szCs w:val="18"/>
        </w:rPr>
        <w:t xml:space="preserve"> Dane dotyczące miejsc parkingowych w Olsztynie, w tym także w strefie płatnego parkowania pochodzą ze </w:t>
      </w:r>
      <w:r w:rsidRPr="009E6503">
        <w:rPr>
          <w:i/>
          <w:sz w:val="18"/>
          <w:szCs w:val="18"/>
        </w:rPr>
        <w:t>Studium rozwoju systemów komunikacyjnych Miasta Olsztyna (Refunda, wrzesień 2017 r.).</w:t>
      </w:r>
    </w:p>
  </w:footnote>
  <w:footnote w:id="120">
    <w:p w14:paraId="37A0D452" w14:textId="77777777" w:rsidR="00D22FE8" w:rsidRPr="009E6503" w:rsidRDefault="00D22FE8" w:rsidP="00F25738">
      <w:pPr>
        <w:pStyle w:val="Tekstprzypisudolnego"/>
        <w:rPr>
          <w:sz w:val="18"/>
          <w:szCs w:val="18"/>
        </w:rPr>
      </w:pPr>
      <w:r w:rsidRPr="009E6503">
        <w:rPr>
          <w:rStyle w:val="Odwoanieprzypisudolnego"/>
          <w:sz w:val="18"/>
          <w:szCs w:val="18"/>
        </w:rPr>
        <w:footnoteRef/>
      </w:r>
      <w:r w:rsidRPr="009E6503">
        <w:rPr>
          <w:sz w:val="18"/>
          <w:szCs w:val="18"/>
        </w:rPr>
        <w:t xml:space="preserve"> </w:t>
      </w:r>
      <w:r w:rsidRPr="009E6503">
        <w:rPr>
          <w:i/>
          <w:sz w:val="18"/>
          <w:szCs w:val="18"/>
        </w:rPr>
        <w:t>Raport o stanie miasta – Olsztyn 2019</w:t>
      </w:r>
      <w:r w:rsidRPr="009E6503">
        <w:rPr>
          <w:sz w:val="18"/>
          <w:szCs w:val="18"/>
        </w:rPr>
        <w:t>; oprac. Urząd Miasta Olsztyna, 2020, s. 53</w:t>
      </w:r>
    </w:p>
  </w:footnote>
  <w:footnote w:id="121">
    <w:p w14:paraId="5C6194A6" w14:textId="5CD02536" w:rsidR="00D22FE8" w:rsidRPr="009E6503" w:rsidRDefault="00D22FE8">
      <w:pPr>
        <w:pStyle w:val="Tekstprzypisudolnego"/>
        <w:rPr>
          <w:sz w:val="18"/>
          <w:szCs w:val="18"/>
        </w:rPr>
      </w:pPr>
      <w:r w:rsidRPr="009E6503">
        <w:rPr>
          <w:rStyle w:val="Odwoanieprzypisudolnego"/>
          <w:sz w:val="18"/>
          <w:szCs w:val="18"/>
        </w:rPr>
        <w:footnoteRef/>
      </w:r>
      <w:r w:rsidRPr="009E6503">
        <w:rPr>
          <w:sz w:val="18"/>
          <w:szCs w:val="18"/>
        </w:rPr>
        <w:t xml:space="preserve"> Analiza możliwości lokalizacji parkingów P+R w Olsztynie i jego obszarze funkcjonalnym (MOF Olsztyn) 2018</w:t>
      </w:r>
    </w:p>
  </w:footnote>
  <w:footnote w:id="122">
    <w:p w14:paraId="2CBDC4A4" w14:textId="77777777" w:rsidR="00D22FE8" w:rsidRPr="001A5177" w:rsidRDefault="00D22FE8" w:rsidP="00B41F45">
      <w:pPr>
        <w:pStyle w:val="Tekstprzypisudolnego"/>
        <w:rPr>
          <w:sz w:val="18"/>
          <w:szCs w:val="18"/>
        </w:rPr>
      </w:pPr>
      <w:r>
        <w:rPr>
          <w:rStyle w:val="Odwoanieprzypisudolnego"/>
        </w:rPr>
        <w:footnoteRef/>
      </w:r>
      <w:r>
        <w:t xml:space="preserve"> </w:t>
      </w:r>
      <w:r w:rsidRPr="001A5177">
        <w:rPr>
          <w:sz w:val="18"/>
          <w:szCs w:val="18"/>
        </w:rPr>
        <w:t xml:space="preserve">źródło: Ministerstwo Cyfryzacji; projekt </w:t>
      </w:r>
      <w:r w:rsidRPr="001A5177">
        <w:rPr>
          <w:i/>
          <w:iCs/>
          <w:sz w:val="18"/>
          <w:szCs w:val="18"/>
        </w:rPr>
        <w:t>Umowy partnerstwa dla realizacji polityki spójności 2021-2027 w Polsce, styczeń 2021 r.</w:t>
      </w:r>
    </w:p>
  </w:footnote>
  <w:footnote w:id="123">
    <w:p w14:paraId="072D86D2" w14:textId="77777777" w:rsidR="00D22FE8" w:rsidRPr="001A5177" w:rsidRDefault="00D22FE8" w:rsidP="00B41F45">
      <w:pPr>
        <w:pStyle w:val="Tekstprzypisudolnego"/>
        <w:rPr>
          <w:sz w:val="18"/>
          <w:szCs w:val="18"/>
        </w:rPr>
      </w:pPr>
      <w:r w:rsidRPr="001A5177">
        <w:rPr>
          <w:rStyle w:val="Odwoanieprzypisudolnego"/>
          <w:sz w:val="18"/>
          <w:szCs w:val="18"/>
        </w:rPr>
        <w:footnoteRef/>
      </w:r>
      <w:r w:rsidRPr="001A5177">
        <w:rPr>
          <w:sz w:val="18"/>
          <w:szCs w:val="18"/>
        </w:rPr>
        <w:t xml:space="preserve"> </w:t>
      </w:r>
      <w:r w:rsidRPr="001A5177">
        <w:rPr>
          <w:i/>
          <w:sz w:val="18"/>
          <w:szCs w:val="18"/>
        </w:rPr>
        <w:t>Społeczeństwo informacyjne w Polsce w 2020 r.,</w:t>
      </w:r>
      <w:r w:rsidRPr="001A5177">
        <w:rPr>
          <w:sz w:val="18"/>
          <w:szCs w:val="18"/>
        </w:rPr>
        <w:t xml:space="preserve"> GUS, Szczecin 2020</w:t>
      </w:r>
    </w:p>
  </w:footnote>
  <w:footnote w:id="124">
    <w:p w14:paraId="7899E573" w14:textId="4AF45F90" w:rsidR="00D22FE8" w:rsidRPr="001A5177" w:rsidRDefault="00D22FE8" w:rsidP="00B41F45">
      <w:pPr>
        <w:pStyle w:val="Tekstprzypisudolnego"/>
        <w:rPr>
          <w:sz w:val="18"/>
          <w:szCs w:val="18"/>
        </w:rPr>
      </w:pPr>
      <w:r w:rsidRPr="001A5177">
        <w:rPr>
          <w:rStyle w:val="Odwoanieprzypisudolnego"/>
          <w:sz w:val="18"/>
          <w:szCs w:val="18"/>
        </w:rPr>
        <w:footnoteRef/>
      </w:r>
      <w:r w:rsidRPr="001A5177">
        <w:rPr>
          <w:sz w:val="18"/>
          <w:szCs w:val="18"/>
        </w:rPr>
        <w:t xml:space="preserve"> </w:t>
      </w:r>
      <w:r>
        <w:rPr>
          <w:sz w:val="18"/>
          <w:szCs w:val="18"/>
        </w:rPr>
        <w:t>Tamże</w:t>
      </w:r>
    </w:p>
  </w:footnote>
  <w:footnote w:id="125">
    <w:p w14:paraId="430471B3" w14:textId="77777777" w:rsidR="00D22FE8" w:rsidRDefault="00D22FE8" w:rsidP="00B41F45">
      <w:pPr>
        <w:pStyle w:val="Tekstprzypisudolnego"/>
      </w:pPr>
      <w:r w:rsidRPr="001A5177">
        <w:rPr>
          <w:rStyle w:val="Odwoanieprzypisudolnego"/>
          <w:sz w:val="18"/>
          <w:szCs w:val="18"/>
        </w:rPr>
        <w:footnoteRef/>
      </w:r>
      <w:r w:rsidRPr="001A5177">
        <w:rPr>
          <w:sz w:val="18"/>
          <w:szCs w:val="18"/>
        </w:rPr>
        <w:t xml:space="preserve"> </w:t>
      </w:r>
      <w:r>
        <w:rPr>
          <w:sz w:val="18"/>
          <w:szCs w:val="18"/>
        </w:rPr>
        <w:t>I</w:t>
      </w:r>
      <w:r w:rsidRPr="001A5177">
        <w:rPr>
          <w:sz w:val="18"/>
          <w:szCs w:val="18"/>
        </w:rPr>
        <w:t>nformacj</w:t>
      </w:r>
      <w:r>
        <w:rPr>
          <w:sz w:val="18"/>
          <w:szCs w:val="18"/>
        </w:rPr>
        <w:t>e</w:t>
      </w:r>
      <w:r w:rsidRPr="001A5177">
        <w:rPr>
          <w:sz w:val="18"/>
          <w:szCs w:val="18"/>
        </w:rPr>
        <w:t xml:space="preserve"> z gmin MOF Olsztyna, maj-czerwiec 2020 r.</w:t>
      </w:r>
    </w:p>
  </w:footnote>
  <w:footnote w:id="126">
    <w:p w14:paraId="1C8AC2DC" w14:textId="77777777" w:rsidR="00D22FE8" w:rsidRPr="001A5177" w:rsidRDefault="00D22FE8" w:rsidP="00B41F45">
      <w:pPr>
        <w:pStyle w:val="Tekstprzypisudolnego"/>
        <w:rPr>
          <w:sz w:val="18"/>
          <w:szCs w:val="18"/>
        </w:rPr>
      </w:pPr>
      <w:r>
        <w:rPr>
          <w:rStyle w:val="Odwoanieprzypisudolnego"/>
        </w:rPr>
        <w:footnoteRef/>
      </w:r>
      <w:r>
        <w:t xml:space="preserve"> </w:t>
      </w:r>
      <w:r w:rsidRPr="001A5177">
        <w:rPr>
          <w:sz w:val="18"/>
          <w:szCs w:val="18"/>
        </w:rPr>
        <w:t xml:space="preserve">Analiza przeprowadzona przez Gminę Olsztyn w związku z programem </w:t>
      </w:r>
      <w:r w:rsidRPr="001A5177">
        <w:rPr>
          <w:i/>
          <w:sz w:val="18"/>
          <w:szCs w:val="18"/>
        </w:rPr>
        <w:t xml:space="preserve">Zdalna szkoła </w:t>
      </w:r>
      <w:r w:rsidRPr="001A5177">
        <w:rPr>
          <w:sz w:val="18"/>
          <w:szCs w:val="18"/>
        </w:rPr>
        <w:t>realizowanym w 2020 r. p</w:t>
      </w:r>
      <w:r>
        <w:rPr>
          <w:sz w:val="18"/>
          <w:szCs w:val="18"/>
        </w:rPr>
        <w:t>rzez Ministerstwo Cyfryzacji</w:t>
      </w:r>
    </w:p>
  </w:footnote>
  <w:footnote w:id="127">
    <w:p w14:paraId="12623BCE" w14:textId="77777777" w:rsidR="00D22FE8" w:rsidRDefault="00D22FE8" w:rsidP="00B41F45">
      <w:pPr>
        <w:pStyle w:val="Tekstprzypisudolnego"/>
      </w:pPr>
      <w:r w:rsidRPr="001A5177">
        <w:rPr>
          <w:rStyle w:val="Odwoanieprzypisudolnego"/>
          <w:sz w:val="18"/>
          <w:szCs w:val="18"/>
        </w:rPr>
        <w:footnoteRef/>
      </w:r>
      <w:r w:rsidRPr="001A5177">
        <w:rPr>
          <w:sz w:val="18"/>
          <w:szCs w:val="18"/>
        </w:rPr>
        <w:t xml:space="preserve"> </w:t>
      </w:r>
      <w:r>
        <w:rPr>
          <w:sz w:val="18"/>
          <w:szCs w:val="18"/>
        </w:rPr>
        <w:t>źródło: dane gmin MOF Olsztyna</w:t>
      </w:r>
    </w:p>
  </w:footnote>
  <w:footnote w:id="128">
    <w:p w14:paraId="5D9D050E" w14:textId="77777777" w:rsidR="00D22FE8" w:rsidRPr="00D90FE6" w:rsidRDefault="00D22FE8" w:rsidP="00B41F45">
      <w:pPr>
        <w:pStyle w:val="Tekstprzypisudolnego"/>
        <w:rPr>
          <w:sz w:val="18"/>
          <w:szCs w:val="18"/>
        </w:rPr>
      </w:pPr>
      <w:r w:rsidRPr="00D90FE6">
        <w:rPr>
          <w:rStyle w:val="Odwoanieprzypisudolnego"/>
          <w:sz w:val="18"/>
          <w:szCs w:val="18"/>
        </w:rPr>
        <w:footnoteRef/>
      </w:r>
      <w:r w:rsidRPr="00D90FE6">
        <w:rPr>
          <w:sz w:val="18"/>
          <w:szCs w:val="18"/>
        </w:rPr>
        <w:t xml:space="preserve"> źródło: </w:t>
      </w:r>
      <w:r w:rsidRPr="00D90FE6">
        <w:rPr>
          <w:i/>
          <w:sz w:val="18"/>
          <w:szCs w:val="18"/>
        </w:rPr>
        <w:t>Społeczeństwo informacyjne w Polsce w 2020 r.,</w:t>
      </w:r>
      <w:r w:rsidRPr="00D90FE6">
        <w:rPr>
          <w:sz w:val="18"/>
          <w:szCs w:val="18"/>
        </w:rPr>
        <w:t xml:space="preserve"> GUS, Szczecin 2020. Badania prowadzono w grupach wiekowych 16-24 lata; 25-34 lata; 35-44 lata; 45-54 lata; 55-74 lata.</w:t>
      </w:r>
    </w:p>
  </w:footnote>
  <w:footnote w:id="129">
    <w:p w14:paraId="6BD7E544" w14:textId="77777777" w:rsidR="00D22FE8" w:rsidRPr="00E05970" w:rsidRDefault="00D22FE8" w:rsidP="00B41F45">
      <w:pPr>
        <w:pStyle w:val="Tekstprzypisudolnego"/>
        <w:rPr>
          <w:sz w:val="18"/>
          <w:szCs w:val="18"/>
        </w:rPr>
      </w:pPr>
      <w:r w:rsidRPr="00E05970">
        <w:rPr>
          <w:rStyle w:val="Odwoanieprzypisudolnego"/>
          <w:sz w:val="18"/>
          <w:szCs w:val="18"/>
        </w:rPr>
        <w:footnoteRef/>
      </w:r>
      <w:r w:rsidRPr="00E05970">
        <w:rPr>
          <w:sz w:val="18"/>
          <w:szCs w:val="18"/>
        </w:rPr>
        <w:t xml:space="preserve"> Puls Biznesu: https://www.pb.pl/google-prawde-powie-o-rowerach-1000466</w:t>
      </w:r>
    </w:p>
  </w:footnote>
  <w:footnote w:id="130">
    <w:p w14:paraId="54835338" w14:textId="77777777" w:rsidR="00D22FE8" w:rsidRPr="00E05970" w:rsidRDefault="00D22FE8" w:rsidP="00B41F45">
      <w:pPr>
        <w:pStyle w:val="Tekstprzypisudolnego"/>
        <w:rPr>
          <w:sz w:val="18"/>
          <w:szCs w:val="18"/>
        </w:rPr>
      </w:pPr>
      <w:r w:rsidRPr="00E05970">
        <w:rPr>
          <w:rStyle w:val="Odwoanieprzypisudolnego"/>
          <w:sz w:val="18"/>
          <w:szCs w:val="18"/>
        </w:rPr>
        <w:footnoteRef/>
      </w:r>
      <w:r w:rsidRPr="00E05970">
        <w:rPr>
          <w:sz w:val="18"/>
          <w:szCs w:val="18"/>
        </w:rPr>
        <w:t xml:space="preserve"> Badania ankietowe podróży i zachowań komunikacyjnych mieszkańców MOF Olsztyn wykonane przez PBS Sopot na zlecenie Gminy Olsztyn w październiku i listopadzie 2018 r. w ramach projektu SUMBA, Interreg Region Morza Bałtyckiego</w:t>
      </w:r>
    </w:p>
  </w:footnote>
  <w:footnote w:id="131">
    <w:p w14:paraId="4D1C6C60" w14:textId="77777777" w:rsidR="00D22FE8" w:rsidRPr="00E05970" w:rsidRDefault="00D22FE8" w:rsidP="00B41F45">
      <w:pPr>
        <w:spacing w:after="0" w:line="240" w:lineRule="auto"/>
      </w:pPr>
      <w:r w:rsidRPr="00E05970">
        <w:rPr>
          <w:rStyle w:val="Odwoanieprzypisudolnego"/>
          <w:sz w:val="18"/>
          <w:szCs w:val="18"/>
        </w:rPr>
        <w:footnoteRef/>
      </w:r>
      <w:r w:rsidRPr="00E05970">
        <w:rPr>
          <w:sz w:val="18"/>
          <w:szCs w:val="18"/>
        </w:rPr>
        <w:t xml:space="preserve"> B</w:t>
      </w:r>
      <w:r w:rsidRPr="00E05970">
        <w:rPr>
          <w:rFonts w:cs="Sailec-Bold"/>
          <w:bCs/>
          <w:sz w:val="18"/>
          <w:szCs w:val="18"/>
        </w:rPr>
        <w:t xml:space="preserve">adanie przeprowadzone przez Zespoły More in Common pn. </w:t>
      </w:r>
      <w:r w:rsidRPr="00E05970">
        <w:rPr>
          <w:rFonts w:cs="Sailec-Bold"/>
          <w:bCs/>
          <w:i/>
          <w:sz w:val="18"/>
          <w:szCs w:val="18"/>
        </w:rPr>
        <w:t>Wpływ COVID-19 na społeczeństwo</w:t>
      </w:r>
      <w:r w:rsidRPr="00E05970">
        <w:rPr>
          <w:rFonts w:cs="Sailec-Bold"/>
          <w:bCs/>
          <w:sz w:val="18"/>
          <w:szCs w:val="18"/>
        </w:rPr>
        <w:t xml:space="preserve">, </w:t>
      </w:r>
      <w:r w:rsidRPr="00E05970">
        <w:rPr>
          <w:sz w:val="18"/>
          <w:szCs w:val="18"/>
        </w:rPr>
        <w:t>1-8 lipca 2020 r.; źródło: https://www.moreincommon.com/media/p4hmctco/more-in-common-the-new-normal-poland-pl.pdf</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55D8FE" w14:textId="00B967CC" w:rsidR="00D22FE8" w:rsidRDefault="00D22FE8" w:rsidP="00692F9A">
    <w:pPr>
      <w:pStyle w:val="Nagwek"/>
      <w:jc w:val="center"/>
    </w:pPr>
    <w:r>
      <w:rPr>
        <w:noProof/>
        <w:lang w:eastAsia="pl-PL"/>
      </w:rPr>
      <w:drawing>
        <wp:anchor distT="0" distB="0" distL="114300" distR="114300" simplePos="0" relativeHeight="251658241" behindDoc="1" locked="0" layoutInCell="1" allowOverlap="1" wp14:anchorId="7F83BF16" wp14:editId="7C46BC14">
          <wp:simplePos x="0" y="0"/>
          <wp:positionH relativeFrom="margin">
            <wp:align>left</wp:align>
          </wp:positionH>
          <wp:positionV relativeFrom="paragraph">
            <wp:posOffset>-117475</wp:posOffset>
          </wp:positionV>
          <wp:extent cx="914400" cy="483235"/>
          <wp:effectExtent l="0" t="0" r="0" b="0"/>
          <wp:wrapSquare wrapText="bothSides"/>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483235"/>
                  </a:xfrm>
                  <a:prstGeom prst="rect">
                    <a:avLst/>
                  </a:prstGeom>
                  <a:noFill/>
                  <a:ln>
                    <a:noFill/>
                  </a:ln>
                </pic:spPr>
              </pic:pic>
            </a:graphicData>
          </a:graphic>
          <wp14:sizeRelH relativeFrom="page">
            <wp14:pctWidth>0</wp14:pctWidth>
          </wp14:sizeRelH>
          <wp14:sizeRelV relativeFrom="page">
            <wp14:pctHeight>0</wp14:pctHeight>
          </wp14:sizeRelV>
        </wp:anchor>
      </w:drawing>
    </w:r>
    <w:r>
      <w:ptab w:relativeTo="margin" w:alignment="center" w:leader="none"/>
    </w:r>
    <w:r w:rsidRPr="00163043">
      <w:t>Diagnoza</w:t>
    </w:r>
    <w:r>
      <w:t xml:space="preserve"> sytuacji społecznej,</w:t>
    </w:r>
    <w:r w:rsidRPr="00163043">
      <w:t xml:space="preserve"> gospodarczej</w:t>
    </w:r>
    <w:r>
      <w:t xml:space="preserve"> i przestrzennej </w:t>
    </w:r>
    <w:r w:rsidRPr="00163043">
      <w:t>Olsztyna</w:t>
    </w:r>
  </w:p>
  <w:p w14:paraId="6390EAAB" w14:textId="0CD573F1" w:rsidR="00D22FE8" w:rsidRDefault="00D22FE8" w:rsidP="00692F9A">
    <w:pPr>
      <w:pStyle w:val="Nagwek"/>
      <w:jc w:val="center"/>
    </w:pPr>
    <w:r w:rsidRPr="00163043">
      <w:t>za lata 2013-20</w:t>
    </w:r>
    <w:r>
      <w:t>19</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C7F661" w14:textId="19BCF8A9" w:rsidR="00D22FE8" w:rsidRDefault="00D22FE8" w:rsidP="00692F9A">
    <w:pPr>
      <w:pStyle w:val="Nagwek"/>
      <w:jc w:val="center"/>
    </w:pPr>
    <w:r>
      <w:rPr>
        <w:noProof/>
        <w:lang w:eastAsia="pl-PL"/>
      </w:rPr>
      <w:drawing>
        <wp:anchor distT="0" distB="0" distL="114300" distR="114300" simplePos="0" relativeHeight="251658240" behindDoc="1" locked="0" layoutInCell="1" allowOverlap="1" wp14:anchorId="40AA4CAB" wp14:editId="604C0A45">
          <wp:simplePos x="0" y="0"/>
          <wp:positionH relativeFrom="margin">
            <wp:align>right</wp:align>
          </wp:positionH>
          <wp:positionV relativeFrom="paragraph">
            <wp:posOffset>-195093</wp:posOffset>
          </wp:positionV>
          <wp:extent cx="914400" cy="483235"/>
          <wp:effectExtent l="0" t="0" r="0" b="0"/>
          <wp:wrapTight wrapText="bothSides">
            <wp:wrapPolygon edited="0">
              <wp:start x="0" y="0"/>
              <wp:lineTo x="0" y="20436"/>
              <wp:lineTo x="21150" y="20436"/>
              <wp:lineTo x="21150" y="0"/>
              <wp:lineTo x="0" y="0"/>
            </wp:wrapPolygon>
          </wp:wrapTight>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483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15F3">
      <w:t>Diagnoza</w:t>
    </w:r>
    <w:r>
      <w:t xml:space="preserve"> </w:t>
    </w:r>
    <w:r w:rsidRPr="009715F3">
      <w:t>sytuacji społeczne</w:t>
    </w:r>
    <w:r>
      <w:t xml:space="preserve">j, </w:t>
    </w:r>
    <w:r w:rsidRPr="009715F3">
      <w:t>gospodarczej</w:t>
    </w:r>
    <w:r>
      <w:t xml:space="preserve"> i przestrzennej </w:t>
    </w:r>
    <w:r w:rsidRPr="009715F3">
      <w:t>Olsztyna</w:t>
    </w:r>
  </w:p>
  <w:p w14:paraId="6EAE1266" w14:textId="294213E1" w:rsidR="00D22FE8" w:rsidRDefault="00D22FE8" w:rsidP="00692F9A">
    <w:pPr>
      <w:pStyle w:val="Nagwek"/>
      <w:jc w:val="center"/>
    </w:pPr>
    <w:r w:rsidRPr="009715F3">
      <w:t>za lata 2013-20</w:t>
    </w:r>
    <w:r>
      <w:t>19</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8E3D79" w14:textId="77777777" w:rsidR="00D22FE8" w:rsidRDefault="00D22FE8" w:rsidP="002D6EA9">
    <w:pPr>
      <w:pStyle w:val="Nagwek"/>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C6BF9"/>
    <w:multiLevelType w:val="hybridMultilevel"/>
    <w:tmpl w:val="E2DC9A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148613D"/>
    <w:multiLevelType w:val="hybridMultilevel"/>
    <w:tmpl w:val="73168FCC"/>
    <w:lvl w:ilvl="0" w:tplc="55700A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2774361"/>
    <w:multiLevelType w:val="hybridMultilevel"/>
    <w:tmpl w:val="42C845D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5FB0B8B"/>
    <w:multiLevelType w:val="hybridMultilevel"/>
    <w:tmpl w:val="0B561F9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95540A2"/>
    <w:multiLevelType w:val="multilevel"/>
    <w:tmpl w:val="BA78FE3E"/>
    <w:lvl w:ilvl="0">
      <w:start w:val="1"/>
      <w:numFmt w:val="decimal"/>
      <w:lvlText w:val="%1."/>
      <w:lvlJc w:val="left"/>
      <w:pPr>
        <w:ind w:left="720" w:hanging="360"/>
      </w:pPr>
      <w:rPr>
        <w:rFonts w:hint="default"/>
      </w:rPr>
    </w:lvl>
    <w:lvl w:ilvl="1">
      <w:start w:val="1"/>
      <w:numFmt w:val="decimal"/>
      <w:isLgl/>
      <w:lvlText w:val="%1.%2"/>
      <w:lvlJc w:val="left"/>
      <w:pPr>
        <w:ind w:left="900" w:hanging="540"/>
      </w:pPr>
      <w:rPr>
        <w:rFonts w:hint="default"/>
      </w:rPr>
    </w:lvl>
    <w:lvl w:ilvl="2">
      <w:start w:val="3"/>
      <w:numFmt w:val="decimal"/>
      <w:isLgl/>
      <w:lvlText w:val="%1.%2.%3"/>
      <w:lvlJc w:val="left"/>
      <w:pPr>
        <w:ind w:left="1146"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 w15:restartNumberingAfterBreak="0">
    <w:nsid w:val="0A230ACB"/>
    <w:multiLevelType w:val="hybridMultilevel"/>
    <w:tmpl w:val="73D656D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10B7624"/>
    <w:multiLevelType w:val="hybridMultilevel"/>
    <w:tmpl w:val="4386FC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1CE47F5"/>
    <w:multiLevelType w:val="hybridMultilevel"/>
    <w:tmpl w:val="6FDE110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 w15:restartNumberingAfterBreak="0">
    <w:nsid w:val="17A67B73"/>
    <w:multiLevelType w:val="hybridMultilevel"/>
    <w:tmpl w:val="74847E4C"/>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9" w15:restartNumberingAfterBreak="0">
    <w:nsid w:val="18AF208E"/>
    <w:multiLevelType w:val="hybridMultilevel"/>
    <w:tmpl w:val="536A58B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DB263BC"/>
    <w:multiLevelType w:val="hybridMultilevel"/>
    <w:tmpl w:val="907E941A"/>
    <w:lvl w:ilvl="0" w:tplc="F828C47E">
      <w:start w:val="1"/>
      <w:numFmt w:val="bullet"/>
      <w:lvlText w:val="•"/>
      <w:lvlJc w:val="left"/>
      <w:pPr>
        <w:tabs>
          <w:tab w:val="num" w:pos="720"/>
        </w:tabs>
        <w:ind w:left="720" w:hanging="360"/>
      </w:pPr>
      <w:rPr>
        <w:rFonts w:ascii="Arial" w:hAnsi="Arial" w:hint="default"/>
      </w:rPr>
    </w:lvl>
    <w:lvl w:ilvl="1" w:tplc="1CF68BF0">
      <w:start w:val="1"/>
      <w:numFmt w:val="decimal"/>
      <w:lvlText w:val="%2."/>
      <w:lvlJc w:val="left"/>
      <w:pPr>
        <w:tabs>
          <w:tab w:val="num" w:pos="1440"/>
        </w:tabs>
        <w:ind w:left="1440" w:hanging="360"/>
      </w:pPr>
      <w:rPr>
        <w:rFonts w:asciiTheme="majorHAnsi" w:eastAsia="Times New Roman" w:hAnsiTheme="majorHAnsi" w:cstheme="majorHAnsi"/>
      </w:rPr>
    </w:lvl>
    <w:lvl w:ilvl="2" w:tplc="AA587F02">
      <w:start w:val="94"/>
      <w:numFmt w:val="bullet"/>
      <w:lvlText w:val="•"/>
      <w:lvlJc w:val="left"/>
      <w:pPr>
        <w:tabs>
          <w:tab w:val="num" w:pos="2160"/>
        </w:tabs>
        <w:ind w:left="2160" w:hanging="360"/>
      </w:pPr>
      <w:rPr>
        <w:rFonts w:ascii="Arial" w:hAnsi="Arial" w:hint="default"/>
      </w:rPr>
    </w:lvl>
    <w:lvl w:ilvl="3" w:tplc="F3DAB6BC" w:tentative="1">
      <w:start w:val="1"/>
      <w:numFmt w:val="bullet"/>
      <w:lvlText w:val="•"/>
      <w:lvlJc w:val="left"/>
      <w:pPr>
        <w:tabs>
          <w:tab w:val="num" w:pos="2880"/>
        </w:tabs>
        <w:ind w:left="2880" w:hanging="360"/>
      </w:pPr>
      <w:rPr>
        <w:rFonts w:ascii="Arial" w:hAnsi="Arial" w:hint="default"/>
      </w:rPr>
    </w:lvl>
    <w:lvl w:ilvl="4" w:tplc="C4EE7C22" w:tentative="1">
      <w:start w:val="1"/>
      <w:numFmt w:val="bullet"/>
      <w:lvlText w:val="•"/>
      <w:lvlJc w:val="left"/>
      <w:pPr>
        <w:tabs>
          <w:tab w:val="num" w:pos="3600"/>
        </w:tabs>
        <w:ind w:left="3600" w:hanging="360"/>
      </w:pPr>
      <w:rPr>
        <w:rFonts w:ascii="Arial" w:hAnsi="Arial" w:hint="default"/>
      </w:rPr>
    </w:lvl>
    <w:lvl w:ilvl="5" w:tplc="C22C8BF4" w:tentative="1">
      <w:start w:val="1"/>
      <w:numFmt w:val="bullet"/>
      <w:lvlText w:val="•"/>
      <w:lvlJc w:val="left"/>
      <w:pPr>
        <w:tabs>
          <w:tab w:val="num" w:pos="4320"/>
        </w:tabs>
        <w:ind w:left="4320" w:hanging="360"/>
      </w:pPr>
      <w:rPr>
        <w:rFonts w:ascii="Arial" w:hAnsi="Arial" w:hint="default"/>
      </w:rPr>
    </w:lvl>
    <w:lvl w:ilvl="6" w:tplc="942A9240" w:tentative="1">
      <w:start w:val="1"/>
      <w:numFmt w:val="bullet"/>
      <w:lvlText w:val="•"/>
      <w:lvlJc w:val="left"/>
      <w:pPr>
        <w:tabs>
          <w:tab w:val="num" w:pos="5040"/>
        </w:tabs>
        <w:ind w:left="5040" w:hanging="360"/>
      </w:pPr>
      <w:rPr>
        <w:rFonts w:ascii="Arial" w:hAnsi="Arial" w:hint="default"/>
      </w:rPr>
    </w:lvl>
    <w:lvl w:ilvl="7" w:tplc="3E50ED00" w:tentative="1">
      <w:start w:val="1"/>
      <w:numFmt w:val="bullet"/>
      <w:lvlText w:val="•"/>
      <w:lvlJc w:val="left"/>
      <w:pPr>
        <w:tabs>
          <w:tab w:val="num" w:pos="5760"/>
        </w:tabs>
        <w:ind w:left="5760" w:hanging="360"/>
      </w:pPr>
      <w:rPr>
        <w:rFonts w:ascii="Arial" w:hAnsi="Arial" w:hint="default"/>
      </w:rPr>
    </w:lvl>
    <w:lvl w:ilvl="8" w:tplc="B32C0F3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E107A67"/>
    <w:multiLevelType w:val="hybridMultilevel"/>
    <w:tmpl w:val="484ABE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E6531E2"/>
    <w:multiLevelType w:val="multilevel"/>
    <w:tmpl w:val="5DE0CA8E"/>
    <w:lvl w:ilvl="0">
      <w:start w:val="4"/>
      <w:numFmt w:val="decimal"/>
      <w:lvlText w:val="%1"/>
      <w:lvlJc w:val="left"/>
      <w:pPr>
        <w:ind w:left="435" w:hanging="435"/>
      </w:pPr>
      <w:rPr>
        <w:rFonts w:hint="default"/>
      </w:rPr>
    </w:lvl>
    <w:lvl w:ilvl="1">
      <w:start w:val="2"/>
      <w:numFmt w:val="decimal"/>
      <w:lvlText w:val="%1.%2"/>
      <w:lvlJc w:val="left"/>
      <w:pPr>
        <w:ind w:left="860" w:hanging="435"/>
      </w:pPr>
      <w:rPr>
        <w:rFonts w:hint="default"/>
      </w:rPr>
    </w:lvl>
    <w:lvl w:ilvl="2">
      <w:start w:val="3"/>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4840" w:hanging="1440"/>
      </w:pPr>
      <w:rPr>
        <w:rFonts w:hint="default"/>
      </w:rPr>
    </w:lvl>
  </w:abstractNum>
  <w:abstractNum w:abstractNumId="13" w15:restartNumberingAfterBreak="0">
    <w:nsid w:val="1E751CD8"/>
    <w:multiLevelType w:val="hybridMultilevel"/>
    <w:tmpl w:val="A2982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E7A711E"/>
    <w:multiLevelType w:val="hybridMultilevel"/>
    <w:tmpl w:val="D690FE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0174BE5"/>
    <w:multiLevelType w:val="hybridMultilevel"/>
    <w:tmpl w:val="ADF29FE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336061C"/>
    <w:multiLevelType w:val="hybridMultilevel"/>
    <w:tmpl w:val="1F02074C"/>
    <w:lvl w:ilvl="0" w:tplc="04150001">
      <w:start w:val="1"/>
      <w:numFmt w:val="bullet"/>
      <w:lvlText w:val=""/>
      <w:lvlJc w:val="left"/>
      <w:pPr>
        <w:ind w:left="720" w:hanging="360"/>
      </w:pPr>
      <w:rPr>
        <w:rFonts w:ascii="Symbol" w:hAnsi="Symbol" w:hint="default"/>
        <w:color w:val="009FE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456378F"/>
    <w:multiLevelType w:val="hybridMultilevel"/>
    <w:tmpl w:val="55C6DF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EB47594"/>
    <w:multiLevelType w:val="multilevel"/>
    <w:tmpl w:val="DC345B62"/>
    <w:lvl w:ilvl="0">
      <w:start w:val="4"/>
      <w:numFmt w:val="decimal"/>
      <w:lvlText w:val="%1"/>
      <w:lvlJc w:val="left"/>
      <w:pPr>
        <w:ind w:left="435" w:hanging="435"/>
      </w:pPr>
      <w:rPr>
        <w:rFonts w:hint="default"/>
      </w:rPr>
    </w:lvl>
    <w:lvl w:ilvl="1">
      <w:start w:val="3"/>
      <w:numFmt w:val="decimal"/>
      <w:lvlText w:val="%1.%2"/>
      <w:lvlJc w:val="left"/>
      <w:pPr>
        <w:ind w:left="865" w:hanging="435"/>
      </w:pPr>
      <w:rPr>
        <w:rFonts w:hint="default"/>
      </w:rPr>
    </w:lvl>
    <w:lvl w:ilvl="2">
      <w:start w:val="1"/>
      <w:numFmt w:val="decimal"/>
      <w:lvlText w:val="%1.%2.%3"/>
      <w:lvlJc w:val="left"/>
      <w:pPr>
        <w:ind w:left="1580" w:hanging="720"/>
      </w:pPr>
      <w:rPr>
        <w:rFonts w:hint="default"/>
      </w:rPr>
    </w:lvl>
    <w:lvl w:ilvl="3">
      <w:start w:val="1"/>
      <w:numFmt w:val="decimal"/>
      <w:lvlText w:val="%1.%2.%3.%4"/>
      <w:lvlJc w:val="left"/>
      <w:pPr>
        <w:ind w:left="2010" w:hanging="720"/>
      </w:pPr>
      <w:rPr>
        <w:rFonts w:hint="default"/>
      </w:rPr>
    </w:lvl>
    <w:lvl w:ilvl="4">
      <w:start w:val="1"/>
      <w:numFmt w:val="decimal"/>
      <w:lvlText w:val="%1.%2.%3.%4.%5"/>
      <w:lvlJc w:val="left"/>
      <w:pPr>
        <w:ind w:left="2800" w:hanging="1080"/>
      </w:pPr>
      <w:rPr>
        <w:rFonts w:hint="default"/>
      </w:rPr>
    </w:lvl>
    <w:lvl w:ilvl="5">
      <w:start w:val="1"/>
      <w:numFmt w:val="decimal"/>
      <w:lvlText w:val="%1.%2.%3.%4.%5.%6"/>
      <w:lvlJc w:val="left"/>
      <w:pPr>
        <w:ind w:left="3230" w:hanging="1080"/>
      </w:pPr>
      <w:rPr>
        <w:rFonts w:hint="default"/>
      </w:rPr>
    </w:lvl>
    <w:lvl w:ilvl="6">
      <w:start w:val="1"/>
      <w:numFmt w:val="decimal"/>
      <w:lvlText w:val="%1.%2.%3.%4.%5.%6.%7"/>
      <w:lvlJc w:val="left"/>
      <w:pPr>
        <w:ind w:left="4020" w:hanging="1440"/>
      </w:pPr>
      <w:rPr>
        <w:rFonts w:hint="default"/>
      </w:rPr>
    </w:lvl>
    <w:lvl w:ilvl="7">
      <w:start w:val="1"/>
      <w:numFmt w:val="decimal"/>
      <w:lvlText w:val="%1.%2.%3.%4.%5.%6.%7.%8"/>
      <w:lvlJc w:val="left"/>
      <w:pPr>
        <w:ind w:left="4450" w:hanging="1440"/>
      </w:pPr>
      <w:rPr>
        <w:rFonts w:hint="default"/>
      </w:rPr>
    </w:lvl>
    <w:lvl w:ilvl="8">
      <w:start w:val="1"/>
      <w:numFmt w:val="decimal"/>
      <w:lvlText w:val="%1.%2.%3.%4.%5.%6.%7.%8.%9"/>
      <w:lvlJc w:val="left"/>
      <w:pPr>
        <w:ind w:left="4880" w:hanging="1440"/>
      </w:pPr>
      <w:rPr>
        <w:rFonts w:hint="default"/>
      </w:rPr>
    </w:lvl>
  </w:abstractNum>
  <w:abstractNum w:abstractNumId="19" w15:restartNumberingAfterBreak="0">
    <w:nsid w:val="315E1523"/>
    <w:multiLevelType w:val="multilevel"/>
    <w:tmpl w:val="139C8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2354AE8"/>
    <w:multiLevelType w:val="multilevel"/>
    <w:tmpl w:val="E6AAA49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1" w15:restartNumberingAfterBreak="0">
    <w:nsid w:val="36935E7A"/>
    <w:multiLevelType w:val="hybridMultilevel"/>
    <w:tmpl w:val="793C8D2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69A6E65"/>
    <w:multiLevelType w:val="hybridMultilevel"/>
    <w:tmpl w:val="EA08D7A4"/>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3AE46C1F"/>
    <w:multiLevelType w:val="hybridMultilevel"/>
    <w:tmpl w:val="675E05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AFE5847"/>
    <w:multiLevelType w:val="hybridMultilevel"/>
    <w:tmpl w:val="E87A38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F253E44"/>
    <w:multiLevelType w:val="hybridMultilevel"/>
    <w:tmpl w:val="013EE2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F4452E5"/>
    <w:multiLevelType w:val="hybridMultilevel"/>
    <w:tmpl w:val="CC0805E0"/>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41023C85"/>
    <w:multiLevelType w:val="hybridMultilevel"/>
    <w:tmpl w:val="78C48BE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492F5A9E"/>
    <w:multiLevelType w:val="hybridMultilevel"/>
    <w:tmpl w:val="756E5ED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4ABF49D0"/>
    <w:multiLevelType w:val="hybridMultilevel"/>
    <w:tmpl w:val="CA44066A"/>
    <w:lvl w:ilvl="0" w:tplc="FC7477BE">
      <w:start w:val="1"/>
      <w:numFmt w:val="bullet"/>
      <w:lvlText w:val=""/>
      <w:lvlJc w:val="left"/>
      <w:pPr>
        <w:ind w:left="720" w:hanging="360"/>
      </w:pPr>
      <w:rPr>
        <w:rFonts w:ascii="Symbol" w:hAnsi="Symbol" w:hint="default"/>
        <w:color w:val="009FE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4ACE161E"/>
    <w:multiLevelType w:val="hybridMultilevel"/>
    <w:tmpl w:val="4DF8949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E8C1EE1"/>
    <w:multiLevelType w:val="hybridMultilevel"/>
    <w:tmpl w:val="917816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520562D4"/>
    <w:multiLevelType w:val="hybridMultilevel"/>
    <w:tmpl w:val="5C92DB6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3" w15:restartNumberingAfterBreak="0">
    <w:nsid w:val="54FD3FEA"/>
    <w:multiLevelType w:val="hybridMultilevel"/>
    <w:tmpl w:val="80C442B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4" w15:restartNumberingAfterBreak="0">
    <w:nsid w:val="5D276B82"/>
    <w:multiLevelType w:val="multilevel"/>
    <w:tmpl w:val="35822460"/>
    <w:lvl w:ilvl="0">
      <w:start w:val="3"/>
      <w:numFmt w:val="decimal"/>
      <w:lvlText w:val="%1"/>
      <w:lvlJc w:val="left"/>
      <w:pPr>
        <w:ind w:left="480" w:hanging="480"/>
      </w:pPr>
      <w:rPr>
        <w:rFonts w:hint="default"/>
      </w:rPr>
    </w:lvl>
    <w:lvl w:ilvl="1">
      <w:start w:val="1"/>
      <w:numFmt w:val="decimal"/>
      <w:lvlText w:val="%1.%2"/>
      <w:lvlJc w:val="left"/>
      <w:pPr>
        <w:ind w:left="693" w:hanging="480"/>
      </w:pPr>
      <w:rPr>
        <w:rFonts w:hint="default"/>
      </w:rPr>
    </w:lvl>
    <w:lvl w:ilvl="2">
      <w:start w:val="4"/>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35" w15:restartNumberingAfterBreak="0">
    <w:nsid w:val="5F0B7953"/>
    <w:multiLevelType w:val="hybridMultilevel"/>
    <w:tmpl w:val="92065ED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5F2546A9"/>
    <w:multiLevelType w:val="hybridMultilevel"/>
    <w:tmpl w:val="00A2AC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60C7059A"/>
    <w:multiLevelType w:val="hybridMultilevel"/>
    <w:tmpl w:val="435EE196"/>
    <w:lvl w:ilvl="0" w:tplc="0415000B">
      <w:start w:val="1"/>
      <w:numFmt w:val="bullet"/>
      <w:lvlText w:val=""/>
      <w:lvlJc w:val="left"/>
      <w:pPr>
        <w:ind w:left="770" w:hanging="360"/>
      </w:pPr>
      <w:rPr>
        <w:rFonts w:ascii="Wingdings" w:hAnsi="Wingdings"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38" w15:restartNumberingAfterBreak="0">
    <w:nsid w:val="612E5D94"/>
    <w:multiLevelType w:val="hybridMultilevel"/>
    <w:tmpl w:val="584CF10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647413E2"/>
    <w:multiLevelType w:val="hybridMultilevel"/>
    <w:tmpl w:val="8D1CD4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7BAF33ED"/>
    <w:multiLevelType w:val="hybridMultilevel"/>
    <w:tmpl w:val="97C043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7C744A7C"/>
    <w:multiLevelType w:val="hybridMultilevel"/>
    <w:tmpl w:val="5974328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7D5860B9"/>
    <w:multiLevelType w:val="hybridMultilevel"/>
    <w:tmpl w:val="7CB804D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31"/>
  </w:num>
  <w:num w:numId="2">
    <w:abstractNumId w:val="21"/>
  </w:num>
  <w:num w:numId="3">
    <w:abstractNumId w:val="13"/>
  </w:num>
  <w:num w:numId="4">
    <w:abstractNumId w:val="38"/>
  </w:num>
  <w:num w:numId="5">
    <w:abstractNumId w:val="27"/>
  </w:num>
  <w:num w:numId="6">
    <w:abstractNumId w:val="11"/>
  </w:num>
  <w:num w:numId="7">
    <w:abstractNumId w:val="0"/>
  </w:num>
  <w:num w:numId="8">
    <w:abstractNumId w:val="10"/>
  </w:num>
  <w:num w:numId="9">
    <w:abstractNumId w:val="25"/>
  </w:num>
  <w:num w:numId="10">
    <w:abstractNumId w:val="1"/>
  </w:num>
  <w:num w:numId="11">
    <w:abstractNumId w:val="39"/>
  </w:num>
  <w:num w:numId="12">
    <w:abstractNumId w:val="9"/>
  </w:num>
  <w:num w:numId="13">
    <w:abstractNumId w:val="15"/>
  </w:num>
  <w:num w:numId="14">
    <w:abstractNumId w:val="23"/>
  </w:num>
  <w:num w:numId="15">
    <w:abstractNumId w:val="28"/>
  </w:num>
  <w:num w:numId="16">
    <w:abstractNumId w:val="37"/>
  </w:num>
  <w:num w:numId="17">
    <w:abstractNumId w:val="30"/>
  </w:num>
  <w:num w:numId="18">
    <w:abstractNumId w:val="2"/>
  </w:num>
  <w:num w:numId="19">
    <w:abstractNumId w:val="6"/>
  </w:num>
  <w:num w:numId="20">
    <w:abstractNumId w:val="7"/>
  </w:num>
  <w:num w:numId="21">
    <w:abstractNumId w:val="32"/>
  </w:num>
  <w:num w:numId="22">
    <w:abstractNumId w:val="22"/>
  </w:num>
  <w:num w:numId="23">
    <w:abstractNumId w:val="26"/>
  </w:num>
  <w:num w:numId="24">
    <w:abstractNumId w:val="41"/>
  </w:num>
  <w:num w:numId="25">
    <w:abstractNumId w:val="33"/>
  </w:num>
  <w:num w:numId="26">
    <w:abstractNumId w:val="5"/>
  </w:num>
  <w:num w:numId="27">
    <w:abstractNumId w:val="35"/>
  </w:num>
  <w:num w:numId="28">
    <w:abstractNumId w:val="8"/>
  </w:num>
  <w:num w:numId="29">
    <w:abstractNumId w:val="20"/>
  </w:num>
  <w:num w:numId="30">
    <w:abstractNumId w:val="24"/>
  </w:num>
  <w:num w:numId="31">
    <w:abstractNumId w:val="4"/>
  </w:num>
  <w:num w:numId="32">
    <w:abstractNumId w:val="12"/>
  </w:num>
  <w:num w:numId="33">
    <w:abstractNumId w:val="18"/>
  </w:num>
  <w:num w:numId="34">
    <w:abstractNumId w:val="14"/>
  </w:num>
  <w:num w:numId="35">
    <w:abstractNumId w:val="40"/>
  </w:num>
  <w:num w:numId="36">
    <w:abstractNumId w:val="29"/>
  </w:num>
  <w:num w:numId="37">
    <w:abstractNumId w:val="16"/>
  </w:num>
  <w:num w:numId="38">
    <w:abstractNumId w:val="34"/>
  </w:num>
  <w:num w:numId="39">
    <w:abstractNumId w:val="3"/>
  </w:num>
  <w:num w:numId="40">
    <w:abstractNumId w:val="19"/>
  </w:num>
  <w:num w:numId="41">
    <w:abstractNumId w:val="17"/>
  </w:num>
  <w:num w:numId="42">
    <w:abstractNumId w:val="36"/>
  </w:num>
  <w:num w:numId="43">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hyphenationZone w:val="425"/>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6EA9"/>
    <w:rsid w:val="000005F2"/>
    <w:rsid w:val="00000A07"/>
    <w:rsid w:val="00001580"/>
    <w:rsid w:val="00005FF2"/>
    <w:rsid w:val="000107E1"/>
    <w:rsid w:val="00011195"/>
    <w:rsid w:val="00012635"/>
    <w:rsid w:val="00012B2B"/>
    <w:rsid w:val="00013C5C"/>
    <w:rsid w:val="000158BA"/>
    <w:rsid w:val="000162AF"/>
    <w:rsid w:val="00017BC0"/>
    <w:rsid w:val="00017E3C"/>
    <w:rsid w:val="00020480"/>
    <w:rsid w:val="00023ABA"/>
    <w:rsid w:val="00024A3B"/>
    <w:rsid w:val="00024C1C"/>
    <w:rsid w:val="000309AE"/>
    <w:rsid w:val="0003130E"/>
    <w:rsid w:val="00034BB4"/>
    <w:rsid w:val="00036B4F"/>
    <w:rsid w:val="00042B57"/>
    <w:rsid w:val="00044387"/>
    <w:rsid w:val="00045447"/>
    <w:rsid w:val="00046388"/>
    <w:rsid w:val="00046B5D"/>
    <w:rsid w:val="000470D8"/>
    <w:rsid w:val="000479FE"/>
    <w:rsid w:val="00047D93"/>
    <w:rsid w:val="00050DC8"/>
    <w:rsid w:val="00051121"/>
    <w:rsid w:val="0005136B"/>
    <w:rsid w:val="00052613"/>
    <w:rsid w:val="00057938"/>
    <w:rsid w:val="00057995"/>
    <w:rsid w:val="000579DA"/>
    <w:rsid w:val="00057B77"/>
    <w:rsid w:val="00062794"/>
    <w:rsid w:val="0006362E"/>
    <w:rsid w:val="00064048"/>
    <w:rsid w:val="0006459C"/>
    <w:rsid w:val="0006657C"/>
    <w:rsid w:val="00070977"/>
    <w:rsid w:val="00071060"/>
    <w:rsid w:val="0007152D"/>
    <w:rsid w:val="00072041"/>
    <w:rsid w:val="00073A46"/>
    <w:rsid w:val="00074868"/>
    <w:rsid w:val="0007663E"/>
    <w:rsid w:val="0007790F"/>
    <w:rsid w:val="000810AE"/>
    <w:rsid w:val="00081869"/>
    <w:rsid w:val="000822C7"/>
    <w:rsid w:val="000844FF"/>
    <w:rsid w:val="00085B20"/>
    <w:rsid w:val="0008602D"/>
    <w:rsid w:val="00086706"/>
    <w:rsid w:val="000867E4"/>
    <w:rsid w:val="0008700D"/>
    <w:rsid w:val="000941DB"/>
    <w:rsid w:val="00096B74"/>
    <w:rsid w:val="00096D2B"/>
    <w:rsid w:val="000A046D"/>
    <w:rsid w:val="000A1E79"/>
    <w:rsid w:val="000A2626"/>
    <w:rsid w:val="000A6596"/>
    <w:rsid w:val="000A6621"/>
    <w:rsid w:val="000A7D4F"/>
    <w:rsid w:val="000B0472"/>
    <w:rsid w:val="000B5034"/>
    <w:rsid w:val="000B5112"/>
    <w:rsid w:val="000B661B"/>
    <w:rsid w:val="000C077F"/>
    <w:rsid w:val="000C1E90"/>
    <w:rsid w:val="000C1FDF"/>
    <w:rsid w:val="000C26BF"/>
    <w:rsid w:val="000C3094"/>
    <w:rsid w:val="000C3267"/>
    <w:rsid w:val="000C342C"/>
    <w:rsid w:val="000C3757"/>
    <w:rsid w:val="000C565F"/>
    <w:rsid w:val="000C63F3"/>
    <w:rsid w:val="000C6788"/>
    <w:rsid w:val="000C67CD"/>
    <w:rsid w:val="000D217D"/>
    <w:rsid w:val="000D4A3B"/>
    <w:rsid w:val="000D5F7F"/>
    <w:rsid w:val="000D7596"/>
    <w:rsid w:val="000D7A10"/>
    <w:rsid w:val="000E2699"/>
    <w:rsid w:val="000E4F5A"/>
    <w:rsid w:val="000E59FC"/>
    <w:rsid w:val="000E61DE"/>
    <w:rsid w:val="000E69F9"/>
    <w:rsid w:val="000E6EA6"/>
    <w:rsid w:val="000E77A4"/>
    <w:rsid w:val="000E7DF8"/>
    <w:rsid w:val="000F032D"/>
    <w:rsid w:val="000F1ECB"/>
    <w:rsid w:val="000F3FDB"/>
    <w:rsid w:val="000F66B1"/>
    <w:rsid w:val="00102EA2"/>
    <w:rsid w:val="00103B30"/>
    <w:rsid w:val="00104D8C"/>
    <w:rsid w:val="001069A9"/>
    <w:rsid w:val="001076DD"/>
    <w:rsid w:val="00110299"/>
    <w:rsid w:val="00111F42"/>
    <w:rsid w:val="00114DE7"/>
    <w:rsid w:val="00116079"/>
    <w:rsid w:val="001206C4"/>
    <w:rsid w:val="0012226E"/>
    <w:rsid w:val="001259EB"/>
    <w:rsid w:val="001262FC"/>
    <w:rsid w:val="0012777C"/>
    <w:rsid w:val="0012796D"/>
    <w:rsid w:val="00132466"/>
    <w:rsid w:val="00136799"/>
    <w:rsid w:val="0014077F"/>
    <w:rsid w:val="00140F76"/>
    <w:rsid w:val="00143C7B"/>
    <w:rsid w:val="001442EE"/>
    <w:rsid w:val="001443A4"/>
    <w:rsid w:val="001451ED"/>
    <w:rsid w:val="00147117"/>
    <w:rsid w:val="00150650"/>
    <w:rsid w:val="00155053"/>
    <w:rsid w:val="00155FDE"/>
    <w:rsid w:val="00162434"/>
    <w:rsid w:val="00163043"/>
    <w:rsid w:val="0016462C"/>
    <w:rsid w:val="00166DEC"/>
    <w:rsid w:val="001711A5"/>
    <w:rsid w:val="00171421"/>
    <w:rsid w:val="00171623"/>
    <w:rsid w:val="0017177B"/>
    <w:rsid w:val="001723EA"/>
    <w:rsid w:val="00173C7A"/>
    <w:rsid w:val="00174476"/>
    <w:rsid w:val="00174785"/>
    <w:rsid w:val="001750DB"/>
    <w:rsid w:val="00181061"/>
    <w:rsid w:val="001813E7"/>
    <w:rsid w:val="0018295B"/>
    <w:rsid w:val="00183AB5"/>
    <w:rsid w:val="0018453A"/>
    <w:rsid w:val="001847BC"/>
    <w:rsid w:val="00185938"/>
    <w:rsid w:val="001861EF"/>
    <w:rsid w:val="0018651B"/>
    <w:rsid w:val="00191AA6"/>
    <w:rsid w:val="00191B3D"/>
    <w:rsid w:val="0019243C"/>
    <w:rsid w:val="001970E8"/>
    <w:rsid w:val="001A0340"/>
    <w:rsid w:val="001A12C5"/>
    <w:rsid w:val="001A21DF"/>
    <w:rsid w:val="001A5ECF"/>
    <w:rsid w:val="001A61D5"/>
    <w:rsid w:val="001B0696"/>
    <w:rsid w:val="001B35A6"/>
    <w:rsid w:val="001B3A61"/>
    <w:rsid w:val="001B53A4"/>
    <w:rsid w:val="001C0A39"/>
    <w:rsid w:val="001C2F62"/>
    <w:rsid w:val="001C3B79"/>
    <w:rsid w:val="001C43C1"/>
    <w:rsid w:val="001C5190"/>
    <w:rsid w:val="001C5778"/>
    <w:rsid w:val="001C6AD9"/>
    <w:rsid w:val="001C6CED"/>
    <w:rsid w:val="001C73CA"/>
    <w:rsid w:val="001C7928"/>
    <w:rsid w:val="001D1CDC"/>
    <w:rsid w:val="001D2D0D"/>
    <w:rsid w:val="001D4E29"/>
    <w:rsid w:val="001E273B"/>
    <w:rsid w:val="001E369B"/>
    <w:rsid w:val="001E49C3"/>
    <w:rsid w:val="001E6E55"/>
    <w:rsid w:val="001F061C"/>
    <w:rsid w:val="001F0806"/>
    <w:rsid w:val="00201D42"/>
    <w:rsid w:val="00202210"/>
    <w:rsid w:val="00202D4A"/>
    <w:rsid w:val="00203032"/>
    <w:rsid w:val="00203C75"/>
    <w:rsid w:val="00206773"/>
    <w:rsid w:val="00207265"/>
    <w:rsid w:val="002137A2"/>
    <w:rsid w:val="00213D67"/>
    <w:rsid w:val="002178EE"/>
    <w:rsid w:val="002223EC"/>
    <w:rsid w:val="002236E6"/>
    <w:rsid w:val="00225FE2"/>
    <w:rsid w:val="0022618D"/>
    <w:rsid w:val="002263A3"/>
    <w:rsid w:val="00227441"/>
    <w:rsid w:val="00227CF8"/>
    <w:rsid w:val="0023017A"/>
    <w:rsid w:val="0023233D"/>
    <w:rsid w:val="002323CD"/>
    <w:rsid w:val="00233F0F"/>
    <w:rsid w:val="0023562D"/>
    <w:rsid w:val="00236DCF"/>
    <w:rsid w:val="00237260"/>
    <w:rsid w:val="00237D4C"/>
    <w:rsid w:val="00237FFB"/>
    <w:rsid w:val="00240CD6"/>
    <w:rsid w:val="00242B88"/>
    <w:rsid w:val="002464FE"/>
    <w:rsid w:val="00247316"/>
    <w:rsid w:val="00250926"/>
    <w:rsid w:val="002513AF"/>
    <w:rsid w:val="002516A5"/>
    <w:rsid w:val="00251906"/>
    <w:rsid w:val="00251BF2"/>
    <w:rsid w:val="00254960"/>
    <w:rsid w:val="00255C48"/>
    <w:rsid w:val="00257078"/>
    <w:rsid w:val="002575F9"/>
    <w:rsid w:val="00263797"/>
    <w:rsid w:val="00263CC0"/>
    <w:rsid w:val="00264788"/>
    <w:rsid w:val="00265ABD"/>
    <w:rsid w:val="00265DD4"/>
    <w:rsid w:val="002661A0"/>
    <w:rsid w:val="00267F8A"/>
    <w:rsid w:val="00272941"/>
    <w:rsid w:val="00274203"/>
    <w:rsid w:val="00276090"/>
    <w:rsid w:val="00280692"/>
    <w:rsid w:val="00281797"/>
    <w:rsid w:val="00282C76"/>
    <w:rsid w:val="00283A0D"/>
    <w:rsid w:val="00283BFF"/>
    <w:rsid w:val="002849B3"/>
    <w:rsid w:val="00286175"/>
    <w:rsid w:val="0028719B"/>
    <w:rsid w:val="00292C0F"/>
    <w:rsid w:val="0029390B"/>
    <w:rsid w:val="00293DA7"/>
    <w:rsid w:val="002948C6"/>
    <w:rsid w:val="00295B3D"/>
    <w:rsid w:val="00295B66"/>
    <w:rsid w:val="00295CC6"/>
    <w:rsid w:val="002A084D"/>
    <w:rsid w:val="002A2691"/>
    <w:rsid w:val="002A3CCE"/>
    <w:rsid w:val="002A466C"/>
    <w:rsid w:val="002A5596"/>
    <w:rsid w:val="002A6BDF"/>
    <w:rsid w:val="002A7041"/>
    <w:rsid w:val="002A768F"/>
    <w:rsid w:val="002B106E"/>
    <w:rsid w:val="002B1EED"/>
    <w:rsid w:val="002B54B6"/>
    <w:rsid w:val="002C247D"/>
    <w:rsid w:val="002C24DC"/>
    <w:rsid w:val="002C3CA8"/>
    <w:rsid w:val="002C4D75"/>
    <w:rsid w:val="002C5331"/>
    <w:rsid w:val="002C5B50"/>
    <w:rsid w:val="002C6972"/>
    <w:rsid w:val="002D0E2C"/>
    <w:rsid w:val="002D1B9C"/>
    <w:rsid w:val="002D2053"/>
    <w:rsid w:val="002D38C7"/>
    <w:rsid w:val="002D458F"/>
    <w:rsid w:val="002D4AA4"/>
    <w:rsid w:val="002D61C1"/>
    <w:rsid w:val="002D6EA9"/>
    <w:rsid w:val="002E2E97"/>
    <w:rsid w:val="002E59D9"/>
    <w:rsid w:val="002E71E9"/>
    <w:rsid w:val="002E7AD2"/>
    <w:rsid w:val="002F1741"/>
    <w:rsid w:val="002F1E50"/>
    <w:rsid w:val="002F2188"/>
    <w:rsid w:val="002F2889"/>
    <w:rsid w:val="002F2BBA"/>
    <w:rsid w:val="002F2BC1"/>
    <w:rsid w:val="002F2C14"/>
    <w:rsid w:val="002F3AEB"/>
    <w:rsid w:val="002F4A57"/>
    <w:rsid w:val="002F500F"/>
    <w:rsid w:val="002F5655"/>
    <w:rsid w:val="002F774C"/>
    <w:rsid w:val="00301C92"/>
    <w:rsid w:val="00302A80"/>
    <w:rsid w:val="00303B34"/>
    <w:rsid w:val="00306451"/>
    <w:rsid w:val="00306662"/>
    <w:rsid w:val="0030754B"/>
    <w:rsid w:val="003079A3"/>
    <w:rsid w:val="003105AA"/>
    <w:rsid w:val="00310B34"/>
    <w:rsid w:val="00310CF6"/>
    <w:rsid w:val="00311624"/>
    <w:rsid w:val="00312930"/>
    <w:rsid w:val="00313928"/>
    <w:rsid w:val="00314D66"/>
    <w:rsid w:val="00314F9E"/>
    <w:rsid w:val="00320544"/>
    <w:rsid w:val="00320C39"/>
    <w:rsid w:val="00320D41"/>
    <w:rsid w:val="0032138D"/>
    <w:rsid w:val="003227FE"/>
    <w:rsid w:val="003241F0"/>
    <w:rsid w:val="00326393"/>
    <w:rsid w:val="0032708B"/>
    <w:rsid w:val="00330DDD"/>
    <w:rsid w:val="003310C2"/>
    <w:rsid w:val="0033188B"/>
    <w:rsid w:val="0033214C"/>
    <w:rsid w:val="003365AE"/>
    <w:rsid w:val="00336EFB"/>
    <w:rsid w:val="0034048D"/>
    <w:rsid w:val="00341A29"/>
    <w:rsid w:val="0034272C"/>
    <w:rsid w:val="00342B74"/>
    <w:rsid w:val="0034369F"/>
    <w:rsid w:val="00343C9A"/>
    <w:rsid w:val="00343F43"/>
    <w:rsid w:val="00344CB1"/>
    <w:rsid w:val="0034680A"/>
    <w:rsid w:val="003503E3"/>
    <w:rsid w:val="00351380"/>
    <w:rsid w:val="0035500B"/>
    <w:rsid w:val="00355F39"/>
    <w:rsid w:val="00356615"/>
    <w:rsid w:val="00356A45"/>
    <w:rsid w:val="0036150D"/>
    <w:rsid w:val="00361AEB"/>
    <w:rsid w:val="00366A48"/>
    <w:rsid w:val="00370462"/>
    <w:rsid w:val="00371E1D"/>
    <w:rsid w:val="00372178"/>
    <w:rsid w:val="0037541A"/>
    <w:rsid w:val="00376A81"/>
    <w:rsid w:val="00380E5F"/>
    <w:rsid w:val="0038252B"/>
    <w:rsid w:val="00383D7B"/>
    <w:rsid w:val="00386180"/>
    <w:rsid w:val="00387502"/>
    <w:rsid w:val="00390A9A"/>
    <w:rsid w:val="0039262C"/>
    <w:rsid w:val="00394AE5"/>
    <w:rsid w:val="00394F4A"/>
    <w:rsid w:val="003951E0"/>
    <w:rsid w:val="00396D6C"/>
    <w:rsid w:val="003A099E"/>
    <w:rsid w:val="003A1125"/>
    <w:rsid w:val="003A182F"/>
    <w:rsid w:val="003A2F94"/>
    <w:rsid w:val="003A7B65"/>
    <w:rsid w:val="003B05EF"/>
    <w:rsid w:val="003B3E20"/>
    <w:rsid w:val="003B4CF3"/>
    <w:rsid w:val="003B59F9"/>
    <w:rsid w:val="003B65EA"/>
    <w:rsid w:val="003B68FB"/>
    <w:rsid w:val="003B6C11"/>
    <w:rsid w:val="003C05F2"/>
    <w:rsid w:val="003C41DE"/>
    <w:rsid w:val="003C653B"/>
    <w:rsid w:val="003C758A"/>
    <w:rsid w:val="003C7E10"/>
    <w:rsid w:val="003D0C8D"/>
    <w:rsid w:val="003D1803"/>
    <w:rsid w:val="003D2B0B"/>
    <w:rsid w:val="003D2D33"/>
    <w:rsid w:val="003D369A"/>
    <w:rsid w:val="003D3A1E"/>
    <w:rsid w:val="003D4932"/>
    <w:rsid w:val="003E0241"/>
    <w:rsid w:val="003E0BD9"/>
    <w:rsid w:val="003E277A"/>
    <w:rsid w:val="003E5055"/>
    <w:rsid w:val="003E6B27"/>
    <w:rsid w:val="003F0427"/>
    <w:rsid w:val="003F17B6"/>
    <w:rsid w:val="003F1905"/>
    <w:rsid w:val="003F5DFC"/>
    <w:rsid w:val="003F636E"/>
    <w:rsid w:val="00403951"/>
    <w:rsid w:val="00404DEF"/>
    <w:rsid w:val="0040735F"/>
    <w:rsid w:val="004076C8"/>
    <w:rsid w:val="00407926"/>
    <w:rsid w:val="004116A7"/>
    <w:rsid w:val="00412CD0"/>
    <w:rsid w:val="00414003"/>
    <w:rsid w:val="004143AE"/>
    <w:rsid w:val="00415391"/>
    <w:rsid w:val="00415B36"/>
    <w:rsid w:val="00424B1C"/>
    <w:rsid w:val="00424FC5"/>
    <w:rsid w:val="00425031"/>
    <w:rsid w:val="00426684"/>
    <w:rsid w:val="0042695E"/>
    <w:rsid w:val="00427E22"/>
    <w:rsid w:val="00427FED"/>
    <w:rsid w:val="004309DF"/>
    <w:rsid w:val="0043163D"/>
    <w:rsid w:val="00431D0E"/>
    <w:rsid w:val="00432322"/>
    <w:rsid w:val="00432DA6"/>
    <w:rsid w:val="004361AB"/>
    <w:rsid w:val="004364A2"/>
    <w:rsid w:val="0043670F"/>
    <w:rsid w:val="00440884"/>
    <w:rsid w:val="0044238E"/>
    <w:rsid w:val="00443D08"/>
    <w:rsid w:val="00444564"/>
    <w:rsid w:val="004508B2"/>
    <w:rsid w:val="00451C16"/>
    <w:rsid w:val="00452D9B"/>
    <w:rsid w:val="00453ABD"/>
    <w:rsid w:val="00456D14"/>
    <w:rsid w:val="00456FB2"/>
    <w:rsid w:val="00461030"/>
    <w:rsid w:val="00462B0C"/>
    <w:rsid w:val="00464795"/>
    <w:rsid w:val="00464FC5"/>
    <w:rsid w:val="00465830"/>
    <w:rsid w:val="004665A7"/>
    <w:rsid w:val="00470C49"/>
    <w:rsid w:val="004725B2"/>
    <w:rsid w:val="00472DBD"/>
    <w:rsid w:val="00474589"/>
    <w:rsid w:val="0047754A"/>
    <w:rsid w:val="00480001"/>
    <w:rsid w:val="00481752"/>
    <w:rsid w:val="00481D87"/>
    <w:rsid w:val="00481F26"/>
    <w:rsid w:val="004824E8"/>
    <w:rsid w:val="00483020"/>
    <w:rsid w:val="00483FEC"/>
    <w:rsid w:val="004854D6"/>
    <w:rsid w:val="004863CE"/>
    <w:rsid w:val="004877C1"/>
    <w:rsid w:val="00490733"/>
    <w:rsid w:val="004907D2"/>
    <w:rsid w:val="00491117"/>
    <w:rsid w:val="00491806"/>
    <w:rsid w:val="00491F90"/>
    <w:rsid w:val="004939C9"/>
    <w:rsid w:val="00496A62"/>
    <w:rsid w:val="004A03C5"/>
    <w:rsid w:val="004A1CFE"/>
    <w:rsid w:val="004A2432"/>
    <w:rsid w:val="004A26AB"/>
    <w:rsid w:val="004A54EF"/>
    <w:rsid w:val="004A5743"/>
    <w:rsid w:val="004A67B1"/>
    <w:rsid w:val="004A6875"/>
    <w:rsid w:val="004A6BBA"/>
    <w:rsid w:val="004B01FF"/>
    <w:rsid w:val="004B048D"/>
    <w:rsid w:val="004B100F"/>
    <w:rsid w:val="004B1C98"/>
    <w:rsid w:val="004B23D5"/>
    <w:rsid w:val="004B41DD"/>
    <w:rsid w:val="004B4349"/>
    <w:rsid w:val="004B533F"/>
    <w:rsid w:val="004B55DF"/>
    <w:rsid w:val="004C15FF"/>
    <w:rsid w:val="004C3B71"/>
    <w:rsid w:val="004C4C03"/>
    <w:rsid w:val="004C567E"/>
    <w:rsid w:val="004C6313"/>
    <w:rsid w:val="004C6C49"/>
    <w:rsid w:val="004D1D65"/>
    <w:rsid w:val="004D223A"/>
    <w:rsid w:val="004D761B"/>
    <w:rsid w:val="004E0DFC"/>
    <w:rsid w:val="004E18DF"/>
    <w:rsid w:val="004E1A6D"/>
    <w:rsid w:val="004E262C"/>
    <w:rsid w:val="004E4701"/>
    <w:rsid w:val="004E756A"/>
    <w:rsid w:val="004E759C"/>
    <w:rsid w:val="004F10A6"/>
    <w:rsid w:val="004F448C"/>
    <w:rsid w:val="004F4683"/>
    <w:rsid w:val="004F4C5C"/>
    <w:rsid w:val="004F658F"/>
    <w:rsid w:val="004F6A20"/>
    <w:rsid w:val="004F7726"/>
    <w:rsid w:val="0050072D"/>
    <w:rsid w:val="00500FB1"/>
    <w:rsid w:val="005010A2"/>
    <w:rsid w:val="005055FD"/>
    <w:rsid w:val="00505781"/>
    <w:rsid w:val="00505921"/>
    <w:rsid w:val="00506970"/>
    <w:rsid w:val="00506D78"/>
    <w:rsid w:val="00507D01"/>
    <w:rsid w:val="005147F7"/>
    <w:rsid w:val="0051698A"/>
    <w:rsid w:val="00517AFF"/>
    <w:rsid w:val="00522317"/>
    <w:rsid w:val="00522697"/>
    <w:rsid w:val="00522F23"/>
    <w:rsid w:val="005247EB"/>
    <w:rsid w:val="00524F04"/>
    <w:rsid w:val="00525C5D"/>
    <w:rsid w:val="005264C0"/>
    <w:rsid w:val="00526BA4"/>
    <w:rsid w:val="005306AE"/>
    <w:rsid w:val="00530AB7"/>
    <w:rsid w:val="005337C3"/>
    <w:rsid w:val="0053489C"/>
    <w:rsid w:val="00536F49"/>
    <w:rsid w:val="00537576"/>
    <w:rsid w:val="00537CDE"/>
    <w:rsid w:val="005408F3"/>
    <w:rsid w:val="00541266"/>
    <w:rsid w:val="00541AC4"/>
    <w:rsid w:val="00543091"/>
    <w:rsid w:val="00543B29"/>
    <w:rsid w:val="00545EED"/>
    <w:rsid w:val="00547381"/>
    <w:rsid w:val="0055019D"/>
    <w:rsid w:val="00550701"/>
    <w:rsid w:val="00550842"/>
    <w:rsid w:val="005509A6"/>
    <w:rsid w:val="00550EDE"/>
    <w:rsid w:val="00552FA1"/>
    <w:rsid w:val="00553B6A"/>
    <w:rsid w:val="00555067"/>
    <w:rsid w:val="00555744"/>
    <w:rsid w:val="005568EA"/>
    <w:rsid w:val="00563D3A"/>
    <w:rsid w:val="0056452A"/>
    <w:rsid w:val="00564C48"/>
    <w:rsid w:val="005651BF"/>
    <w:rsid w:val="00565514"/>
    <w:rsid w:val="00565E4E"/>
    <w:rsid w:val="00565E8D"/>
    <w:rsid w:val="00566641"/>
    <w:rsid w:val="00567779"/>
    <w:rsid w:val="005677C0"/>
    <w:rsid w:val="0057104C"/>
    <w:rsid w:val="00572949"/>
    <w:rsid w:val="0057355A"/>
    <w:rsid w:val="00573BA8"/>
    <w:rsid w:val="005741A2"/>
    <w:rsid w:val="005755C8"/>
    <w:rsid w:val="00575B03"/>
    <w:rsid w:val="00576AE0"/>
    <w:rsid w:val="005778CF"/>
    <w:rsid w:val="00581347"/>
    <w:rsid w:val="00582599"/>
    <w:rsid w:val="00583450"/>
    <w:rsid w:val="005837D9"/>
    <w:rsid w:val="005869FE"/>
    <w:rsid w:val="005902E8"/>
    <w:rsid w:val="00592770"/>
    <w:rsid w:val="00592D16"/>
    <w:rsid w:val="005944BE"/>
    <w:rsid w:val="0059730D"/>
    <w:rsid w:val="00597998"/>
    <w:rsid w:val="005A18B0"/>
    <w:rsid w:val="005A3DA2"/>
    <w:rsid w:val="005A435A"/>
    <w:rsid w:val="005A4A67"/>
    <w:rsid w:val="005A5146"/>
    <w:rsid w:val="005A5BEB"/>
    <w:rsid w:val="005A6B03"/>
    <w:rsid w:val="005B12DE"/>
    <w:rsid w:val="005B2D86"/>
    <w:rsid w:val="005B6952"/>
    <w:rsid w:val="005B6EC6"/>
    <w:rsid w:val="005C2585"/>
    <w:rsid w:val="005C2EBA"/>
    <w:rsid w:val="005C3C35"/>
    <w:rsid w:val="005C6304"/>
    <w:rsid w:val="005C7FE0"/>
    <w:rsid w:val="005D0183"/>
    <w:rsid w:val="005D3766"/>
    <w:rsid w:val="005D45B4"/>
    <w:rsid w:val="005D5660"/>
    <w:rsid w:val="005D72AD"/>
    <w:rsid w:val="005E1C8D"/>
    <w:rsid w:val="005E1F49"/>
    <w:rsid w:val="005E2F66"/>
    <w:rsid w:val="005E50DB"/>
    <w:rsid w:val="005E659C"/>
    <w:rsid w:val="005E7BD7"/>
    <w:rsid w:val="005F0E86"/>
    <w:rsid w:val="005F547B"/>
    <w:rsid w:val="005F620D"/>
    <w:rsid w:val="00602780"/>
    <w:rsid w:val="00604D73"/>
    <w:rsid w:val="00605DE5"/>
    <w:rsid w:val="00605FB3"/>
    <w:rsid w:val="0060674A"/>
    <w:rsid w:val="0060724C"/>
    <w:rsid w:val="00607FA4"/>
    <w:rsid w:val="00610865"/>
    <w:rsid w:val="006117D4"/>
    <w:rsid w:val="006140EE"/>
    <w:rsid w:val="006158CB"/>
    <w:rsid w:val="00615BC7"/>
    <w:rsid w:val="006163E9"/>
    <w:rsid w:val="00617116"/>
    <w:rsid w:val="00621B89"/>
    <w:rsid w:val="00621DC7"/>
    <w:rsid w:val="00624157"/>
    <w:rsid w:val="006245A0"/>
    <w:rsid w:val="00625CDB"/>
    <w:rsid w:val="00626799"/>
    <w:rsid w:val="0062697C"/>
    <w:rsid w:val="00627AC9"/>
    <w:rsid w:val="00631BC4"/>
    <w:rsid w:val="00637410"/>
    <w:rsid w:val="006412F1"/>
    <w:rsid w:val="0064568C"/>
    <w:rsid w:val="006465F6"/>
    <w:rsid w:val="00650677"/>
    <w:rsid w:val="00651A9C"/>
    <w:rsid w:val="0065281A"/>
    <w:rsid w:val="006547C1"/>
    <w:rsid w:val="00657CDB"/>
    <w:rsid w:val="00657EB5"/>
    <w:rsid w:val="00661079"/>
    <w:rsid w:val="0066560D"/>
    <w:rsid w:val="00665CA6"/>
    <w:rsid w:val="00666A27"/>
    <w:rsid w:val="0067455A"/>
    <w:rsid w:val="00674F57"/>
    <w:rsid w:val="006761DF"/>
    <w:rsid w:val="0067760D"/>
    <w:rsid w:val="006834FA"/>
    <w:rsid w:val="00683985"/>
    <w:rsid w:val="00684214"/>
    <w:rsid w:val="00684A64"/>
    <w:rsid w:val="00690587"/>
    <w:rsid w:val="00690FBF"/>
    <w:rsid w:val="0069114B"/>
    <w:rsid w:val="00691C57"/>
    <w:rsid w:val="00692F9A"/>
    <w:rsid w:val="00693873"/>
    <w:rsid w:val="00696D0F"/>
    <w:rsid w:val="0069744B"/>
    <w:rsid w:val="006975FE"/>
    <w:rsid w:val="00697903"/>
    <w:rsid w:val="00697E75"/>
    <w:rsid w:val="006A1560"/>
    <w:rsid w:val="006A36FF"/>
    <w:rsid w:val="006A38C5"/>
    <w:rsid w:val="006A3CF0"/>
    <w:rsid w:val="006A5232"/>
    <w:rsid w:val="006A5794"/>
    <w:rsid w:val="006A5F36"/>
    <w:rsid w:val="006B3F18"/>
    <w:rsid w:val="006B5F01"/>
    <w:rsid w:val="006B5F17"/>
    <w:rsid w:val="006B6620"/>
    <w:rsid w:val="006B68B5"/>
    <w:rsid w:val="006C0284"/>
    <w:rsid w:val="006C1234"/>
    <w:rsid w:val="006C1D77"/>
    <w:rsid w:val="006C2160"/>
    <w:rsid w:val="006C3D5F"/>
    <w:rsid w:val="006C64A9"/>
    <w:rsid w:val="006D25BC"/>
    <w:rsid w:val="006D5EAA"/>
    <w:rsid w:val="006D668E"/>
    <w:rsid w:val="006D68A7"/>
    <w:rsid w:val="006E088F"/>
    <w:rsid w:val="006E273F"/>
    <w:rsid w:val="006E2750"/>
    <w:rsid w:val="006E2C5C"/>
    <w:rsid w:val="006E4122"/>
    <w:rsid w:val="006E48B5"/>
    <w:rsid w:val="006E4FBC"/>
    <w:rsid w:val="006E77F5"/>
    <w:rsid w:val="006F1949"/>
    <w:rsid w:val="006F52AB"/>
    <w:rsid w:val="006F6129"/>
    <w:rsid w:val="006F7119"/>
    <w:rsid w:val="006F794E"/>
    <w:rsid w:val="006F7994"/>
    <w:rsid w:val="00704627"/>
    <w:rsid w:val="00704AFA"/>
    <w:rsid w:val="00712446"/>
    <w:rsid w:val="007129A7"/>
    <w:rsid w:val="00712D61"/>
    <w:rsid w:val="00713339"/>
    <w:rsid w:val="00715A60"/>
    <w:rsid w:val="00715E23"/>
    <w:rsid w:val="0071774D"/>
    <w:rsid w:val="007206CE"/>
    <w:rsid w:val="00721AB8"/>
    <w:rsid w:val="00721F70"/>
    <w:rsid w:val="007226E2"/>
    <w:rsid w:val="00723065"/>
    <w:rsid w:val="0072575C"/>
    <w:rsid w:val="00727C78"/>
    <w:rsid w:val="00730792"/>
    <w:rsid w:val="00731655"/>
    <w:rsid w:val="007316E2"/>
    <w:rsid w:val="007339EC"/>
    <w:rsid w:val="00735520"/>
    <w:rsid w:val="00735920"/>
    <w:rsid w:val="0074092F"/>
    <w:rsid w:val="007416FA"/>
    <w:rsid w:val="00744B23"/>
    <w:rsid w:val="007504BB"/>
    <w:rsid w:val="00750FE6"/>
    <w:rsid w:val="007513D8"/>
    <w:rsid w:val="007514B2"/>
    <w:rsid w:val="00752440"/>
    <w:rsid w:val="00752A3B"/>
    <w:rsid w:val="007554CC"/>
    <w:rsid w:val="00761266"/>
    <w:rsid w:val="00762B29"/>
    <w:rsid w:val="007638C6"/>
    <w:rsid w:val="00763F05"/>
    <w:rsid w:val="007641A1"/>
    <w:rsid w:val="0076598B"/>
    <w:rsid w:val="007677CB"/>
    <w:rsid w:val="00770214"/>
    <w:rsid w:val="00771766"/>
    <w:rsid w:val="00771E50"/>
    <w:rsid w:val="007808A4"/>
    <w:rsid w:val="00780AAA"/>
    <w:rsid w:val="00782945"/>
    <w:rsid w:val="00783146"/>
    <w:rsid w:val="007834E8"/>
    <w:rsid w:val="00785083"/>
    <w:rsid w:val="00787FC7"/>
    <w:rsid w:val="00791CDA"/>
    <w:rsid w:val="00792137"/>
    <w:rsid w:val="00792DC0"/>
    <w:rsid w:val="007940BD"/>
    <w:rsid w:val="00795936"/>
    <w:rsid w:val="0079726C"/>
    <w:rsid w:val="007A2C52"/>
    <w:rsid w:val="007A3404"/>
    <w:rsid w:val="007A3E2D"/>
    <w:rsid w:val="007A4767"/>
    <w:rsid w:val="007A55EF"/>
    <w:rsid w:val="007A5E13"/>
    <w:rsid w:val="007A6A41"/>
    <w:rsid w:val="007B02FD"/>
    <w:rsid w:val="007B1862"/>
    <w:rsid w:val="007B7402"/>
    <w:rsid w:val="007C02A9"/>
    <w:rsid w:val="007C05B3"/>
    <w:rsid w:val="007C0663"/>
    <w:rsid w:val="007C0A9D"/>
    <w:rsid w:val="007C0AE6"/>
    <w:rsid w:val="007C137E"/>
    <w:rsid w:val="007C55C4"/>
    <w:rsid w:val="007C5CDA"/>
    <w:rsid w:val="007D065B"/>
    <w:rsid w:val="007D2649"/>
    <w:rsid w:val="007D3A60"/>
    <w:rsid w:val="007D63C3"/>
    <w:rsid w:val="007D7876"/>
    <w:rsid w:val="007D7A9D"/>
    <w:rsid w:val="007E0803"/>
    <w:rsid w:val="007E39A0"/>
    <w:rsid w:val="007E5A34"/>
    <w:rsid w:val="007E6374"/>
    <w:rsid w:val="007E65B3"/>
    <w:rsid w:val="007E6C8E"/>
    <w:rsid w:val="007F1088"/>
    <w:rsid w:val="007F1254"/>
    <w:rsid w:val="007F63B8"/>
    <w:rsid w:val="007F676D"/>
    <w:rsid w:val="007F6CFE"/>
    <w:rsid w:val="00800FAB"/>
    <w:rsid w:val="008014EE"/>
    <w:rsid w:val="00801C4B"/>
    <w:rsid w:val="00805477"/>
    <w:rsid w:val="00806B9B"/>
    <w:rsid w:val="00810170"/>
    <w:rsid w:val="00810414"/>
    <w:rsid w:val="00812F28"/>
    <w:rsid w:val="0081361A"/>
    <w:rsid w:val="00816F85"/>
    <w:rsid w:val="0081715F"/>
    <w:rsid w:val="00817190"/>
    <w:rsid w:val="00817F11"/>
    <w:rsid w:val="00820C69"/>
    <w:rsid w:val="00820EED"/>
    <w:rsid w:val="00821194"/>
    <w:rsid w:val="00822210"/>
    <w:rsid w:val="00822B19"/>
    <w:rsid w:val="00822DCB"/>
    <w:rsid w:val="00823230"/>
    <w:rsid w:val="00824455"/>
    <w:rsid w:val="0082472B"/>
    <w:rsid w:val="008252DF"/>
    <w:rsid w:val="0082563F"/>
    <w:rsid w:val="00825DE9"/>
    <w:rsid w:val="0082655B"/>
    <w:rsid w:val="00827577"/>
    <w:rsid w:val="0083110E"/>
    <w:rsid w:val="008331EA"/>
    <w:rsid w:val="00835DA9"/>
    <w:rsid w:val="00836250"/>
    <w:rsid w:val="0084055A"/>
    <w:rsid w:val="00840F05"/>
    <w:rsid w:val="0084210E"/>
    <w:rsid w:val="008428CE"/>
    <w:rsid w:val="00843C6A"/>
    <w:rsid w:val="00845158"/>
    <w:rsid w:val="00851FD9"/>
    <w:rsid w:val="00854388"/>
    <w:rsid w:val="0085494E"/>
    <w:rsid w:val="008570C6"/>
    <w:rsid w:val="00857CCF"/>
    <w:rsid w:val="00861E72"/>
    <w:rsid w:val="008624D5"/>
    <w:rsid w:val="00864AF4"/>
    <w:rsid w:val="00865248"/>
    <w:rsid w:val="008654F0"/>
    <w:rsid w:val="008678EB"/>
    <w:rsid w:val="0087241B"/>
    <w:rsid w:val="00873375"/>
    <w:rsid w:val="008756C6"/>
    <w:rsid w:val="00876812"/>
    <w:rsid w:val="00876C32"/>
    <w:rsid w:val="00880B2E"/>
    <w:rsid w:val="00883110"/>
    <w:rsid w:val="00884256"/>
    <w:rsid w:val="0088602D"/>
    <w:rsid w:val="00887275"/>
    <w:rsid w:val="008875C7"/>
    <w:rsid w:val="00891407"/>
    <w:rsid w:val="00893FC9"/>
    <w:rsid w:val="008941F6"/>
    <w:rsid w:val="008961DE"/>
    <w:rsid w:val="008A46EB"/>
    <w:rsid w:val="008A53FC"/>
    <w:rsid w:val="008B0FC8"/>
    <w:rsid w:val="008B1BAB"/>
    <w:rsid w:val="008B6758"/>
    <w:rsid w:val="008B7C99"/>
    <w:rsid w:val="008B7D79"/>
    <w:rsid w:val="008C3A2A"/>
    <w:rsid w:val="008C3AAF"/>
    <w:rsid w:val="008C3AC3"/>
    <w:rsid w:val="008C4F2F"/>
    <w:rsid w:val="008C4FCC"/>
    <w:rsid w:val="008C594A"/>
    <w:rsid w:val="008C5B6F"/>
    <w:rsid w:val="008C5D1F"/>
    <w:rsid w:val="008C69E1"/>
    <w:rsid w:val="008D0C2D"/>
    <w:rsid w:val="008D1A77"/>
    <w:rsid w:val="008D44B7"/>
    <w:rsid w:val="008D5024"/>
    <w:rsid w:val="008D5604"/>
    <w:rsid w:val="008D6256"/>
    <w:rsid w:val="008E00FE"/>
    <w:rsid w:val="008E0AF2"/>
    <w:rsid w:val="008E1D26"/>
    <w:rsid w:val="008E2CC2"/>
    <w:rsid w:val="008E4166"/>
    <w:rsid w:val="008E4EF6"/>
    <w:rsid w:val="008E6483"/>
    <w:rsid w:val="008F08A6"/>
    <w:rsid w:val="008F111C"/>
    <w:rsid w:val="008F1F15"/>
    <w:rsid w:val="008F355D"/>
    <w:rsid w:val="008F55EB"/>
    <w:rsid w:val="008F6E74"/>
    <w:rsid w:val="008F73DC"/>
    <w:rsid w:val="00900EEA"/>
    <w:rsid w:val="0090227A"/>
    <w:rsid w:val="00903129"/>
    <w:rsid w:val="00903766"/>
    <w:rsid w:val="00903DC4"/>
    <w:rsid w:val="009051FD"/>
    <w:rsid w:val="009060F4"/>
    <w:rsid w:val="0091031D"/>
    <w:rsid w:val="0091107F"/>
    <w:rsid w:val="00912B84"/>
    <w:rsid w:val="00913CBB"/>
    <w:rsid w:val="00915422"/>
    <w:rsid w:val="009161F2"/>
    <w:rsid w:val="00921B47"/>
    <w:rsid w:val="0092279B"/>
    <w:rsid w:val="00923447"/>
    <w:rsid w:val="009236CF"/>
    <w:rsid w:val="00925138"/>
    <w:rsid w:val="00926562"/>
    <w:rsid w:val="00926ACE"/>
    <w:rsid w:val="00927F98"/>
    <w:rsid w:val="00930DFC"/>
    <w:rsid w:val="00931698"/>
    <w:rsid w:val="00934138"/>
    <w:rsid w:val="0093520F"/>
    <w:rsid w:val="00935B64"/>
    <w:rsid w:val="00935DE1"/>
    <w:rsid w:val="00935FD2"/>
    <w:rsid w:val="009368A7"/>
    <w:rsid w:val="00936CEC"/>
    <w:rsid w:val="009403BD"/>
    <w:rsid w:val="00940D69"/>
    <w:rsid w:val="00941F55"/>
    <w:rsid w:val="00943109"/>
    <w:rsid w:val="00944D96"/>
    <w:rsid w:val="009453C0"/>
    <w:rsid w:val="00946C17"/>
    <w:rsid w:val="00946C5A"/>
    <w:rsid w:val="00946C8F"/>
    <w:rsid w:val="009470AD"/>
    <w:rsid w:val="00947EE3"/>
    <w:rsid w:val="009503FE"/>
    <w:rsid w:val="00952149"/>
    <w:rsid w:val="00953644"/>
    <w:rsid w:val="00953ADD"/>
    <w:rsid w:val="00953CD4"/>
    <w:rsid w:val="009544CD"/>
    <w:rsid w:val="00955289"/>
    <w:rsid w:val="00955DEC"/>
    <w:rsid w:val="00955ED4"/>
    <w:rsid w:val="009564E2"/>
    <w:rsid w:val="00957D86"/>
    <w:rsid w:val="0096018C"/>
    <w:rsid w:val="0096175D"/>
    <w:rsid w:val="009636B8"/>
    <w:rsid w:val="00964397"/>
    <w:rsid w:val="00964AED"/>
    <w:rsid w:val="0096694E"/>
    <w:rsid w:val="009715F3"/>
    <w:rsid w:val="00971A67"/>
    <w:rsid w:val="00976DB9"/>
    <w:rsid w:val="0098036B"/>
    <w:rsid w:val="00981177"/>
    <w:rsid w:val="00981854"/>
    <w:rsid w:val="00984D59"/>
    <w:rsid w:val="00986022"/>
    <w:rsid w:val="009877D3"/>
    <w:rsid w:val="0099088F"/>
    <w:rsid w:val="00991553"/>
    <w:rsid w:val="009924EC"/>
    <w:rsid w:val="009929DF"/>
    <w:rsid w:val="00992E13"/>
    <w:rsid w:val="009937DF"/>
    <w:rsid w:val="00993A0C"/>
    <w:rsid w:val="0099415D"/>
    <w:rsid w:val="009941F0"/>
    <w:rsid w:val="00994C7A"/>
    <w:rsid w:val="00995013"/>
    <w:rsid w:val="00995ECE"/>
    <w:rsid w:val="009A0593"/>
    <w:rsid w:val="009A2953"/>
    <w:rsid w:val="009A2DA2"/>
    <w:rsid w:val="009A3DF4"/>
    <w:rsid w:val="009A5540"/>
    <w:rsid w:val="009A5C05"/>
    <w:rsid w:val="009A7930"/>
    <w:rsid w:val="009B17DA"/>
    <w:rsid w:val="009B1DD5"/>
    <w:rsid w:val="009B28F0"/>
    <w:rsid w:val="009B7E11"/>
    <w:rsid w:val="009C336C"/>
    <w:rsid w:val="009C3384"/>
    <w:rsid w:val="009C4BC2"/>
    <w:rsid w:val="009C5911"/>
    <w:rsid w:val="009C6100"/>
    <w:rsid w:val="009C799A"/>
    <w:rsid w:val="009D10E2"/>
    <w:rsid w:val="009D379B"/>
    <w:rsid w:val="009D5E5F"/>
    <w:rsid w:val="009E05A0"/>
    <w:rsid w:val="009E17FC"/>
    <w:rsid w:val="009E18B2"/>
    <w:rsid w:val="009E4749"/>
    <w:rsid w:val="009E4825"/>
    <w:rsid w:val="009E5F85"/>
    <w:rsid w:val="009E6503"/>
    <w:rsid w:val="009F02A4"/>
    <w:rsid w:val="009F04BB"/>
    <w:rsid w:val="009F2B68"/>
    <w:rsid w:val="009F30C3"/>
    <w:rsid w:val="009F5D04"/>
    <w:rsid w:val="009F6EAB"/>
    <w:rsid w:val="009F7139"/>
    <w:rsid w:val="00A02226"/>
    <w:rsid w:val="00A0477E"/>
    <w:rsid w:val="00A064CF"/>
    <w:rsid w:val="00A0694C"/>
    <w:rsid w:val="00A077A5"/>
    <w:rsid w:val="00A1088A"/>
    <w:rsid w:val="00A12C6F"/>
    <w:rsid w:val="00A135B5"/>
    <w:rsid w:val="00A136BC"/>
    <w:rsid w:val="00A13FFE"/>
    <w:rsid w:val="00A14326"/>
    <w:rsid w:val="00A14AFA"/>
    <w:rsid w:val="00A16A1D"/>
    <w:rsid w:val="00A16E1A"/>
    <w:rsid w:val="00A17F53"/>
    <w:rsid w:val="00A21130"/>
    <w:rsid w:val="00A2294D"/>
    <w:rsid w:val="00A23DC1"/>
    <w:rsid w:val="00A2755F"/>
    <w:rsid w:val="00A3652D"/>
    <w:rsid w:val="00A368E0"/>
    <w:rsid w:val="00A37822"/>
    <w:rsid w:val="00A44EDC"/>
    <w:rsid w:val="00A47402"/>
    <w:rsid w:val="00A50623"/>
    <w:rsid w:val="00A531C5"/>
    <w:rsid w:val="00A54AB6"/>
    <w:rsid w:val="00A57C9F"/>
    <w:rsid w:val="00A60B6F"/>
    <w:rsid w:val="00A624F8"/>
    <w:rsid w:val="00A62815"/>
    <w:rsid w:val="00A62B93"/>
    <w:rsid w:val="00A649F3"/>
    <w:rsid w:val="00A64C5B"/>
    <w:rsid w:val="00A66341"/>
    <w:rsid w:val="00A6702B"/>
    <w:rsid w:val="00A67D55"/>
    <w:rsid w:val="00A67E77"/>
    <w:rsid w:val="00A71314"/>
    <w:rsid w:val="00A716FE"/>
    <w:rsid w:val="00A7289E"/>
    <w:rsid w:val="00A73583"/>
    <w:rsid w:val="00A735CE"/>
    <w:rsid w:val="00A74712"/>
    <w:rsid w:val="00A75221"/>
    <w:rsid w:val="00A830AC"/>
    <w:rsid w:val="00A8358B"/>
    <w:rsid w:val="00A8408C"/>
    <w:rsid w:val="00A86552"/>
    <w:rsid w:val="00A86784"/>
    <w:rsid w:val="00A86DCA"/>
    <w:rsid w:val="00A913FF"/>
    <w:rsid w:val="00A9156B"/>
    <w:rsid w:val="00A91579"/>
    <w:rsid w:val="00A918C5"/>
    <w:rsid w:val="00A9556B"/>
    <w:rsid w:val="00A964B9"/>
    <w:rsid w:val="00AA01F4"/>
    <w:rsid w:val="00AA03DD"/>
    <w:rsid w:val="00AA0668"/>
    <w:rsid w:val="00AA29D9"/>
    <w:rsid w:val="00AA3E77"/>
    <w:rsid w:val="00AA5482"/>
    <w:rsid w:val="00AA5E33"/>
    <w:rsid w:val="00AA731E"/>
    <w:rsid w:val="00AA7BF2"/>
    <w:rsid w:val="00AB0F99"/>
    <w:rsid w:val="00AB1793"/>
    <w:rsid w:val="00AB2B8C"/>
    <w:rsid w:val="00AB2BBF"/>
    <w:rsid w:val="00AB3213"/>
    <w:rsid w:val="00AB3D05"/>
    <w:rsid w:val="00AB5A7E"/>
    <w:rsid w:val="00AB6EAD"/>
    <w:rsid w:val="00AB7AC2"/>
    <w:rsid w:val="00AC4D1A"/>
    <w:rsid w:val="00AC506C"/>
    <w:rsid w:val="00AD05CD"/>
    <w:rsid w:val="00AD1D3D"/>
    <w:rsid w:val="00AD3B91"/>
    <w:rsid w:val="00AD58C3"/>
    <w:rsid w:val="00AD596B"/>
    <w:rsid w:val="00AD65AC"/>
    <w:rsid w:val="00AD7293"/>
    <w:rsid w:val="00AE07EF"/>
    <w:rsid w:val="00AE2890"/>
    <w:rsid w:val="00AE2A3D"/>
    <w:rsid w:val="00AE2B90"/>
    <w:rsid w:val="00AE3AA5"/>
    <w:rsid w:val="00AE5242"/>
    <w:rsid w:val="00AE5446"/>
    <w:rsid w:val="00AE57AD"/>
    <w:rsid w:val="00AE7C15"/>
    <w:rsid w:val="00AF02A7"/>
    <w:rsid w:val="00AF6D39"/>
    <w:rsid w:val="00AF7180"/>
    <w:rsid w:val="00AF7A09"/>
    <w:rsid w:val="00AF7B21"/>
    <w:rsid w:val="00AF7F35"/>
    <w:rsid w:val="00B0046F"/>
    <w:rsid w:val="00B0173C"/>
    <w:rsid w:val="00B01A40"/>
    <w:rsid w:val="00B028C7"/>
    <w:rsid w:val="00B03A1B"/>
    <w:rsid w:val="00B10740"/>
    <w:rsid w:val="00B1118D"/>
    <w:rsid w:val="00B11D8C"/>
    <w:rsid w:val="00B151F6"/>
    <w:rsid w:val="00B15510"/>
    <w:rsid w:val="00B15645"/>
    <w:rsid w:val="00B15791"/>
    <w:rsid w:val="00B165DC"/>
    <w:rsid w:val="00B17855"/>
    <w:rsid w:val="00B17E29"/>
    <w:rsid w:val="00B217BB"/>
    <w:rsid w:val="00B21C44"/>
    <w:rsid w:val="00B22405"/>
    <w:rsid w:val="00B24341"/>
    <w:rsid w:val="00B26E07"/>
    <w:rsid w:val="00B2779C"/>
    <w:rsid w:val="00B315C6"/>
    <w:rsid w:val="00B3174B"/>
    <w:rsid w:val="00B31F55"/>
    <w:rsid w:val="00B32D88"/>
    <w:rsid w:val="00B344A8"/>
    <w:rsid w:val="00B34CB1"/>
    <w:rsid w:val="00B34E3B"/>
    <w:rsid w:val="00B35C69"/>
    <w:rsid w:val="00B362C3"/>
    <w:rsid w:val="00B373F0"/>
    <w:rsid w:val="00B37418"/>
    <w:rsid w:val="00B40AEE"/>
    <w:rsid w:val="00B4108A"/>
    <w:rsid w:val="00B41F45"/>
    <w:rsid w:val="00B42CA8"/>
    <w:rsid w:val="00B43DBF"/>
    <w:rsid w:val="00B43E6A"/>
    <w:rsid w:val="00B4682C"/>
    <w:rsid w:val="00B46FD6"/>
    <w:rsid w:val="00B5229B"/>
    <w:rsid w:val="00B5335E"/>
    <w:rsid w:val="00B53A27"/>
    <w:rsid w:val="00B54BA1"/>
    <w:rsid w:val="00B552FF"/>
    <w:rsid w:val="00B56707"/>
    <w:rsid w:val="00B606C2"/>
    <w:rsid w:val="00B61A11"/>
    <w:rsid w:val="00B622E7"/>
    <w:rsid w:val="00B6430D"/>
    <w:rsid w:val="00B64D58"/>
    <w:rsid w:val="00B67AB1"/>
    <w:rsid w:val="00B70D54"/>
    <w:rsid w:val="00B719E1"/>
    <w:rsid w:val="00B73B42"/>
    <w:rsid w:val="00B77310"/>
    <w:rsid w:val="00B8062F"/>
    <w:rsid w:val="00B80CE2"/>
    <w:rsid w:val="00B811C7"/>
    <w:rsid w:val="00B81C25"/>
    <w:rsid w:val="00B85EFF"/>
    <w:rsid w:val="00B86A88"/>
    <w:rsid w:val="00B87C8F"/>
    <w:rsid w:val="00B905C9"/>
    <w:rsid w:val="00B9144A"/>
    <w:rsid w:val="00B93E38"/>
    <w:rsid w:val="00B93F7B"/>
    <w:rsid w:val="00B95326"/>
    <w:rsid w:val="00B96559"/>
    <w:rsid w:val="00B972C6"/>
    <w:rsid w:val="00B9744B"/>
    <w:rsid w:val="00BA1707"/>
    <w:rsid w:val="00BA4D80"/>
    <w:rsid w:val="00BA735B"/>
    <w:rsid w:val="00BB0170"/>
    <w:rsid w:val="00BB022E"/>
    <w:rsid w:val="00BB7536"/>
    <w:rsid w:val="00BC07EA"/>
    <w:rsid w:val="00BC0DC0"/>
    <w:rsid w:val="00BC18FC"/>
    <w:rsid w:val="00BC19FE"/>
    <w:rsid w:val="00BC369D"/>
    <w:rsid w:val="00BC45A5"/>
    <w:rsid w:val="00BD017A"/>
    <w:rsid w:val="00BD0905"/>
    <w:rsid w:val="00BD21F6"/>
    <w:rsid w:val="00BD3B4E"/>
    <w:rsid w:val="00BE04EA"/>
    <w:rsid w:val="00BE0B41"/>
    <w:rsid w:val="00BE4ADF"/>
    <w:rsid w:val="00BE4F3D"/>
    <w:rsid w:val="00BE71B3"/>
    <w:rsid w:val="00BF0B57"/>
    <w:rsid w:val="00BF37D8"/>
    <w:rsid w:val="00BF42AF"/>
    <w:rsid w:val="00BF7C39"/>
    <w:rsid w:val="00C01248"/>
    <w:rsid w:val="00C0271B"/>
    <w:rsid w:val="00C04382"/>
    <w:rsid w:val="00C04EC5"/>
    <w:rsid w:val="00C06767"/>
    <w:rsid w:val="00C070DB"/>
    <w:rsid w:val="00C07DDB"/>
    <w:rsid w:val="00C138C1"/>
    <w:rsid w:val="00C14F99"/>
    <w:rsid w:val="00C1515D"/>
    <w:rsid w:val="00C179CF"/>
    <w:rsid w:val="00C2043C"/>
    <w:rsid w:val="00C20E21"/>
    <w:rsid w:val="00C214EB"/>
    <w:rsid w:val="00C22F9E"/>
    <w:rsid w:val="00C30A28"/>
    <w:rsid w:val="00C30A9F"/>
    <w:rsid w:val="00C312B9"/>
    <w:rsid w:val="00C367E2"/>
    <w:rsid w:val="00C379BC"/>
    <w:rsid w:val="00C404EB"/>
    <w:rsid w:val="00C40D1C"/>
    <w:rsid w:val="00C41386"/>
    <w:rsid w:val="00C41C42"/>
    <w:rsid w:val="00C43733"/>
    <w:rsid w:val="00C43A34"/>
    <w:rsid w:val="00C445A7"/>
    <w:rsid w:val="00C44BBA"/>
    <w:rsid w:val="00C46828"/>
    <w:rsid w:val="00C5158E"/>
    <w:rsid w:val="00C519DB"/>
    <w:rsid w:val="00C52008"/>
    <w:rsid w:val="00C52F98"/>
    <w:rsid w:val="00C53221"/>
    <w:rsid w:val="00C54DAF"/>
    <w:rsid w:val="00C5524F"/>
    <w:rsid w:val="00C607A9"/>
    <w:rsid w:val="00C61744"/>
    <w:rsid w:val="00C61799"/>
    <w:rsid w:val="00C61CB6"/>
    <w:rsid w:val="00C639B1"/>
    <w:rsid w:val="00C705D2"/>
    <w:rsid w:val="00C70D0A"/>
    <w:rsid w:val="00C7177D"/>
    <w:rsid w:val="00C717D8"/>
    <w:rsid w:val="00C725CD"/>
    <w:rsid w:val="00C72B48"/>
    <w:rsid w:val="00C73174"/>
    <w:rsid w:val="00C75B23"/>
    <w:rsid w:val="00C77078"/>
    <w:rsid w:val="00C807EA"/>
    <w:rsid w:val="00C820E3"/>
    <w:rsid w:val="00C82C42"/>
    <w:rsid w:val="00C83B8F"/>
    <w:rsid w:val="00C83F27"/>
    <w:rsid w:val="00C846EA"/>
    <w:rsid w:val="00C84A99"/>
    <w:rsid w:val="00C9002B"/>
    <w:rsid w:val="00C91ED1"/>
    <w:rsid w:val="00C951C7"/>
    <w:rsid w:val="00C96E29"/>
    <w:rsid w:val="00C9749B"/>
    <w:rsid w:val="00CA02B6"/>
    <w:rsid w:val="00CA1506"/>
    <w:rsid w:val="00CA3403"/>
    <w:rsid w:val="00CA6F16"/>
    <w:rsid w:val="00CB6848"/>
    <w:rsid w:val="00CB6928"/>
    <w:rsid w:val="00CC0395"/>
    <w:rsid w:val="00CC0604"/>
    <w:rsid w:val="00CC1906"/>
    <w:rsid w:val="00CC2240"/>
    <w:rsid w:val="00CC357B"/>
    <w:rsid w:val="00CC4453"/>
    <w:rsid w:val="00CC4760"/>
    <w:rsid w:val="00CC5323"/>
    <w:rsid w:val="00CC6A00"/>
    <w:rsid w:val="00CC6C79"/>
    <w:rsid w:val="00CC6F14"/>
    <w:rsid w:val="00CC7251"/>
    <w:rsid w:val="00CC734D"/>
    <w:rsid w:val="00CD050F"/>
    <w:rsid w:val="00CD20BD"/>
    <w:rsid w:val="00CD2C65"/>
    <w:rsid w:val="00CD3FA2"/>
    <w:rsid w:val="00CD5126"/>
    <w:rsid w:val="00CD6317"/>
    <w:rsid w:val="00CD6D61"/>
    <w:rsid w:val="00CD70F8"/>
    <w:rsid w:val="00CD7988"/>
    <w:rsid w:val="00CE1702"/>
    <w:rsid w:val="00CE6D7C"/>
    <w:rsid w:val="00CF0F46"/>
    <w:rsid w:val="00CF12DA"/>
    <w:rsid w:val="00CF183E"/>
    <w:rsid w:val="00CF1E8B"/>
    <w:rsid w:val="00CF2230"/>
    <w:rsid w:val="00CF5005"/>
    <w:rsid w:val="00CF5217"/>
    <w:rsid w:val="00D01D9D"/>
    <w:rsid w:val="00D03EF0"/>
    <w:rsid w:val="00D052B1"/>
    <w:rsid w:val="00D0581C"/>
    <w:rsid w:val="00D10350"/>
    <w:rsid w:val="00D10440"/>
    <w:rsid w:val="00D12A20"/>
    <w:rsid w:val="00D1667B"/>
    <w:rsid w:val="00D16CC1"/>
    <w:rsid w:val="00D172E8"/>
    <w:rsid w:val="00D1743F"/>
    <w:rsid w:val="00D17BFE"/>
    <w:rsid w:val="00D22A15"/>
    <w:rsid w:val="00D22A38"/>
    <w:rsid w:val="00D22FE8"/>
    <w:rsid w:val="00D26E14"/>
    <w:rsid w:val="00D276E9"/>
    <w:rsid w:val="00D30B89"/>
    <w:rsid w:val="00D30E89"/>
    <w:rsid w:val="00D32706"/>
    <w:rsid w:val="00D3309E"/>
    <w:rsid w:val="00D35041"/>
    <w:rsid w:val="00D36172"/>
    <w:rsid w:val="00D37612"/>
    <w:rsid w:val="00D37B3A"/>
    <w:rsid w:val="00D4024A"/>
    <w:rsid w:val="00D4116F"/>
    <w:rsid w:val="00D45DCC"/>
    <w:rsid w:val="00D46D4B"/>
    <w:rsid w:val="00D512E3"/>
    <w:rsid w:val="00D51D61"/>
    <w:rsid w:val="00D52117"/>
    <w:rsid w:val="00D5454E"/>
    <w:rsid w:val="00D5485D"/>
    <w:rsid w:val="00D56D64"/>
    <w:rsid w:val="00D6087B"/>
    <w:rsid w:val="00D61C42"/>
    <w:rsid w:val="00D61F99"/>
    <w:rsid w:val="00D62112"/>
    <w:rsid w:val="00D62F6F"/>
    <w:rsid w:val="00D63F7C"/>
    <w:rsid w:val="00D64638"/>
    <w:rsid w:val="00D650A2"/>
    <w:rsid w:val="00D65F3A"/>
    <w:rsid w:val="00D66517"/>
    <w:rsid w:val="00D70CA4"/>
    <w:rsid w:val="00D77E21"/>
    <w:rsid w:val="00D83B71"/>
    <w:rsid w:val="00D90005"/>
    <w:rsid w:val="00D90B45"/>
    <w:rsid w:val="00D94541"/>
    <w:rsid w:val="00D96159"/>
    <w:rsid w:val="00D96868"/>
    <w:rsid w:val="00DB0B95"/>
    <w:rsid w:val="00DB1EDA"/>
    <w:rsid w:val="00DB295B"/>
    <w:rsid w:val="00DB3ACD"/>
    <w:rsid w:val="00DB4007"/>
    <w:rsid w:val="00DB4B08"/>
    <w:rsid w:val="00DB64FE"/>
    <w:rsid w:val="00DB75E9"/>
    <w:rsid w:val="00DC06FF"/>
    <w:rsid w:val="00DC2663"/>
    <w:rsid w:val="00DC278B"/>
    <w:rsid w:val="00DC2F99"/>
    <w:rsid w:val="00DC4DE0"/>
    <w:rsid w:val="00DC4E55"/>
    <w:rsid w:val="00DC502C"/>
    <w:rsid w:val="00DC52FC"/>
    <w:rsid w:val="00DC641C"/>
    <w:rsid w:val="00DD15C2"/>
    <w:rsid w:val="00DD3A2F"/>
    <w:rsid w:val="00DD44EB"/>
    <w:rsid w:val="00DD466D"/>
    <w:rsid w:val="00DD46C7"/>
    <w:rsid w:val="00DD4EF0"/>
    <w:rsid w:val="00DD52EE"/>
    <w:rsid w:val="00DE0A12"/>
    <w:rsid w:val="00DE4227"/>
    <w:rsid w:val="00DE4CF2"/>
    <w:rsid w:val="00DE6D43"/>
    <w:rsid w:val="00DF13C9"/>
    <w:rsid w:val="00DF1561"/>
    <w:rsid w:val="00DF20AD"/>
    <w:rsid w:val="00DF382B"/>
    <w:rsid w:val="00DF553E"/>
    <w:rsid w:val="00DF5859"/>
    <w:rsid w:val="00DF6BCF"/>
    <w:rsid w:val="00E016DB"/>
    <w:rsid w:val="00E10D91"/>
    <w:rsid w:val="00E10FE3"/>
    <w:rsid w:val="00E11F79"/>
    <w:rsid w:val="00E127D9"/>
    <w:rsid w:val="00E15341"/>
    <w:rsid w:val="00E1675B"/>
    <w:rsid w:val="00E170BA"/>
    <w:rsid w:val="00E20C00"/>
    <w:rsid w:val="00E20D5D"/>
    <w:rsid w:val="00E22080"/>
    <w:rsid w:val="00E238CC"/>
    <w:rsid w:val="00E23DC1"/>
    <w:rsid w:val="00E25636"/>
    <w:rsid w:val="00E32A3D"/>
    <w:rsid w:val="00E34A1D"/>
    <w:rsid w:val="00E36743"/>
    <w:rsid w:val="00E37859"/>
    <w:rsid w:val="00E37BD0"/>
    <w:rsid w:val="00E40380"/>
    <w:rsid w:val="00E40FE3"/>
    <w:rsid w:val="00E424FE"/>
    <w:rsid w:val="00E4405D"/>
    <w:rsid w:val="00E45596"/>
    <w:rsid w:val="00E463E9"/>
    <w:rsid w:val="00E46745"/>
    <w:rsid w:val="00E501E4"/>
    <w:rsid w:val="00E50668"/>
    <w:rsid w:val="00E511D9"/>
    <w:rsid w:val="00E52432"/>
    <w:rsid w:val="00E55BEF"/>
    <w:rsid w:val="00E63E89"/>
    <w:rsid w:val="00E6414A"/>
    <w:rsid w:val="00E67EAF"/>
    <w:rsid w:val="00E709A7"/>
    <w:rsid w:val="00E7112E"/>
    <w:rsid w:val="00E7132D"/>
    <w:rsid w:val="00E71852"/>
    <w:rsid w:val="00E7185C"/>
    <w:rsid w:val="00E71CC7"/>
    <w:rsid w:val="00E72F21"/>
    <w:rsid w:val="00E730C1"/>
    <w:rsid w:val="00E73F12"/>
    <w:rsid w:val="00E74BD0"/>
    <w:rsid w:val="00E752D7"/>
    <w:rsid w:val="00E75607"/>
    <w:rsid w:val="00E801FC"/>
    <w:rsid w:val="00E80A3B"/>
    <w:rsid w:val="00E81997"/>
    <w:rsid w:val="00E82B6D"/>
    <w:rsid w:val="00E82C81"/>
    <w:rsid w:val="00E84F5A"/>
    <w:rsid w:val="00E85203"/>
    <w:rsid w:val="00E9248E"/>
    <w:rsid w:val="00E93470"/>
    <w:rsid w:val="00E96324"/>
    <w:rsid w:val="00E966A4"/>
    <w:rsid w:val="00EA09AE"/>
    <w:rsid w:val="00EA252C"/>
    <w:rsid w:val="00EA556F"/>
    <w:rsid w:val="00EA7410"/>
    <w:rsid w:val="00EB0C67"/>
    <w:rsid w:val="00EB0DC6"/>
    <w:rsid w:val="00EB421E"/>
    <w:rsid w:val="00EB6C71"/>
    <w:rsid w:val="00EC029F"/>
    <w:rsid w:val="00EC5A7E"/>
    <w:rsid w:val="00ED4386"/>
    <w:rsid w:val="00EE2104"/>
    <w:rsid w:val="00EE3E5D"/>
    <w:rsid w:val="00EE7EEA"/>
    <w:rsid w:val="00EF0C0F"/>
    <w:rsid w:val="00EF1C53"/>
    <w:rsid w:val="00EF1EF8"/>
    <w:rsid w:val="00EF2362"/>
    <w:rsid w:val="00EF36A2"/>
    <w:rsid w:val="00EF61CC"/>
    <w:rsid w:val="00EF6E19"/>
    <w:rsid w:val="00EF7385"/>
    <w:rsid w:val="00EF7DFE"/>
    <w:rsid w:val="00F008F3"/>
    <w:rsid w:val="00F00985"/>
    <w:rsid w:val="00F01C7F"/>
    <w:rsid w:val="00F0236C"/>
    <w:rsid w:val="00F0383E"/>
    <w:rsid w:val="00F04D4C"/>
    <w:rsid w:val="00F055E9"/>
    <w:rsid w:val="00F07F63"/>
    <w:rsid w:val="00F13C7E"/>
    <w:rsid w:val="00F15B91"/>
    <w:rsid w:val="00F1628E"/>
    <w:rsid w:val="00F17970"/>
    <w:rsid w:val="00F17DE1"/>
    <w:rsid w:val="00F2085F"/>
    <w:rsid w:val="00F2296D"/>
    <w:rsid w:val="00F247BE"/>
    <w:rsid w:val="00F25738"/>
    <w:rsid w:val="00F25EC1"/>
    <w:rsid w:val="00F26B10"/>
    <w:rsid w:val="00F26B97"/>
    <w:rsid w:val="00F30A69"/>
    <w:rsid w:val="00F3286B"/>
    <w:rsid w:val="00F33E99"/>
    <w:rsid w:val="00F3450F"/>
    <w:rsid w:val="00F3455B"/>
    <w:rsid w:val="00F34911"/>
    <w:rsid w:val="00F35C36"/>
    <w:rsid w:val="00F36294"/>
    <w:rsid w:val="00F36848"/>
    <w:rsid w:val="00F4152B"/>
    <w:rsid w:val="00F42580"/>
    <w:rsid w:val="00F43F4F"/>
    <w:rsid w:val="00F4698A"/>
    <w:rsid w:val="00F46E77"/>
    <w:rsid w:val="00F47B53"/>
    <w:rsid w:val="00F47B98"/>
    <w:rsid w:val="00F507AE"/>
    <w:rsid w:val="00F50F15"/>
    <w:rsid w:val="00F52117"/>
    <w:rsid w:val="00F53C02"/>
    <w:rsid w:val="00F60A21"/>
    <w:rsid w:val="00F630EF"/>
    <w:rsid w:val="00F64CC8"/>
    <w:rsid w:val="00F65391"/>
    <w:rsid w:val="00F66D70"/>
    <w:rsid w:val="00F701F2"/>
    <w:rsid w:val="00F73C5B"/>
    <w:rsid w:val="00F743DC"/>
    <w:rsid w:val="00F74786"/>
    <w:rsid w:val="00F76C9B"/>
    <w:rsid w:val="00F80720"/>
    <w:rsid w:val="00F8099A"/>
    <w:rsid w:val="00F82845"/>
    <w:rsid w:val="00F82CFC"/>
    <w:rsid w:val="00F83275"/>
    <w:rsid w:val="00F83C20"/>
    <w:rsid w:val="00F85D7C"/>
    <w:rsid w:val="00F8743E"/>
    <w:rsid w:val="00F87BFF"/>
    <w:rsid w:val="00F92718"/>
    <w:rsid w:val="00F93F7E"/>
    <w:rsid w:val="00F95117"/>
    <w:rsid w:val="00F95D2D"/>
    <w:rsid w:val="00FA291F"/>
    <w:rsid w:val="00FA3387"/>
    <w:rsid w:val="00FA41CC"/>
    <w:rsid w:val="00FA66BD"/>
    <w:rsid w:val="00FA73D8"/>
    <w:rsid w:val="00FA7751"/>
    <w:rsid w:val="00FB0562"/>
    <w:rsid w:val="00FB0936"/>
    <w:rsid w:val="00FB0F0D"/>
    <w:rsid w:val="00FB343A"/>
    <w:rsid w:val="00FB4623"/>
    <w:rsid w:val="00FB56BD"/>
    <w:rsid w:val="00FB6975"/>
    <w:rsid w:val="00FB6A8F"/>
    <w:rsid w:val="00FC16F9"/>
    <w:rsid w:val="00FC1857"/>
    <w:rsid w:val="00FC2F59"/>
    <w:rsid w:val="00FC3F77"/>
    <w:rsid w:val="00FC7107"/>
    <w:rsid w:val="00FD3213"/>
    <w:rsid w:val="00FD461B"/>
    <w:rsid w:val="00FD4AD8"/>
    <w:rsid w:val="00FD58E1"/>
    <w:rsid w:val="00FD67FD"/>
    <w:rsid w:val="00FD7058"/>
    <w:rsid w:val="00FE002F"/>
    <w:rsid w:val="00FE37B5"/>
    <w:rsid w:val="00FE48B9"/>
    <w:rsid w:val="00FE51B7"/>
    <w:rsid w:val="00FE61A3"/>
    <w:rsid w:val="00FE7D07"/>
    <w:rsid w:val="00FE7E66"/>
    <w:rsid w:val="00FE7E6F"/>
    <w:rsid w:val="00FF0554"/>
    <w:rsid w:val="00FF1942"/>
    <w:rsid w:val="00FF3048"/>
    <w:rsid w:val="00FF3922"/>
    <w:rsid w:val="00FF3CC2"/>
    <w:rsid w:val="00FF58B1"/>
    <w:rsid w:val="00FF6A43"/>
    <w:rsid w:val="00FF6A65"/>
    <w:rsid w:val="00FF7782"/>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29EBD4B"/>
  <w15:chartTrackingRefBased/>
  <w15:docId w15:val="{5F97E980-B33D-44DB-97CE-26510B852E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2D6EA9"/>
    <w:rPr>
      <w:rFonts w:asciiTheme="minorHAnsi" w:hAnsiTheme="minorHAnsi"/>
    </w:rPr>
  </w:style>
  <w:style w:type="paragraph" w:styleId="Nagwek1">
    <w:name w:val="heading 1"/>
    <w:basedOn w:val="Normalny"/>
    <w:next w:val="Normalny"/>
    <w:link w:val="Nagwek1Znak"/>
    <w:uiPriority w:val="9"/>
    <w:qFormat/>
    <w:rsid w:val="002D6EA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ormalny"/>
    <w:next w:val="Normalny"/>
    <w:link w:val="Nagwek2Znak"/>
    <w:uiPriority w:val="9"/>
    <w:unhideWhenUsed/>
    <w:qFormat/>
    <w:rsid w:val="002D6EA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gwek3">
    <w:name w:val="heading 3"/>
    <w:basedOn w:val="Normalny"/>
    <w:next w:val="Normalny"/>
    <w:link w:val="Nagwek3Znak"/>
    <w:uiPriority w:val="9"/>
    <w:unhideWhenUsed/>
    <w:qFormat/>
    <w:rsid w:val="002D6EA9"/>
    <w:pPr>
      <w:keepNext/>
      <w:keepLines/>
      <w:spacing w:before="40" w:after="120"/>
      <w:outlineLvl w:val="2"/>
    </w:pPr>
    <w:rPr>
      <w:rFonts w:asciiTheme="majorHAnsi" w:eastAsiaTheme="majorEastAsia" w:hAnsiTheme="majorHAnsi" w:cstheme="majorBidi"/>
      <w:color w:val="1F4D78" w:themeColor="accent1" w:themeShade="7F"/>
      <w:sz w:val="24"/>
      <w:szCs w:val="24"/>
    </w:rPr>
  </w:style>
  <w:style w:type="paragraph" w:styleId="Nagwek4">
    <w:name w:val="heading 4"/>
    <w:basedOn w:val="Normalny"/>
    <w:next w:val="Normalny"/>
    <w:link w:val="Nagwek4Znak"/>
    <w:uiPriority w:val="9"/>
    <w:unhideWhenUsed/>
    <w:qFormat/>
    <w:rsid w:val="002D6EA9"/>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2D6EA9"/>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D6EA9"/>
    <w:rPr>
      <w:rFonts w:asciiTheme="minorHAnsi" w:hAnsiTheme="minorHAnsi"/>
    </w:rPr>
  </w:style>
  <w:style w:type="paragraph" w:styleId="Stopka">
    <w:name w:val="footer"/>
    <w:basedOn w:val="Normalny"/>
    <w:link w:val="StopkaZnak"/>
    <w:uiPriority w:val="99"/>
    <w:unhideWhenUsed/>
    <w:rsid w:val="002D6EA9"/>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D6EA9"/>
    <w:rPr>
      <w:rFonts w:asciiTheme="minorHAnsi" w:hAnsiTheme="minorHAnsi"/>
    </w:rPr>
  </w:style>
  <w:style w:type="character" w:customStyle="1" w:styleId="Nagwek1Znak">
    <w:name w:val="Nagłówek 1 Znak"/>
    <w:basedOn w:val="Domylnaczcionkaakapitu"/>
    <w:link w:val="Nagwek1"/>
    <w:uiPriority w:val="9"/>
    <w:rsid w:val="002D6EA9"/>
    <w:rPr>
      <w:rFonts w:asciiTheme="majorHAnsi" w:eastAsiaTheme="majorEastAsia" w:hAnsiTheme="majorHAnsi" w:cstheme="majorBidi"/>
      <w:color w:val="2E74B5" w:themeColor="accent1" w:themeShade="BF"/>
      <w:sz w:val="32"/>
      <w:szCs w:val="32"/>
    </w:rPr>
  </w:style>
  <w:style w:type="character" w:customStyle="1" w:styleId="Nagwek2Znak">
    <w:name w:val="Nagłówek 2 Znak"/>
    <w:basedOn w:val="Domylnaczcionkaakapitu"/>
    <w:link w:val="Nagwek2"/>
    <w:uiPriority w:val="9"/>
    <w:rsid w:val="002D6EA9"/>
    <w:rPr>
      <w:rFonts w:asciiTheme="majorHAnsi" w:eastAsiaTheme="majorEastAsia" w:hAnsiTheme="majorHAnsi" w:cstheme="majorBidi"/>
      <w:color w:val="2E74B5" w:themeColor="accent1" w:themeShade="BF"/>
      <w:sz w:val="26"/>
      <w:szCs w:val="26"/>
    </w:rPr>
  </w:style>
  <w:style w:type="character" w:customStyle="1" w:styleId="Nagwek3Znak">
    <w:name w:val="Nagłówek 3 Znak"/>
    <w:basedOn w:val="Domylnaczcionkaakapitu"/>
    <w:link w:val="Nagwek3"/>
    <w:uiPriority w:val="9"/>
    <w:rsid w:val="002D6EA9"/>
    <w:rPr>
      <w:rFonts w:asciiTheme="majorHAnsi" w:eastAsiaTheme="majorEastAsia" w:hAnsiTheme="majorHAnsi" w:cstheme="majorBidi"/>
      <w:color w:val="1F4D78" w:themeColor="accent1" w:themeShade="7F"/>
      <w:sz w:val="24"/>
      <w:szCs w:val="24"/>
    </w:rPr>
  </w:style>
  <w:style w:type="character" w:customStyle="1" w:styleId="Nagwek4Znak">
    <w:name w:val="Nagłówek 4 Znak"/>
    <w:basedOn w:val="Domylnaczcionkaakapitu"/>
    <w:link w:val="Nagwek4"/>
    <w:uiPriority w:val="9"/>
    <w:rsid w:val="002D6EA9"/>
    <w:rPr>
      <w:rFonts w:asciiTheme="majorHAnsi" w:eastAsiaTheme="majorEastAsia" w:hAnsiTheme="majorHAnsi" w:cstheme="majorBidi"/>
      <w:i/>
      <w:iCs/>
      <w:color w:val="2E74B5" w:themeColor="accent1" w:themeShade="BF"/>
    </w:rPr>
  </w:style>
  <w:style w:type="paragraph" w:styleId="Akapitzlist">
    <w:name w:val="List Paragraph"/>
    <w:aliases w:val="2 heading"/>
    <w:basedOn w:val="Normalny"/>
    <w:uiPriority w:val="34"/>
    <w:qFormat/>
    <w:rsid w:val="002D6EA9"/>
    <w:pPr>
      <w:ind w:left="720"/>
      <w:contextualSpacing/>
    </w:pPr>
  </w:style>
  <w:style w:type="paragraph" w:styleId="Tekstprzypisudolnego">
    <w:name w:val="footnote text"/>
    <w:basedOn w:val="Normalny"/>
    <w:link w:val="TekstprzypisudolnegoZnak"/>
    <w:uiPriority w:val="99"/>
    <w:semiHidden/>
    <w:unhideWhenUsed/>
    <w:rsid w:val="002D6EA9"/>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2D6EA9"/>
    <w:rPr>
      <w:rFonts w:asciiTheme="minorHAnsi" w:hAnsiTheme="minorHAnsi"/>
      <w:sz w:val="20"/>
      <w:szCs w:val="20"/>
    </w:rPr>
  </w:style>
  <w:style w:type="character" w:styleId="Odwoanieprzypisudolnego">
    <w:name w:val="footnote reference"/>
    <w:basedOn w:val="Domylnaczcionkaakapitu"/>
    <w:uiPriority w:val="99"/>
    <w:semiHidden/>
    <w:unhideWhenUsed/>
    <w:rsid w:val="002D6EA9"/>
    <w:rPr>
      <w:vertAlign w:val="superscript"/>
    </w:rPr>
  </w:style>
  <w:style w:type="table" w:styleId="Tabela-Siatka">
    <w:name w:val="Table Grid"/>
    <w:basedOn w:val="Standardowy"/>
    <w:uiPriority w:val="39"/>
    <w:rsid w:val="002D6EA9"/>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D6EA9"/>
    <w:pPr>
      <w:autoSpaceDE w:val="0"/>
      <w:autoSpaceDN w:val="0"/>
      <w:adjustRightInd w:val="0"/>
      <w:spacing w:after="0" w:line="240" w:lineRule="auto"/>
    </w:pPr>
    <w:rPr>
      <w:rFonts w:ascii="Calibri" w:hAnsi="Calibri" w:cs="Calibri"/>
      <w:color w:val="000000"/>
      <w:sz w:val="24"/>
      <w:szCs w:val="24"/>
    </w:rPr>
  </w:style>
  <w:style w:type="paragraph" w:styleId="Nagwekspisutreci">
    <w:name w:val="TOC Heading"/>
    <w:basedOn w:val="Nagwek1"/>
    <w:next w:val="Normalny"/>
    <w:uiPriority w:val="39"/>
    <w:unhideWhenUsed/>
    <w:qFormat/>
    <w:rsid w:val="002D6EA9"/>
    <w:pPr>
      <w:outlineLvl w:val="9"/>
    </w:pPr>
    <w:rPr>
      <w:lang w:eastAsia="pl-PL"/>
    </w:rPr>
  </w:style>
  <w:style w:type="paragraph" w:styleId="Spistreci1">
    <w:name w:val="toc 1"/>
    <w:basedOn w:val="Normalny"/>
    <w:next w:val="Normalny"/>
    <w:autoRedefine/>
    <w:uiPriority w:val="39"/>
    <w:unhideWhenUsed/>
    <w:rsid w:val="002D6EA9"/>
    <w:pPr>
      <w:spacing w:after="100"/>
    </w:pPr>
  </w:style>
  <w:style w:type="paragraph" w:styleId="Spistreci2">
    <w:name w:val="toc 2"/>
    <w:basedOn w:val="Normalny"/>
    <w:next w:val="Normalny"/>
    <w:autoRedefine/>
    <w:uiPriority w:val="39"/>
    <w:unhideWhenUsed/>
    <w:rsid w:val="002D6EA9"/>
    <w:pPr>
      <w:spacing w:after="100"/>
      <w:ind w:left="220"/>
    </w:pPr>
  </w:style>
  <w:style w:type="paragraph" w:styleId="Spistreci3">
    <w:name w:val="toc 3"/>
    <w:basedOn w:val="Normalny"/>
    <w:next w:val="Normalny"/>
    <w:autoRedefine/>
    <w:uiPriority w:val="39"/>
    <w:unhideWhenUsed/>
    <w:rsid w:val="00A67D55"/>
    <w:pPr>
      <w:tabs>
        <w:tab w:val="left" w:pos="993"/>
        <w:tab w:val="right" w:leader="dot" w:pos="9062"/>
      </w:tabs>
      <w:spacing w:after="100"/>
      <w:ind w:left="440"/>
    </w:pPr>
  </w:style>
  <w:style w:type="character" w:styleId="Hipercze">
    <w:name w:val="Hyperlink"/>
    <w:basedOn w:val="Domylnaczcionkaakapitu"/>
    <w:uiPriority w:val="99"/>
    <w:unhideWhenUsed/>
    <w:rsid w:val="002D6EA9"/>
    <w:rPr>
      <w:color w:val="0563C1" w:themeColor="hyperlink"/>
      <w:u w:val="single"/>
    </w:rPr>
  </w:style>
  <w:style w:type="paragraph" w:styleId="Tekstprzypisukocowego">
    <w:name w:val="endnote text"/>
    <w:basedOn w:val="Normalny"/>
    <w:link w:val="TekstprzypisukocowegoZnak"/>
    <w:uiPriority w:val="99"/>
    <w:semiHidden/>
    <w:unhideWhenUsed/>
    <w:rsid w:val="002D6EA9"/>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2D6EA9"/>
    <w:rPr>
      <w:rFonts w:asciiTheme="minorHAnsi" w:hAnsiTheme="minorHAnsi"/>
      <w:sz w:val="20"/>
      <w:szCs w:val="20"/>
    </w:rPr>
  </w:style>
  <w:style w:type="character" w:styleId="Odwoanieprzypisukocowego">
    <w:name w:val="endnote reference"/>
    <w:basedOn w:val="Domylnaczcionkaakapitu"/>
    <w:uiPriority w:val="99"/>
    <w:semiHidden/>
    <w:unhideWhenUsed/>
    <w:rsid w:val="002D6EA9"/>
    <w:rPr>
      <w:vertAlign w:val="superscript"/>
    </w:rPr>
  </w:style>
  <w:style w:type="paragraph" w:styleId="NormalnyWeb">
    <w:name w:val="Normal (Web)"/>
    <w:basedOn w:val="Normalny"/>
    <w:uiPriority w:val="99"/>
    <w:unhideWhenUsed/>
    <w:rsid w:val="002D6EA9"/>
    <w:rPr>
      <w:rFonts w:ascii="Times New Roman" w:hAnsi="Times New Roman" w:cs="Times New Roman"/>
      <w:sz w:val="24"/>
      <w:szCs w:val="24"/>
    </w:rPr>
  </w:style>
  <w:style w:type="table" w:styleId="Tabelasiatki5ciemnaakcent6">
    <w:name w:val="Grid Table 5 Dark Accent 6"/>
    <w:basedOn w:val="Standardowy"/>
    <w:uiPriority w:val="50"/>
    <w:rsid w:val="002D6EA9"/>
    <w:pPr>
      <w:spacing w:after="0" w:line="240" w:lineRule="auto"/>
    </w:pPr>
    <w:rPr>
      <w:rFonts w:asciiTheme="minorHAnsi" w:hAnsiTheme="minorHAnsi"/>
      <w:lang w:val="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elasiatki5ciemnaakcent5">
    <w:name w:val="Grid Table 5 Dark Accent 5"/>
    <w:basedOn w:val="Standardowy"/>
    <w:uiPriority w:val="50"/>
    <w:rsid w:val="002D6EA9"/>
    <w:pPr>
      <w:spacing w:after="0" w:line="240" w:lineRule="auto"/>
    </w:pPr>
    <w:rPr>
      <w:rFonts w:asciiTheme="minorHAnsi" w:hAnsiTheme="minorHAnsi"/>
      <w:lang w:val="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elasiatki1jasnaakcent1">
    <w:name w:val="Grid Table 1 Light Accent 1"/>
    <w:basedOn w:val="Standardowy"/>
    <w:uiPriority w:val="46"/>
    <w:rsid w:val="002D6EA9"/>
    <w:pPr>
      <w:spacing w:after="0" w:line="240" w:lineRule="auto"/>
    </w:pPr>
    <w:rPr>
      <w:rFonts w:asciiTheme="minorHAnsi" w:hAnsiTheme="minorHAnsi"/>
      <w:lang w:val="en-GB"/>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elaraportuostanie">
    <w:name w:val="Tabela raportu o stanie"/>
    <w:basedOn w:val="Standardowy"/>
    <w:uiPriority w:val="99"/>
    <w:rsid w:val="002D6EA9"/>
    <w:pPr>
      <w:spacing w:before="40" w:after="40" w:line="240" w:lineRule="auto"/>
    </w:pPr>
    <w:rPr>
      <w:rFonts w:asciiTheme="minorHAnsi" w:hAnsiTheme="minorHAnsi"/>
      <w:color w:val="595959" w:themeColor="text1" w:themeTint="A6"/>
      <w:sz w:val="20"/>
      <w:szCs w:val="20"/>
      <w:lang w:eastAsia="pl-PL"/>
    </w:rPr>
    <w:tblPr>
      <w:tblBorders>
        <w:insideH w:val="single" w:sz="4" w:space="0" w:color="BFBFBF" w:themeColor="background1" w:themeShade="BF"/>
      </w:tblBorders>
    </w:tblPr>
    <w:tblStylePr w:type="firstRow">
      <w:rPr>
        <w:rFonts w:asciiTheme="majorHAnsi" w:hAnsiTheme="majorHAnsi"/>
        <w:caps/>
        <w:smallCaps w:val="0"/>
        <w:color w:val="2E74B5" w:themeColor="accent1" w:themeShade="BF"/>
      </w:rPr>
      <w:tblPr/>
      <w:tcPr>
        <w:vAlign w:val="bottom"/>
      </w:tcPr>
    </w:tblStylePr>
  </w:style>
  <w:style w:type="table" w:styleId="Tabelasiatki5ciemnaakcent2">
    <w:name w:val="Grid Table 5 Dark Accent 2"/>
    <w:basedOn w:val="Standardowy"/>
    <w:uiPriority w:val="50"/>
    <w:rsid w:val="002D6EA9"/>
    <w:pPr>
      <w:spacing w:after="0" w:line="240" w:lineRule="auto"/>
    </w:pPr>
    <w:rPr>
      <w:rFonts w:asciiTheme="minorHAnsi" w:hAnsiTheme="minorHAnsi"/>
      <w:lang w:val="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styleId="Legenda">
    <w:name w:val="caption"/>
    <w:aliases w:val="OPIS,Znak Znak Znak,Znak,kj_podpisy"/>
    <w:basedOn w:val="Normalny"/>
    <w:link w:val="LegendaZnak"/>
    <w:qFormat/>
    <w:rsid w:val="002D6EA9"/>
    <w:pPr>
      <w:suppressLineNumbers/>
      <w:suppressAutoHyphens/>
      <w:spacing w:before="120" w:after="120"/>
    </w:pPr>
    <w:rPr>
      <w:rFonts w:ascii="Calibri" w:eastAsia="Calibri" w:hAnsi="Calibri" w:cs="Mangal"/>
      <w:i/>
      <w:iCs/>
      <w:color w:val="00000A"/>
      <w:kern w:val="1"/>
      <w:sz w:val="24"/>
      <w:szCs w:val="24"/>
      <w:lang w:val="en-GB"/>
    </w:rPr>
  </w:style>
  <w:style w:type="character" w:customStyle="1" w:styleId="LegendaZnak">
    <w:name w:val="Legenda Znak"/>
    <w:aliases w:val="OPIS Znak,Znak Znak Znak Znak,Znak Znak,kj_podpisy Znak"/>
    <w:link w:val="Legenda"/>
    <w:locked/>
    <w:rsid w:val="002D6EA9"/>
    <w:rPr>
      <w:rFonts w:ascii="Calibri" w:eastAsia="Calibri" w:hAnsi="Calibri" w:cs="Mangal"/>
      <w:i/>
      <w:iCs/>
      <w:color w:val="00000A"/>
      <w:kern w:val="1"/>
      <w:sz w:val="24"/>
      <w:szCs w:val="24"/>
      <w:lang w:val="en-GB"/>
    </w:rPr>
  </w:style>
  <w:style w:type="paragraph" w:customStyle="1" w:styleId="Tre">
    <w:name w:val="Treść"/>
    <w:basedOn w:val="Normalny"/>
    <w:link w:val="TreZnak"/>
    <w:qFormat/>
    <w:rsid w:val="002D6EA9"/>
    <w:pPr>
      <w:suppressAutoHyphens/>
      <w:jc w:val="both"/>
    </w:pPr>
    <w:rPr>
      <w:rFonts w:ascii="Calibri" w:eastAsia="Calibri" w:hAnsi="Calibri" w:cs="font219"/>
      <w:kern w:val="1"/>
      <w:sz w:val="24"/>
    </w:rPr>
  </w:style>
  <w:style w:type="character" w:customStyle="1" w:styleId="TreZnak">
    <w:name w:val="Treść Znak"/>
    <w:link w:val="Tre"/>
    <w:rsid w:val="002D6EA9"/>
    <w:rPr>
      <w:rFonts w:ascii="Calibri" w:eastAsia="Calibri" w:hAnsi="Calibri" w:cs="font219"/>
      <w:kern w:val="1"/>
      <w:sz w:val="24"/>
    </w:rPr>
  </w:style>
  <w:style w:type="character" w:styleId="Pogrubienie">
    <w:name w:val="Strong"/>
    <w:basedOn w:val="Domylnaczcionkaakapitu"/>
    <w:uiPriority w:val="22"/>
    <w:qFormat/>
    <w:rsid w:val="002D6EA9"/>
    <w:rPr>
      <w:b/>
    </w:rPr>
  </w:style>
  <w:style w:type="paragraph" w:styleId="Tekstdymka">
    <w:name w:val="Balloon Text"/>
    <w:basedOn w:val="Normalny"/>
    <w:link w:val="TekstdymkaZnak"/>
    <w:uiPriority w:val="99"/>
    <w:semiHidden/>
    <w:unhideWhenUsed/>
    <w:rsid w:val="002D6EA9"/>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2D6EA9"/>
    <w:rPr>
      <w:rFonts w:ascii="Segoe UI" w:hAnsi="Segoe UI" w:cs="Segoe UI"/>
      <w:sz w:val="18"/>
      <w:szCs w:val="18"/>
    </w:rPr>
  </w:style>
  <w:style w:type="character" w:styleId="Odwoaniedokomentarza">
    <w:name w:val="annotation reference"/>
    <w:basedOn w:val="Domylnaczcionkaakapitu"/>
    <w:uiPriority w:val="99"/>
    <w:semiHidden/>
    <w:unhideWhenUsed/>
    <w:rsid w:val="002D6EA9"/>
    <w:rPr>
      <w:sz w:val="16"/>
      <w:szCs w:val="16"/>
    </w:rPr>
  </w:style>
  <w:style w:type="paragraph" w:styleId="Tekstkomentarza">
    <w:name w:val="annotation text"/>
    <w:basedOn w:val="Normalny"/>
    <w:link w:val="TekstkomentarzaZnak"/>
    <w:uiPriority w:val="99"/>
    <w:semiHidden/>
    <w:unhideWhenUsed/>
    <w:rsid w:val="002D6EA9"/>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2D6EA9"/>
    <w:rPr>
      <w:rFonts w:asciiTheme="minorHAnsi" w:hAnsiTheme="minorHAnsi"/>
      <w:sz w:val="20"/>
      <w:szCs w:val="20"/>
    </w:rPr>
  </w:style>
  <w:style w:type="paragraph" w:styleId="Tematkomentarza">
    <w:name w:val="annotation subject"/>
    <w:basedOn w:val="Tekstkomentarza"/>
    <w:next w:val="Tekstkomentarza"/>
    <w:link w:val="TematkomentarzaZnak"/>
    <w:uiPriority w:val="99"/>
    <w:semiHidden/>
    <w:unhideWhenUsed/>
    <w:rsid w:val="002D6EA9"/>
    <w:rPr>
      <w:b/>
      <w:bCs/>
    </w:rPr>
  </w:style>
  <w:style w:type="character" w:customStyle="1" w:styleId="TematkomentarzaZnak">
    <w:name w:val="Temat komentarza Znak"/>
    <w:basedOn w:val="TekstkomentarzaZnak"/>
    <w:link w:val="Tematkomentarza"/>
    <w:uiPriority w:val="99"/>
    <w:semiHidden/>
    <w:rsid w:val="002D6EA9"/>
    <w:rPr>
      <w:rFonts w:asciiTheme="minorHAnsi" w:hAnsiTheme="minorHAnsi"/>
      <w:b/>
      <w:bCs/>
      <w:sz w:val="20"/>
      <w:szCs w:val="20"/>
    </w:rPr>
  </w:style>
  <w:style w:type="paragraph" w:styleId="Spistreci4">
    <w:name w:val="toc 4"/>
    <w:basedOn w:val="Normalny"/>
    <w:next w:val="Normalny"/>
    <w:autoRedefine/>
    <w:uiPriority w:val="39"/>
    <w:unhideWhenUsed/>
    <w:rsid w:val="002D6EA9"/>
    <w:pPr>
      <w:spacing w:after="100"/>
      <w:ind w:left="660"/>
    </w:pPr>
  </w:style>
  <w:style w:type="table" w:styleId="Tabelasiatki1jasna">
    <w:name w:val="Grid Table 1 Light"/>
    <w:basedOn w:val="Standardowy"/>
    <w:uiPriority w:val="46"/>
    <w:rsid w:val="002D6EA9"/>
    <w:pPr>
      <w:spacing w:after="0" w:line="240" w:lineRule="auto"/>
    </w:pPr>
    <w:rPr>
      <w:rFonts w:asciiTheme="minorHAnsi" w:hAnsiTheme="minorHAns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UyteHipercze">
    <w:name w:val="FollowedHyperlink"/>
    <w:basedOn w:val="Domylnaczcionkaakapitu"/>
    <w:uiPriority w:val="99"/>
    <w:semiHidden/>
    <w:unhideWhenUsed/>
    <w:rsid w:val="002D6EA9"/>
    <w:rPr>
      <w:color w:val="954F72" w:themeColor="followedHyperlink"/>
      <w:u w:val="single"/>
    </w:rPr>
  </w:style>
  <w:style w:type="numbering" w:customStyle="1" w:styleId="Bezlisty1">
    <w:name w:val="Bez listy1"/>
    <w:next w:val="Bezlisty"/>
    <w:uiPriority w:val="99"/>
    <w:semiHidden/>
    <w:unhideWhenUsed/>
    <w:rsid w:val="002D6EA9"/>
  </w:style>
  <w:style w:type="table" w:customStyle="1" w:styleId="Tabela-Siatka1">
    <w:name w:val="Tabela - Siatka1"/>
    <w:basedOn w:val="Standardowy"/>
    <w:next w:val="Tabela-Siatka"/>
    <w:uiPriority w:val="39"/>
    <w:rsid w:val="002D6EA9"/>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5ciemnaakcent61">
    <w:name w:val="Tabela siatki 5 — ciemna — akcent 61"/>
    <w:basedOn w:val="Standardowy"/>
    <w:next w:val="Tabelasiatki5ciemnaakcent6"/>
    <w:uiPriority w:val="50"/>
    <w:rsid w:val="002D6EA9"/>
    <w:pPr>
      <w:spacing w:after="0" w:line="240" w:lineRule="auto"/>
    </w:pPr>
    <w:rPr>
      <w:rFonts w:asciiTheme="minorHAnsi" w:hAnsiTheme="minorHAnsi"/>
      <w:lang w:val="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elasiatki5ciemnaakcent51">
    <w:name w:val="Tabela siatki 5 — ciemna — akcent 51"/>
    <w:basedOn w:val="Standardowy"/>
    <w:next w:val="Tabelasiatki5ciemnaakcent5"/>
    <w:uiPriority w:val="50"/>
    <w:rsid w:val="002D6EA9"/>
    <w:pPr>
      <w:spacing w:after="0" w:line="240" w:lineRule="auto"/>
    </w:pPr>
    <w:rPr>
      <w:rFonts w:asciiTheme="minorHAnsi" w:hAnsiTheme="minorHAnsi"/>
      <w:lang w:val="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elasiatki1jasnaakcent11">
    <w:name w:val="Tabela siatki 1 — jasna — akcent 11"/>
    <w:basedOn w:val="Standardowy"/>
    <w:next w:val="Tabelasiatki1jasnaakcent1"/>
    <w:uiPriority w:val="46"/>
    <w:rsid w:val="002D6EA9"/>
    <w:pPr>
      <w:spacing w:after="0" w:line="240" w:lineRule="auto"/>
    </w:pPr>
    <w:rPr>
      <w:rFonts w:asciiTheme="minorHAnsi" w:hAnsiTheme="minorHAnsi"/>
      <w:lang w:val="en-GB"/>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elaraportuostanie1">
    <w:name w:val="Tabela raportu o stanie1"/>
    <w:basedOn w:val="Standardowy"/>
    <w:uiPriority w:val="99"/>
    <w:rsid w:val="002D6EA9"/>
    <w:pPr>
      <w:spacing w:before="40" w:after="40" w:line="240" w:lineRule="auto"/>
    </w:pPr>
    <w:rPr>
      <w:rFonts w:asciiTheme="minorHAnsi" w:hAnsiTheme="minorHAnsi"/>
      <w:color w:val="595959" w:themeColor="text1" w:themeTint="A6"/>
      <w:sz w:val="20"/>
      <w:szCs w:val="20"/>
      <w:lang w:eastAsia="pl-PL"/>
    </w:rPr>
    <w:tblPr>
      <w:tblBorders>
        <w:insideH w:val="single" w:sz="4" w:space="0" w:color="BFBFBF" w:themeColor="background1" w:themeShade="BF"/>
      </w:tblBorders>
    </w:tblPr>
    <w:tblStylePr w:type="firstRow">
      <w:rPr>
        <w:rFonts w:asciiTheme="majorHAnsi" w:hAnsiTheme="majorHAnsi"/>
        <w:caps/>
        <w:smallCaps w:val="0"/>
        <w:color w:val="2E74B5" w:themeColor="accent1" w:themeShade="BF"/>
      </w:rPr>
      <w:tblPr/>
      <w:tcPr>
        <w:vAlign w:val="bottom"/>
      </w:tcPr>
    </w:tblStylePr>
  </w:style>
  <w:style w:type="table" w:customStyle="1" w:styleId="Tabelasiatki5ciemnaakcent21">
    <w:name w:val="Tabela siatki 5 — ciemna — akcent 21"/>
    <w:basedOn w:val="Standardowy"/>
    <w:next w:val="Tabelasiatki5ciemnaakcent2"/>
    <w:uiPriority w:val="50"/>
    <w:rsid w:val="002D6EA9"/>
    <w:pPr>
      <w:spacing w:after="0" w:line="240" w:lineRule="auto"/>
    </w:pPr>
    <w:rPr>
      <w:rFonts w:asciiTheme="minorHAnsi" w:hAnsiTheme="minorHAnsi"/>
      <w:lang w:val="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elasiatki1jasna1">
    <w:name w:val="Tabela siatki 1 — jasna1"/>
    <w:basedOn w:val="Standardowy"/>
    <w:next w:val="Tabelasiatki1jasna"/>
    <w:uiPriority w:val="46"/>
    <w:rsid w:val="002D6EA9"/>
    <w:pPr>
      <w:spacing w:after="0" w:line="240" w:lineRule="auto"/>
    </w:pPr>
    <w:rPr>
      <w:rFonts w:asciiTheme="minorHAnsi" w:hAnsiTheme="minorHAns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pistreci5">
    <w:name w:val="toc 5"/>
    <w:basedOn w:val="Normalny"/>
    <w:next w:val="Normalny"/>
    <w:autoRedefine/>
    <w:uiPriority w:val="39"/>
    <w:unhideWhenUsed/>
    <w:rsid w:val="002D6EA9"/>
    <w:pPr>
      <w:spacing w:after="100"/>
      <w:ind w:left="880"/>
    </w:pPr>
    <w:rPr>
      <w:rFonts w:eastAsiaTheme="minorEastAsia"/>
      <w:lang w:eastAsia="pl-PL"/>
    </w:rPr>
  </w:style>
  <w:style w:type="paragraph" w:styleId="Spistreci6">
    <w:name w:val="toc 6"/>
    <w:basedOn w:val="Normalny"/>
    <w:next w:val="Normalny"/>
    <w:autoRedefine/>
    <w:uiPriority w:val="39"/>
    <w:unhideWhenUsed/>
    <w:rsid w:val="002D6EA9"/>
    <w:pPr>
      <w:spacing w:after="100"/>
      <w:ind w:left="1100"/>
    </w:pPr>
    <w:rPr>
      <w:rFonts w:eastAsiaTheme="minorEastAsia"/>
      <w:lang w:eastAsia="pl-PL"/>
    </w:rPr>
  </w:style>
  <w:style w:type="paragraph" w:styleId="Spistreci7">
    <w:name w:val="toc 7"/>
    <w:basedOn w:val="Normalny"/>
    <w:next w:val="Normalny"/>
    <w:autoRedefine/>
    <w:uiPriority w:val="39"/>
    <w:unhideWhenUsed/>
    <w:rsid w:val="002D6EA9"/>
    <w:pPr>
      <w:spacing w:after="100"/>
      <w:ind w:left="1320"/>
    </w:pPr>
    <w:rPr>
      <w:rFonts w:eastAsiaTheme="minorEastAsia"/>
      <w:lang w:eastAsia="pl-PL"/>
    </w:rPr>
  </w:style>
  <w:style w:type="paragraph" w:styleId="Spistreci8">
    <w:name w:val="toc 8"/>
    <w:basedOn w:val="Normalny"/>
    <w:next w:val="Normalny"/>
    <w:autoRedefine/>
    <w:uiPriority w:val="39"/>
    <w:unhideWhenUsed/>
    <w:rsid w:val="002D6EA9"/>
    <w:pPr>
      <w:spacing w:after="100"/>
      <w:ind w:left="1540"/>
    </w:pPr>
    <w:rPr>
      <w:rFonts w:eastAsiaTheme="minorEastAsia"/>
      <w:lang w:eastAsia="pl-PL"/>
    </w:rPr>
  </w:style>
  <w:style w:type="paragraph" w:styleId="Spistreci9">
    <w:name w:val="toc 9"/>
    <w:basedOn w:val="Normalny"/>
    <w:next w:val="Normalny"/>
    <w:autoRedefine/>
    <w:uiPriority w:val="39"/>
    <w:unhideWhenUsed/>
    <w:rsid w:val="002D6EA9"/>
    <w:pPr>
      <w:spacing w:after="100"/>
      <w:ind w:left="1760"/>
    </w:pPr>
    <w:rPr>
      <w:rFonts w:eastAsiaTheme="minorEastAsia"/>
      <w:lang w:eastAsia="pl-PL"/>
    </w:rPr>
  </w:style>
  <w:style w:type="table" w:styleId="Tabelasiatki1jasnaakcent5">
    <w:name w:val="Grid Table 1 Light Accent 5"/>
    <w:basedOn w:val="Standardowy"/>
    <w:uiPriority w:val="46"/>
    <w:rsid w:val="002D6EA9"/>
    <w:pPr>
      <w:spacing w:after="0" w:line="240" w:lineRule="auto"/>
    </w:pPr>
    <w:rPr>
      <w:rFonts w:asciiTheme="minorHAnsi" w:hAnsiTheme="minorHAnsi"/>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character" w:customStyle="1" w:styleId="ojs">
    <w:name w:val="_ojs"/>
    <w:basedOn w:val="Domylnaczcionkaakapitu"/>
    <w:rsid w:val="00000A07"/>
  </w:style>
  <w:style w:type="character" w:customStyle="1" w:styleId="A122">
    <w:name w:val="A12_2"/>
    <w:uiPriority w:val="99"/>
    <w:rsid w:val="004A5743"/>
    <w:rPr>
      <w:rFonts w:cs="Myriad Pro"/>
      <w:color w:val="000000"/>
      <w:sz w:val="11"/>
      <w:szCs w:val="11"/>
    </w:rPr>
  </w:style>
  <w:style w:type="paragraph" w:styleId="Spisilustracji">
    <w:name w:val="table of figures"/>
    <w:basedOn w:val="Normalny"/>
    <w:next w:val="Normalny"/>
    <w:uiPriority w:val="99"/>
    <w:unhideWhenUsed/>
    <w:rsid w:val="00C73174"/>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50877">
      <w:bodyDiv w:val="1"/>
      <w:marLeft w:val="0"/>
      <w:marRight w:val="0"/>
      <w:marTop w:val="0"/>
      <w:marBottom w:val="0"/>
      <w:divBdr>
        <w:top w:val="none" w:sz="0" w:space="0" w:color="auto"/>
        <w:left w:val="none" w:sz="0" w:space="0" w:color="auto"/>
        <w:bottom w:val="none" w:sz="0" w:space="0" w:color="auto"/>
        <w:right w:val="none" w:sz="0" w:space="0" w:color="auto"/>
      </w:divBdr>
    </w:div>
    <w:div w:id="30543854">
      <w:bodyDiv w:val="1"/>
      <w:marLeft w:val="0"/>
      <w:marRight w:val="0"/>
      <w:marTop w:val="0"/>
      <w:marBottom w:val="0"/>
      <w:divBdr>
        <w:top w:val="none" w:sz="0" w:space="0" w:color="auto"/>
        <w:left w:val="none" w:sz="0" w:space="0" w:color="auto"/>
        <w:bottom w:val="none" w:sz="0" w:space="0" w:color="auto"/>
        <w:right w:val="none" w:sz="0" w:space="0" w:color="auto"/>
      </w:divBdr>
    </w:div>
    <w:div w:id="40790998">
      <w:bodyDiv w:val="1"/>
      <w:marLeft w:val="0"/>
      <w:marRight w:val="0"/>
      <w:marTop w:val="0"/>
      <w:marBottom w:val="0"/>
      <w:divBdr>
        <w:top w:val="none" w:sz="0" w:space="0" w:color="auto"/>
        <w:left w:val="none" w:sz="0" w:space="0" w:color="auto"/>
        <w:bottom w:val="none" w:sz="0" w:space="0" w:color="auto"/>
        <w:right w:val="none" w:sz="0" w:space="0" w:color="auto"/>
      </w:divBdr>
    </w:div>
    <w:div w:id="44985350">
      <w:bodyDiv w:val="1"/>
      <w:marLeft w:val="0"/>
      <w:marRight w:val="0"/>
      <w:marTop w:val="0"/>
      <w:marBottom w:val="0"/>
      <w:divBdr>
        <w:top w:val="none" w:sz="0" w:space="0" w:color="auto"/>
        <w:left w:val="none" w:sz="0" w:space="0" w:color="auto"/>
        <w:bottom w:val="none" w:sz="0" w:space="0" w:color="auto"/>
        <w:right w:val="none" w:sz="0" w:space="0" w:color="auto"/>
      </w:divBdr>
    </w:div>
    <w:div w:id="50690822">
      <w:bodyDiv w:val="1"/>
      <w:marLeft w:val="0"/>
      <w:marRight w:val="0"/>
      <w:marTop w:val="0"/>
      <w:marBottom w:val="0"/>
      <w:divBdr>
        <w:top w:val="none" w:sz="0" w:space="0" w:color="auto"/>
        <w:left w:val="none" w:sz="0" w:space="0" w:color="auto"/>
        <w:bottom w:val="none" w:sz="0" w:space="0" w:color="auto"/>
        <w:right w:val="none" w:sz="0" w:space="0" w:color="auto"/>
      </w:divBdr>
    </w:div>
    <w:div w:id="51078626">
      <w:bodyDiv w:val="1"/>
      <w:marLeft w:val="0"/>
      <w:marRight w:val="0"/>
      <w:marTop w:val="0"/>
      <w:marBottom w:val="0"/>
      <w:divBdr>
        <w:top w:val="none" w:sz="0" w:space="0" w:color="auto"/>
        <w:left w:val="none" w:sz="0" w:space="0" w:color="auto"/>
        <w:bottom w:val="none" w:sz="0" w:space="0" w:color="auto"/>
        <w:right w:val="none" w:sz="0" w:space="0" w:color="auto"/>
      </w:divBdr>
    </w:div>
    <w:div w:id="85855160">
      <w:bodyDiv w:val="1"/>
      <w:marLeft w:val="0"/>
      <w:marRight w:val="0"/>
      <w:marTop w:val="0"/>
      <w:marBottom w:val="0"/>
      <w:divBdr>
        <w:top w:val="none" w:sz="0" w:space="0" w:color="auto"/>
        <w:left w:val="none" w:sz="0" w:space="0" w:color="auto"/>
        <w:bottom w:val="none" w:sz="0" w:space="0" w:color="auto"/>
        <w:right w:val="none" w:sz="0" w:space="0" w:color="auto"/>
      </w:divBdr>
    </w:div>
    <w:div w:id="93717955">
      <w:bodyDiv w:val="1"/>
      <w:marLeft w:val="0"/>
      <w:marRight w:val="0"/>
      <w:marTop w:val="0"/>
      <w:marBottom w:val="0"/>
      <w:divBdr>
        <w:top w:val="none" w:sz="0" w:space="0" w:color="auto"/>
        <w:left w:val="none" w:sz="0" w:space="0" w:color="auto"/>
        <w:bottom w:val="none" w:sz="0" w:space="0" w:color="auto"/>
        <w:right w:val="none" w:sz="0" w:space="0" w:color="auto"/>
      </w:divBdr>
    </w:div>
    <w:div w:id="108739666">
      <w:bodyDiv w:val="1"/>
      <w:marLeft w:val="0"/>
      <w:marRight w:val="0"/>
      <w:marTop w:val="0"/>
      <w:marBottom w:val="0"/>
      <w:divBdr>
        <w:top w:val="none" w:sz="0" w:space="0" w:color="auto"/>
        <w:left w:val="none" w:sz="0" w:space="0" w:color="auto"/>
        <w:bottom w:val="none" w:sz="0" w:space="0" w:color="auto"/>
        <w:right w:val="none" w:sz="0" w:space="0" w:color="auto"/>
      </w:divBdr>
    </w:div>
    <w:div w:id="146216423">
      <w:bodyDiv w:val="1"/>
      <w:marLeft w:val="0"/>
      <w:marRight w:val="0"/>
      <w:marTop w:val="0"/>
      <w:marBottom w:val="0"/>
      <w:divBdr>
        <w:top w:val="none" w:sz="0" w:space="0" w:color="auto"/>
        <w:left w:val="none" w:sz="0" w:space="0" w:color="auto"/>
        <w:bottom w:val="none" w:sz="0" w:space="0" w:color="auto"/>
        <w:right w:val="none" w:sz="0" w:space="0" w:color="auto"/>
      </w:divBdr>
    </w:div>
    <w:div w:id="175971442">
      <w:bodyDiv w:val="1"/>
      <w:marLeft w:val="0"/>
      <w:marRight w:val="0"/>
      <w:marTop w:val="0"/>
      <w:marBottom w:val="0"/>
      <w:divBdr>
        <w:top w:val="none" w:sz="0" w:space="0" w:color="auto"/>
        <w:left w:val="none" w:sz="0" w:space="0" w:color="auto"/>
        <w:bottom w:val="none" w:sz="0" w:space="0" w:color="auto"/>
        <w:right w:val="none" w:sz="0" w:space="0" w:color="auto"/>
      </w:divBdr>
    </w:div>
    <w:div w:id="190340202">
      <w:bodyDiv w:val="1"/>
      <w:marLeft w:val="0"/>
      <w:marRight w:val="0"/>
      <w:marTop w:val="0"/>
      <w:marBottom w:val="0"/>
      <w:divBdr>
        <w:top w:val="none" w:sz="0" w:space="0" w:color="auto"/>
        <w:left w:val="none" w:sz="0" w:space="0" w:color="auto"/>
        <w:bottom w:val="none" w:sz="0" w:space="0" w:color="auto"/>
        <w:right w:val="none" w:sz="0" w:space="0" w:color="auto"/>
      </w:divBdr>
    </w:div>
    <w:div w:id="192808828">
      <w:bodyDiv w:val="1"/>
      <w:marLeft w:val="0"/>
      <w:marRight w:val="0"/>
      <w:marTop w:val="0"/>
      <w:marBottom w:val="0"/>
      <w:divBdr>
        <w:top w:val="none" w:sz="0" w:space="0" w:color="auto"/>
        <w:left w:val="none" w:sz="0" w:space="0" w:color="auto"/>
        <w:bottom w:val="none" w:sz="0" w:space="0" w:color="auto"/>
        <w:right w:val="none" w:sz="0" w:space="0" w:color="auto"/>
      </w:divBdr>
    </w:div>
    <w:div w:id="230847557">
      <w:bodyDiv w:val="1"/>
      <w:marLeft w:val="0"/>
      <w:marRight w:val="0"/>
      <w:marTop w:val="0"/>
      <w:marBottom w:val="0"/>
      <w:divBdr>
        <w:top w:val="none" w:sz="0" w:space="0" w:color="auto"/>
        <w:left w:val="none" w:sz="0" w:space="0" w:color="auto"/>
        <w:bottom w:val="none" w:sz="0" w:space="0" w:color="auto"/>
        <w:right w:val="none" w:sz="0" w:space="0" w:color="auto"/>
      </w:divBdr>
    </w:div>
    <w:div w:id="248543704">
      <w:bodyDiv w:val="1"/>
      <w:marLeft w:val="0"/>
      <w:marRight w:val="0"/>
      <w:marTop w:val="0"/>
      <w:marBottom w:val="0"/>
      <w:divBdr>
        <w:top w:val="none" w:sz="0" w:space="0" w:color="auto"/>
        <w:left w:val="none" w:sz="0" w:space="0" w:color="auto"/>
        <w:bottom w:val="none" w:sz="0" w:space="0" w:color="auto"/>
        <w:right w:val="none" w:sz="0" w:space="0" w:color="auto"/>
      </w:divBdr>
    </w:div>
    <w:div w:id="293101801">
      <w:bodyDiv w:val="1"/>
      <w:marLeft w:val="0"/>
      <w:marRight w:val="0"/>
      <w:marTop w:val="0"/>
      <w:marBottom w:val="0"/>
      <w:divBdr>
        <w:top w:val="none" w:sz="0" w:space="0" w:color="auto"/>
        <w:left w:val="none" w:sz="0" w:space="0" w:color="auto"/>
        <w:bottom w:val="none" w:sz="0" w:space="0" w:color="auto"/>
        <w:right w:val="none" w:sz="0" w:space="0" w:color="auto"/>
      </w:divBdr>
    </w:div>
    <w:div w:id="306320521">
      <w:bodyDiv w:val="1"/>
      <w:marLeft w:val="0"/>
      <w:marRight w:val="0"/>
      <w:marTop w:val="0"/>
      <w:marBottom w:val="0"/>
      <w:divBdr>
        <w:top w:val="none" w:sz="0" w:space="0" w:color="auto"/>
        <w:left w:val="none" w:sz="0" w:space="0" w:color="auto"/>
        <w:bottom w:val="none" w:sz="0" w:space="0" w:color="auto"/>
        <w:right w:val="none" w:sz="0" w:space="0" w:color="auto"/>
      </w:divBdr>
    </w:div>
    <w:div w:id="317802807">
      <w:bodyDiv w:val="1"/>
      <w:marLeft w:val="0"/>
      <w:marRight w:val="0"/>
      <w:marTop w:val="0"/>
      <w:marBottom w:val="0"/>
      <w:divBdr>
        <w:top w:val="none" w:sz="0" w:space="0" w:color="auto"/>
        <w:left w:val="none" w:sz="0" w:space="0" w:color="auto"/>
        <w:bottom w:val="none" w:sz="0" w:space="0" w:color="auto"/>
        <w:right w:val="none" w:sz="0" w:space="0" w:color="auto"/>
      </w:divBdr>
    </w:div>
    <w:div w:id="318268601">
      <w:bodyDiv w:val="1"/>
      <w:marLeft w:val="0"/>
      <w:marRight w:val="0"/>
      <w:marTop w:val="0"/>
      <w:marBottom w:val="0"/>
      <w:divBdr>
        <w:top w:val="none" w:sz="0" w:space="0" w:color="auto"/>
        <w:left w:val="none" w:sz="0" w:space="0" w:color="auto"/>
        <w:bottom w:val="none" w:sz="0" w:space="0" w:color="auto"/>
        <w:right w:val="none" w:sz="0" w:space="0" w:color="auto"/>
      </w:divBdr>
    </w:div>
    <w:div w:id="320044210">
      <w:bodyDiv w:val="1"/>
      <w:marLeft w:val="0"/>
      <w:marRight w:val="0"/>
      <w:marTop w:val="0"/>
      <w:marBottom w:val="0"/>
      <w:divBdr>
        <w:top w:val="none" w:sz="0" w:space="0" w:color="auto"/>
        <w:left w:val="none" w:sz="0" w:space="0" w:color="auto"/>
        <w:bottom w:val="none" w:sz="0" w:space="0" w:color="auto"/>
        <w:right w:val="none" w:sz="0" w:space="0" w:color="auto"/>
      </w:divBdr>
    </w:div>
    <w:div w:id="357320288">
      <w:bodyDiv w:val="1"/>
      <w:marLeft w:val="0"/>
      <w:marRight w:val="0"/>
      <w:marTop w:val="0"/>
      <w:marBottom w:val="0"/>
      <w:divBdr>
        <w:top w:val="none" w:sz="0" w:space="0" w:color="auto"/>
        <w:left w:val="none" w:sz="0" w:space="0" w:color="auto"/>
        <w:bottom w:val="none" w:sz="0" w:space="0" w:color="auto"/>
        <w:right w:val="none" w:sz="0" w:space="0" w:color="auto"/>
      </w:divBdr>
    </w:div>
    <w:div w:id="358776548">
      <w:bodyDiv w:val="1"/>
      <w:marLeft w:val="0"/>
      <w:marRight w:val="0"/>
      <w:marTop w:val="0"/>
      <w:marBottom w:val="0"/>
      <w:divBdr>
        <w:top w:val="none" w:sz="0" w:space="0" w:color="auto"/>
        <w:left w:val="none" w:sz="0" w:space="0" w:color="auto"/>
        <w:bottom w:val="none" w:sz="0" w:space="0" w:color="auto"/>
        <w:right w:val="none" w:sz="0" w:space="0" w:color="auto"/>
      </w:divBdr>
    </w:div>
    <w:div w:id="365450619">
      <w:bodyDiv w:val="1"/>
      <w:marLeft w:val="0"/>
      <w:marRight w:val="0"/>
      <w:marTop w:val="0"/>
      <w:marBottom w:val="0"/>
      <w:divBdr>
        <w:top w:val="none" w:sz="0" w:space="0" w:color="auto"/>
        <w:left w:val="none" w:sz="0" w:space="0" w:color="auto"/>
        <w:bottom w:val="none" w:sz="0" w:space="0" w:color="auto"/>
        <w:right w:val="none" w:sz="0" w:space="0" w:color="auto"/>
      </w:divBdr>
    </w:div>
    <w:div w:id="382172482">
      <w:bodyDiv w:val="1"/>
      <w:marLeft w:val="0"/>
      <w:marRight w:val="0"/>
      <w:marTop w:val="0"/>
      <w:marBottom w:val="0"/>
      <w:divBdr>
        <w:top w:val="none" w:sz="0" w:space="0" w:color="auto"/>
        <w:left w:val="none" w:sz="0" w:space="0" w:color="auto"/>
        <w:bottom w:val="none" w:sz="0" w:space="0" w:color="auto"/>
        <w:right w:val="none" w:sz="0" w:space="0" w:color="auto"/>
      </w:divBdr>
    </w:div>
    <w:div w:id="389577868">
      <w:bodyDiv w:val="1"/>
      <w:marLeft w:val="0"/>
      <w:marRight w:val="0"/>
      <w:marTop w:val="0"/>
      <w:marBottom w:val="0"/>
      <w:divBdr>
        <w:top w:val="none" w:sz="0" w:space="0" w:color="auto"/>
        <w:left w:val="none" w:sz="0" w:space="0" w:color="auto"/>
        <w:bottom w:val="none" w:sz="0" w:space="0" w:color="auto"/>
        <w:right w:val="none" w:sz="0" w:space="0" w:color="auto"/>
      </w:divBdr>
    </w:div>
    <w:div w:id="406537009">
      <w:bodyDiv w:val="1"/>
      <w:marLeft w:val="0"/>
      <w:marRight w:val="0"/>
      <w:marTop w:val="0"/>
      <w:marBottom w:val="0"/>
      <w:divBdr>
        <w:top w:val="none" w:sz="0" w:space="0" w:color="auto"/>
        <w:left w:val="none" w:sz="0" w:space="0" w:color="auto"/>
        <w:bottom w:val="none" w:sz="0" w:space="0" w:color="auto"/>
        <w:right w:val="none" w:sz="0" w:space="0" w:color="auto"/>
      </w:divBdr>
    </w:div>
    <w:div w:id="410661817">
      <w:bodyDiv w:val="1"/>
      <w:marLeft w:val="0"/>
      <w:marRight w:val="0"/>
      <w:marTop w:val="0"/>
      <w:marBottom w:val="0"/>
      <w:divBdr>
        <w:top w:val="none" w:sz="0" w:space="0" w:color="auto"/>
        <w:left w:val="none" w:sz="0" w:space="0" w:color="auto"/>
        <w:bottom w:val="none" w:sz="0" w:space="0" w:color="auto"/>
        <w:right w:val="none" w:sz="0" w:space="0" w:color="auto"/>
      </w:divBdr>
    </w:div>
    <w:div w:id="425461681">
      <w:bodyDiv w:val="1"/>
      <w:marLeft w:val="0"/>
      <w:marRight w:val="0"/>
      <w:marTop w:val="0"/>
      <w:marBottom w:val="0"/>
      <w:divBdr>
        <w:top w:val="none" w:sz="0" w:space="0" w:color="auto"/>
        <w:left w:val="none" w:sz="0" w:space="0" w:color="auto"/>
        <w:bottom w:val="none" w:sz="0" w:space="0" w:color="auto"/>
        <w:right w:val="none" w:sz="0" w:space="0" w:color="auto"/>
      </w:divBdr>
    </w:div>
    <w:div w:id="440105672">
      <w:bodyDiv w:val="1"/>
      <w:marLeft w:val="0"/>
      <w:marRight w:val="0"/>
      <w:marTop w:val="0"/>
      <w:marBottom w:val="0"/>
      <w:divBdr>
        <w:top w:val="none" w:sz="0" w:space="0" w:color="auto"/>
        <w:left w:val="none" w:sz="0" w:space="0" w:color="auto"/>
        <w:bottom w:val="none" w:sz="0" w:space="0" w:color="auto"/>
        <w:right w:val="none" w:sz="0" w:space="0" w:color="auto"/>
      </w:divBdr>
    </w:div>
    <w:div w:id="449863813">
      <w:bodyDiv w:val="1"/>
      <w:marLeft w:val="0"/>
      <w:marRight w:val="0"/>
      <w:marTop w:val="0"/>
      <w:marBottom w:val="0"/>
      <w:divBdr>
        <w:top w:val="none" w:sz="0" w:space="0" w:color="auto"/>
        <w:left w:val="none" w:sz="0" w:space="0" w:color="auto"/>
        <w:bottom w:val="none" w:sz="0" w:space="0" w:color="auto"/>
        <w:right w:val="none" w:sz="0" w:space="0" w:color="auto"/>
      </w:divBdr>
    </w:div>
    <w:div w:id="465663407">
      <w:bodyDiv w:val="1"/>
      <w:marLeft w:val="0"/>
      <w:marRight w:val="0"/>
      <w:marTop w:val="0"/>
      <w:marBottom w:val="0"/>
      <w:divBdr>
        <w:top w:val="none" w:sz="0" w:space="0" w:color="auto"/>
        <w:left w:val="none" w:sz="0" w:space="0" w:color="auto"/>
        <w:bottom w:val="none" w:sz="0" w:space="0" w:color="auto"/>
        <w:right w:val="none" w:sz="0" w:space="0" w:color="auto"/>
      </w:divBdr>
    </w:div>
    <w:div w:id="480510407">
      <w:bodyDiv w:val="1"/>
      <w:marLeft w:val="0"/>
      <w:marRight w:val="0"/>
      <w:marTop w:val="0"/>
      <w:marBottom w:val="0"/>
      <w:divBdr>
        <w:top w:val="none" w:sz="0" w:space="0" w:color="auto"/>
        <w:left w:val="none" w:sz="0" w:space="0" w:color="auto"/>
        <w:bottom w:val="none" w:sz="0" w:space="0" w:color="auto"/>
        <w:right w:val="none" w:sz="0" w:space="0" w:color="auto"/>
      </w:divBdr>
    </w:div>
    <w:div w:id="505293465">
      <w:bodyDiv w:val="1"/>
      <w:marLeft w:val="0"/>
      <w:marRight w:val="0"/>
      <w:marTop w:val="0"/>
      <w:marBottom w:val="0"/>
      <w:divBdr>
        <w:top w:val="none" w:sz="0" w:space="0" w:color="auto"/>
        <w:left w:val="none" w:sz="0" w:space="0" w:color="auto"/>
        <w:bottom w:val="none" w:sz="0" w:space="0" w:color="auto"/>
        <w:right w:val="none" w:sz="0" w:space="0" w:color="auto"/>
      </w:divBdr>
    </w:div>
    <w:div w:id="517811275">
      <w:bodyDiv w:val="1"/>
      <w:marLeft w:val="0"/>
      <w:marRight w:val="0"/>
      <w:marTop w:val="0"/>
      <w:marBottom w:val="0"/>
      <w:divBdr>
        <w:top w:val="none" w:sz="0" w:space="0" w:color="auto"/>
        <w:left w:val="none" w:sz="0" w:space="0" w:color="auto"/>
        <w:bottom w:val="none" w:sz="0" w:space="0" w:color="auto"/>
        <w:right w:val="none" w:sz="0" w:space="0" w:color="auto"/>
      </w:divBdr>
    </w:div>
    <w:div w:id="519318799">
      <w:bodyDiv w:val="1"/>
      <w:marLeft w:val="0"/>
      <w:marRight w:val="0"/>
      <w:marTop w:val="0"/>
      <w:marBottom w:val="0"/>
      <w:divBdr>
        <w:top w:val="none" w:sz="0" w:space="0" w:color="auto"/>
        <w:left w:val="none" w:sz="0" w:space="0" w:color="auto"/>
        <w:bottom w:val="none" w:sz="0" w:space="0" w:color="auto"/>
        <w:right w:val="none" w:sz="0" w:space="0" w:color="auto"/>
      </w:divBdr>
    </w:div>
    <w:div w:id="543752596">
      <w:bodyDiv w:val="1"/>
      <w:marLeft w:val="0"/>
      <w:marRight w:val="0"/>
      <w:marTop w:val="0"/>
      <w:marBottom w:val="0"/>
      <w:divBdr>
        <w:top w:val="none" w:sz="0" w:space="0" w:color="auto"/>
        <w:left w:val="none" w:sz="0" w:space="0" w:color="auto"/>
        <w:bottom w:val="none" w:sz="0" w:space="0" w:color="auto"/>
        <w:right w:val="none" w:sz="0" w:space="0" w:color="auto"/>
      </w:divBdr>
    </w:div>
    <w:div w:id="566500299">
      <w:bodyDiv w:val="1"/>
      <w:marLeft w:val="0"/>
      <w:marRight w:val="0"/>
      <w:marTop w:val="0"/>
      <w:marBottom w:val="0"/>
      <w:divBdr>
        <w:top w:val="none" w:sz="0" w:space="0" w:color="auto"/>
        <w:left w:val="none" w:sz="0" w:space="0" w:color="auto"/>
        <w:bottom w:val="none" w:sz="0" w:space="0" w:color="auto"/>
        <w:right w:val="none" w:sz="0" w:space="0" w:color="auto"/>
      </w:divBdr>
    </w:div>
    <w:div w:id="570392020">
      <w:bodyDiv w:val="1"/>
      <w:marLeft w:val="0"/>
      <w:marRight w:val="0"/>
      <w:marTop w:val="0"/>
      <w:marBottom w:val="0"/>
      <w:divBdr>
        <w:top w:val="none" w:sz="0" w:space="0" w:color="auto"/>
        <w:left w:val="none" w:sz="0" w:space="0" w:color="auto"/>
        <w:bottom w:val="none" w:sz="0" w:space="0" w:color="auto"/>
        <w:right w:val="none" w:sz="0" w:space="0" w:color="auto"/>
      </w:divBdr>
    </w:div>
    <w:div w:id="584850474">
      <w:bodyDiv w:val="1"/>
      <w:marLeft w:val="0"/>
      <w:marRight w:val="0"/>
      <w:marTop w:val="0"/>
      <w:marBottom w:val="0"/>
      <w:divBdr>
        <w:top w:val="none" w:sz="0" w:space="0" w:color="auto"/>
        <w:left w:val="none" w:sz="0" w:space="0" w:color="auto"/>
        <w:bottom w:val="none" w:sz="0" w:space="0" w:color="auto"/>
        <w:right w:val="none" w:sz="0" w:space="0" w:color="auto"/>
      </w:divBdr>
    </w:div>
    <w:div w:id="636685003">
      <w:bodyDiv w:val="1"/>
      <w:marLeft w:val="0"/>
      <w:marRight w:val="0"/>
      <w:marTop w:val="0"/>
      <w:marBottom w:val="0"/>
      <w:divBdr>
        <w:top w:val="none" w:sz="0" w:space="0" w:color="auto"/>
        <w:left w:val="none" w:sz="0" w:space="0" w:color="auto"/>
        <w:bottom w:val="none" w:sz="0" w:space="0" w:color="auto"/>
        <w:right w:val="none" w:sz="0" w:space="0" w:color="auto"/>
      </w:divBdr>
    </w:div>
    <w:div w:id="643395058">
      <w:bodyDiv w:val="1"/>
      <w:marLeft w:val="0"/>
      <w:marRight w:val="0"/>
      <w:marTop w:val="0"/>
      <w:marBottom w:val="0"/>
      <w:divBdr>
        <w:top w:val="none" w:sz="0" w:space="0" w:color="auto"/>
        <w:left w:val="none" w:sz="0" w:space="0" w:color="auto"/>
        <w:bottom w:val="none" w:sz="0" w:space="0" w:color="auto"/>
        <w:right w:val="none" w:sz="0" w:space="0" w:color="auto"/>
      </w:divBdr>
    </w:div>
    <w:div w:id="647125476">
      <w:bodyDiv w:val="1"/>
      <w:marLeft w:val="0"/>
      <w:marRight w:val="0"/>
      <w:marTop w:val="0"/>
      <w:marBottom w:val="0"/>
      <w:divBdr>
        <w:top w:val="none" w:sz="0" w:space="0" w:color="auto"/>
        <w:left w:val="none" w:sz="0" w:space="0" w:color="auto"/>
        <w:bottom w:val="none" w:sz="0" w:space="0" w:color="auto"/>
        <w:right w:val="none" w:sz="0" w:space="0" w:color="auto"/>
      </w:divBdr>
    </w:div>
    <w:div w:id="651637240">
      <w:bodyDiv w:val="1"/>
      <w:marLeft w:val="0"/>
      <w:marRight w:val="0"/>
      <w:marTop w:val="0"/>
      <w:marBottom w:val="0"/>
      <w:divBdr>
        <w:top w:val="none" w:sz="0" w:space="0" w:color="auto"/>
        <w:left w:val="none" w:sz="0" w:space="0" w:color="auto"/>
        <w:bottom w:val="none" w:sz="0" w:space="0" w:color="auto"/>
        <w:right w:val="none" w:sz="0" w:space="0" w:color="auto"/>
      </w:divBdr>
    </w:div>
    <w:div w:id="660424704">
      <w:bodyDiv w:val="1"/>
      <w:marLeft w:val="0"/>
      <w:marRight w:val="0"/>
      <w:marTop w:val="0"/>
      <w:marBottom w:val="0"/>
      <w:divBdr>
        <w:top w:val="none" w:sz="0" w:space="0" w:color="auto"/>
        <w:left w:val="none" w:sz="0" w:space="0" w:color="auto"/>
        <w:bottom w:val="none" w:sz="0" w:space="0" w:color="auto"/>
        <w:right w:val="none" w:sz="0" w:space="0" w:color="auto"/>
      </w:divBdr>
    </w:div>
    <w:div w:id="669600573">
      <w:bodyDiv w:val="1"/>
      <w:marLeft w:val="0"/>
      <w:marRight w:val="0"/>
      <w:marTop w:val="0"/>
      <w:marBottom w:val="0"/>
      <w:divBdr>
        <w:top w:val="none" w:sz="0" w:space="0" w:color="auto"/>
        <w:left w:val="none" w:sz="0" w:space="0" w:color="auto"/>
        <w:bottom w:val="none" w:sz="0" w:space="0" w:color="auto"/>
        <w:right w:val="none" w:sz="0" w:space="0" w:color="auto"/>
      </w:divBdr>
    </w:div>
    <w:div w:id="681710604">
      <w:bodyDiv w:val="1"/>
      <w:marLeft w:val="0"/>
      <w:marRight w:val="0"/>
      <w:marTop w:val="0"/>
      <w:marBottom w:val="0"/>
      <w:divBdr>
        <w:top w:val="none" w:sz="0" w:space="0" w:color="auto"/>
        <w:left w:val="none" w:sz="0" w:space="0" w:color="auto"/>
        <w:bottom w:val="none" w:sz="0" w:space="0" w:color="auto"/>
        <w:right w:val="none" w:sz="0" w:space="0" w:color="auto"/>
      </w:divBdr>
    </w:div>
    <w:div w:id="697044231">
      <w:bodyDiv w:val="1"/>
      <w:marLeft w:val="0"/>
      <w:marRight w:val="0"/>
      <w:marTop w:val="0"/>
      <w:marBottom w:val="0"/>
      <w:divBdr>
        <w:top w:val="none" w:sz="0" w:space="0" w:color="auto"/>
        <w:left w:val="none" w:sz="0" w:space="0" w:color="auto"/>
        <w:bottom w:val="none" w:sz="0" w:space="0" w:color="auto"/>
        <w:right w:val="none" w:sz="0" w:space="0" w:color="auto"/>
      </w:divBdr>
    </w:div>
    <w:div w:id="703873445">
      <w:bodyDiv w:val="1"/>
      <w:marLeft w:val="0"/>
      <w:marRight w:val="0"/>
      <w:marTop w:val="0"/>
      <w:marBottom w:val="0"/>
      <w:divBdr>
        <w:top w:val="none" w:sz="0" w:space="0" w:color="auto"/>
        <w:left w:val="none" w:sz="0" w:space="0" w:color="auto"/>
        <w:bottom w:val="none" w:sz="0" w:space="0" w:color="auto"/>
        <w:right w:val="none" w:sz="0" w:space="0" w:color="auto"/>
      </w:divBdr>
    </w:div>
    <w:div w:id="717701158">
      <w:bodyDiv w:val="1"/>
      <w:marLeft w:val="0"/>
      <w:marRight w:val="0"/>
      <w:marTop w:val="0"/>
      <w:marBottom w:val="0"/>
      <w:divBdr>
        <w:top w:val="none" w:sz="0" w:space="0" w:color="auto"/>
        <w:left w:val="none" w:sz="0" w:space="0" w:color="auto"/>
        <w:bottom w:val="none" w:sz="0" w:space="0" w:color="auto"/>
        <w:right w:val="none" w:sz="0" w:space="0" w:color="auto"/>
      </w:divBdr>
    </w:div>
    <w:div w:id="773091119">
      <w:bodyDiv w:val="1"/>
      <w:marLeft w:val="0"/>
      <w:marRight w:val="0"/>
      <w:marTop w:val="0"/>
      <w:marBottom w:val="0"/>
      <w:divBdr>
        <w:top w:val="none" w:sz="0" w:space="0" w:color="auto"/>
        <w:left w:val="none" w:sz="0" w:space="0" w:color="auto"/>
        <w:bottom w:val="none" w:sz="0" w:space="0" w:color="auto"/>
        <w:right w:val="none" w:sz="0" w:space="0" w:color="auto"/>
      </w:divBdr>
    </w:div>
    <w:div w:id="773599127">
      <w:bodyDiv w:val="1"/>
      <w:marLeft w:val="0"/>
      <w:marRight w:val="0"/>
      <w:marTop w:val="0"/>
      <w:marBottom w:val="0"/>
      <w:divBdr>
        <w:top w:val="none" w:sz="0" w:space="0" w:color="auto"/>
        <w:left w:val="none" w:sz="0" w:space="0" w:color="auto"/>
        <w:bottom w:val="none" w:sz="0" w:space="0" w:color="auto"/>
        <w:right w:val="none" w:sz="0" w:space="0" w:color="auto"/>
      </w:divBdr>
    </w:div>
    <w:div w:id="809132639">
      <w:bodyDiv w:val="1"/>
      <w:marLeft w:val="0"/>
      <w:marRight w:val="0"/>
      <w:marTop w:val="0"/>
      <w:marBottom w:val="0"/>
      <w:divBdr>
        <w:top w:val="none" w:sz="0" w:space="0" w:color="auto"/>
        <w:left w:val="none" w:sz="0" w:space="0" w:color="auto"/>
        <w:bottom w:val="none" w:sz="0" w:space="0" w:color="auto"/>
        <w:right w:val="none" w:sz="0" w:space="0" w:color="auto"/>
      </w:divBdr>
    </w:div>
    <w:div w:id="821656000">
      <w:bodyDiv w:val="1"/>
      <w:marLeft w:val="0"/>
      <w:marRight w:val="0"/>
      <w:marTop w:val="0"/>
      <w:marBottom w:val="0"/>
      <w:divBdr>
        <w:top w:val="none" w:sz="0" w:space="0" w:color="auto"/>
        <w:left w:val="none" w:sz="0" w:space="0" w:color="auto"/>
        <w:bottom w:val="none" w:sz="0" w:space="0" w:color="auto"/>
        <w:right w:val="none" w:sz="0" w:space="0" w:color="auto"/>
      </w:divBdr>
    </w:div>
    <w:div w:id="845361377">
      <w:bodyDiv w:val="1"/>
      <w:marLeft w:val="0"/>
      <w:marRight w:val="0"/>
      <w:marTop w:val="0"/>
      <w:marBottom w:val="0"/>
      <w:divBdr>
        <w:top w:val="none" w:sz="0" w:space="0" w:color="auto"/>
        <w:left w:val="none" w:sz="0" w:space="0" w:color="auto"/>
        <w:bottom w:val="none" w:sz="0" w:space="0" w:color="auto"/>
        <w:right w:val="none" w:sz="0" w:space="0" w:color="auto"/>
      </w:divBdr>
    </w:div>
    <w:div w:id="850022749">
      <w:bodyDiv w:val="1"/>
      <w:marLeft w:val="0"/>
      <w:marRight w:val="0"/>
      <w:marTop w:val="0"/>
      <w:marBottom w:val="0"/>
      <w:divBdr>
        <w:top w:val="none" w:sz="0" w:space="0" w:color="auto"/>
        <w:left w:val="none" w:sz="0" w:space="0" w:color="auto"/>
        <w:bottom w:val="none" w:sz="0" w:space="0" w:color="auto"/>
        <w:right w:val="none" w:sz="0" w:space="0" w:color="auto"/>
      </w:divBdr>
    </w:div>
    <w:div w:id="850795821">
      <w:bodyDiv w:val="1"/>
      <w:marLeft w:val="0"/>
      <w:marRight w:val="0"/>
      <w:marTop w:val="0"/>
      <w:marBottom w:val="0"/>
      <w:divBdr>
        <w:top w:val="none" w:sz="0" w:space="0" w:color="auto"/>
        <w:left w:val="none" w:sz="0" w:space="0" w:color="auto"/>
        <w:bottom w:val="none" w:sz="0" w:space="0" w:color="auto"/>
        <w:right w:val="none" w:sz="0" w:space="0" w:color="auto"/>
      </w:divBdr>
    </w:div>
    <w:div w:id="876889576">
      <w:bodyDiv w:val="1"/>
      <w:marLeft w:val="0"/>
      <w:marRight w:val="0"/>
      <w:marTop w:val="0"/>
      <w:marBottom w:val="0"/>
      <w:divBdr>
        <w:top w:val="none" w:sz="0" w:space="0" w:color="auto"/>
        <w:left w:val="none" w:sz="0" w:space="0" w:color="auto"/>
        <w:bottom w:val="none" w:sz="0" w:space="0" w:color="auto"/>
        <w:right w:val="none" w:sz="0" w:space="0" w:color="auto"/>
      </w:divBdr>
    </w:div>
    <w:div w:id="890188932">
      <w:bodyDiv w:val="1"/>
      <w:marLeft w:val="0"/>
      <w:marRight w:val="0"/>
      <w:marTop w:val="0"/>
      <w:marBottom w:val="0"/>
      <w:divBdr>
        <w:top w:val="none" w:sz="0" w:space="0" w:color="auto"/>
        <w:left w:val="none" w:sz="0" w:space="0" w:color="auto"/>
        <w:bottom w:val="none" w:sz="0" w:space="0" w:color="auto"/>
        <w:right w:val="none" w:sz="0" w:space="0" w:color="auto"/>
      </w:divBdr>
    </w:div>
    <w:div w:id="892889866">
      <w:bodyDiv w:val="1"/>
      <w:marLeft w:val="0"/>
      <w:marRight w:val="0"/>
      <w:marTop w:val="0"/>
      <w:marBottom w:val="0"/>
      <w:divBdr>
        <w:top w:val="none" w:sz="0" w:space="0" w:color="auto"/>
        <w:left w:val="none" w:sz="0" w:space="0" w:color="auto"/>
        <w:bottom w:val="none" w:sz="0" w:space="0" w:color="auto"/>
        <w:right w:val="none" w:sz="0" w:space="0" w:color="auto"/>
      </w:divBdr>
    </w:div>
    <w:div w:id="898052569">
      <w:bodyDiv w:val="1"/>
      <w:marLeft w:val="0"/>
      <w:marRight w:val="0"/>
      <w:marTop w:val="0"/>
      <w:marBottom w:val="0"/>
      <w:divBdr>
        <w:top w:val="none" w:sz="0" w:space="0" w:color="auto"/>
        <w:left w:val="none" w:sz="0" w:space="0" w:color="auto"/>
        <w:bottom w:val="none" w:sz="0" w:space="0" w:color="auto"/>
        <w:right w:val="none" w:sz="0" w:space="0" w:color="auto"/>
      </w:divBdr>
    </w:div>
    <w:div w:id="898517132">
      <w:bodyDiv w:val="1"/>
      <w:marLeft w:val="0"/>
      <w:marRight w:val="0"/>
      <w:marTop w:val="0"/>
      <w:marBottom w:val="0"/>
      <w:divBdr>
        <w:top w:val="none" w:sz="0" w:space="0" w:color="auto"/>
        <w:left w:val="none" w:sz="0" w:space="0" w:color="auto"/>
        <w:bottom w:val="none" w:sz="0" w:space="0" w:color="auto"/>
        <w:right w:val="none" w:sz="0" w:space="0" w:color="auto"/>
      </w:divBdr>
    </w:div>
    <w:div w:id="902637776">
      <w:bodyDiv w:val="1"/>
      <w:marLeft w:val="0"/>
      <w:marRight w:val="0"/>
      <w:marTop w:val="0"/>
      <w:marBottom w:val="0"/>
      <w:divBdr>
        <w:top w:val="none" w:sz="0" w:space="0" w:color="auto"/>
        <w:left w:val="none" w:sz="0" w:space="0" w:color="auto"/>
        <w:bottom w:val="none" w:sz="0" w:space="0" w:color="auto"/>
        <w:right w:val="none" w:sz="0" w:space="0" w:color="auto"/>
      </w:divBdr>
    </w:div>
    <w:div w:id="908153278">
      <w:bodyDiv w:val="1"/>
      <w:marLeft w:val="0"/>
      <w:marRight w:val="0"/>
      <w:marTop w:val="0"/>
      <w:marBottom w:val="0"/>
      <w:divBdr>
        <w:top w:val="none" w:sz="0" w:space="0" w:color="auto"/>
        <w:left w:val="none" w:sz="0" w:space="0" w:color="auto"/>
        <w:bottom w:val="none" w:sz="0" w:space="0" w:color="auto"/>
        <w:right w:val="none" w:sz="0" w:space="0" w:color="auto"/>
      </w:divBdr>
    </w:div>
    <w:div w:id="917441720">
      <w:bodyDiv w:val="1"/>
      <w:marLeft w:val="0"/>
      <w:marRight w:val="0"/>
      <w:marTop w:val="0"/>
      <w:marBottom w:val="0"/>
      <w:divBdr>
        <w:top w:val="none" w:sz="0" w:space="0" w:color="auto"/>
        <w:left w:val="none" w:sz="0" w:space="0" w:color="auto"/>
        <w:bottom w:val="none" w:sz="0" w:space="0" w:color="auto"/>
        <w:right w:val="none" w:sz="0" w:space="0" w:color="auto"/>
      </w:divBdr>
    </w:div>
    <w:div w:id="920606783">
      <w:bodyDiv w:val="1"/>
      <w:marLeft w:val="0"/>
      <w:marRight w:val="0"/>
      <w:marTop w:val="0"/>
      <w:marBottom w:val="0"/>
      <w:divBdr>
        <w:top w:val="none" w:sz="0" w:space="0" w:color="auto"/>
        <w:left w:val="none" w:sz="0" w:space="0" w:color="auto"/>
        <w:bottom w:val="none" w:sz="0" w:space="0" w:color="auto"/>
        <w:right w:val="none" w:sz="0" w:space="0" w:color="auto"/>
      </w:divBdr>
    </w:div>
    <w:div w:id="926764015">
      <w:bodyDiv w:val="1"/>
      <w:marLeft w:val="0"/>
      <w:marRight w:val="0"/>
      <w:marTop w:val="0"/>
      <w:marBottom w:val="0"/>
      <w:divBdr>
        <w:top w:val="none" w:sz="0" w:space="0" w:color="auto"/>
        <w:left w:val="none" w:sz="0" w:space="0" w:color="auto"/>
        <w:bottom w:val="none" w:sz="0" w:space="0" w:color="auto"/>
        <w:right w:val="none" w:sz="0" w:space="0" w:color="auto"/>
      </w:divBdr>
    </w:div>
    <w:div w:id="933320217">
      <w:bodyDiv w:val="1"/>
      <w:marLeft w:val="0"/>
      <w:marRight w:val="0"/>
      <w:marTop w:val="0"/>
      <w:marBottom w:val="0"/>
      <w:divBdr>
        <w:top w:val="none" w:sz="0" w:space="0" w:color="auto"/>
        <w:left w:val="none" w:sz="0" w:space="0" w:color="auto"/>
        <w:bottom w:val="none" w:sz="0" w:space="0" w:color="auto"/>
        <w:right w:val="none" w:sz="0" w:space="0" w:color="auto"/>
      </w:divBdr>
    </w:div>
    <w:div w:id="950549494">
      <w:bodyDiv w:val="1"/>
      <w:marLeft w:val="0"/>
      <w:marRight w:val="0"/>
      <w:marTop w:val="0"/>
      <w:marBottom w:val="0"/>
      <w:divBdr>
        <w:top w:val="none" w:sz="0" w:space="0" w:color="auto"/>
        <w:left w:val="none" w:sz="0" w:space="0" w:color="auto"/>
        <w:bottom w:val="none" w:sz="0" w:space="0" w:color="auto"/>
        <w:right w:val="none" w:sz="0" w:space="0" w:color="auto"/>
      </w:divBdr>
    </w:div>
    <w:div w:id="956182135">
      <w:bodyDiv w:val="1"/>
      <w:marLeft w:val="0"/>
      <w:marRight w:val="0"/>
      <w:marTop w:val="0"/>
      <w:marBottom w:val="0"/>
      <w:divBdr>
        <w:top w:val="none" w:sz="0" w:space="0" w:color="auto"/>
        <w:left w:val="none" w:sz="0" w:space="0" w:color="auto"/>
        <w:bottom w:val="none" w:sz="0" w:space="0" w:color="auto"/>
        <w:right w:val="none" w:sz="0" w:space="0" w:color="auto"/>
      </w:divBdr>
    </w:div>
    <w:div w:id="969047620">
      <w:bodyDiv w:val="1"/>
      <w:marLeft w:val="0"/>
      <w:marRight w:val="0"/>
      <w:marTop w:val="0"/>
      <w:marBottom w:val="0"/>
      <w:divBdr>
        <w:top w:val="none" w:sz="0" w:space="0" w:color="auto"/>
        <w:left w:val="none" w:sz="0" w:space="0" w:color="auto"/>
        <w:bottom w:val="none" w:sz="0" w:space="0" w:color="auto"/>
        <w:right w:val="none" w:sz="0" w:space="0" w:color="auto"/>
      </w:divBdr>
    </w:div>
    <w:div w:id="989332780">
      <w:bodyDiv w:val="1"/>
      <w:marLeft w:val="0"/>
      <w:marRight w:val="0"/>
      <w:marTop w:val="0"/>
      <w:marBottom w:val="0"/>
      <w:divBdr>
        <w:top w:val="none" w:sz="0" w:space="0" w:color="auto"/>
        <w:left w:val="none" w:sz="0" w:space="0" w:color="auto"/>
        <w:bottom w:val="none" w:sz="0" w:space="0" w:color="auto"/>
        <w:right w:val="none" w:sz="0" w:space="0" w:color="auto"/>
      </w:divBdr>
    </w:div>
    <w:div w:id="1000426249">
      <w:bodyDiv w:val="1"/>
      <w:marLeft w:val="0"/>
      <w:marRight w:val="0"/>
      <w:marTop w:val="0"/>
      <w:marBottom w:val="0"/>
      <w:divBdr>
        <w:top w:val="none" w:sz="0" w:space="0" w:color="auto"/>
        <w:left w:val="none" w:sz="0" w:space="0" w:color="auto"/>
        <w:bottom w:val="none" w:sz="0" w:space="0" w:color="auto"/>
        <w:right w:val="none" w:sz="0" w:space="0" w:color="auto"/>
      </w:divBdr>
    </w:div>
    <w:div w:id="1032463699">
      <w:bodyDiv w:val="1"/>
      <w:marLeft w:val="0"/>
      <w:marRight w:val="0"/>
      <w:marTop w:val="0"/>
      <w:marBottom w:val="0"/>
      <w:divBdr>
        <w:top w:val="none" w:sz="0" w:space="0" w:color="auto"/>
        <w:left w:val="none" w:sz="0" w:space="0" w:color="auto"/>
        <w:bottom w:val="none" w:sz="0" w:space="0" w:color="auto"/>
        <w:right w:val="none" w:sz="0" w:space="0" w:color="auto"/>
      </w:divBdr>
    </w:div>
    <w:div w:id="1034040721">
      <w:bodyDiv w:val="1"/>
      <w:marLeft w:val="0"/>
      <w:marRight w:val="0"/>
      <w:marTop w:val="0"/>
      <w:marBottom w:val="0"/>
      <w:divBdr>
        <w:top w:val="none" w:sz="0" w:space="0" w:color="auto"/>
        <w:left w:val="none" w:sz="0" w:space="0" w:color="auto"/>
        <w:bottom w:val="none" w:sz="0" w:space="0" w:color="auto"/>
        <w:right w:val="none" w:sz="0" w:space="0" w:color="auto"/>
      </w:divBdr>
    </w:div>
    <w:div w:id="1068185556">
      <w:bodyDiv w:val="1"/>
      <w:marLeft w:val="0"/>
      <w:marRight w:val="0"/>
      <w:marTop w:val="0"/>
      <w:marBottom w:val="0"/>
      <w:divBdr>
        <w:top w:val="none" w:sz="0" w:space="0" w:color="auto"/>
        <w:left w:val="none" w:sz="0" w:space="0" w:color="auto"/>
        <w:bottom w:val="none" w:sz="0" w:space="0" w:color="auto"/>
        <w:right w:val="none" w:sz="0" w:space="0" w:color="auto"/>
      </w:divBdr>
    </w:div>
    <w:div w:id="1079793578">
      <w:bodyDiv w:val="1"/>
      <w:marLeft w:val="0"/>
      <w:marRight w:val="0"/>
      <w:marTop w:val="0"/>
      <w:marBottom w:val="0"/>
      <w:divBdr>
        <w:top w:val="none" w:sz="0" w:space="0" w:color="auto"/>
        <w:left w:val="none" w:sz="0" w:space="0" w:color="auto"/>
        <w:bottom w:val="none" w:sz="0" w:space="0" w:color="auto"/>
        <w:right w:val="none" w:sz="0" w:space="0" w:color="auto"/>
      </w:divBdr>
    </w:div>
    <w:div w:id="1085879540">
      <w:bodyDiv w:val="1"/>
      <w:marLeft w:val="0"/>
      <w:marRight w:val="0"/>
      <w:marTop w:val="0"/>
      <w:marBottom w:val="0"/>
      <w:divBdr>
        <w:top w:val="none" w:sz="0" w:space="0" w:color="auto"/>
        <w:left w:val="none" w:sz="0" w:space="0" w:color="auto"/>
        <w:bottom w:val="none" w:sz="0" w:space="0" w:color="auto"/>
        <w:right w:val="none" w:sz="0" w:space="0" w:color="auto"/>
      </w:divBdr>
    </w:div>
    <w:div w:id="1106731325">
      <w:bodyDiv w:val="1"/>
      <w:marLeft w:val="0"/>
      <w:marRight w:val="0"/>
      <w:marTop w:val="0"/>
      <w:marBottom w:val="0"/>
      <w:divBdr>
        <w:top w:val="none" w:sz="0" w:space="0" w:color="auto"/>
        <w:left w:val="none" w:sz="0" w:space="0" w:color="auto"/>
        <w:bottom w:val="none" w:sz="0" w:space="0" w:color="auto"/>
        <w:right w:val="none" w:sz="0" w:space="0" w:color="auto"/>
      </w:divBdr>
    </w:div>
    <w:div w:id="1111900167">
      <w:bodyDiv w:val="1"/>
      <w:marLeft w:val="0"/>
      <w:marRight w:val="0"/>
      <w:marTop w:val="0"/>
      <w:marBottom w:val="0"/>
      <w:divBdr>
        <w:top w:val="none" w:sz="0" w:space="0" w:color="auto"/>
        <w:left w:val="none" w:sz="0" w:space="0" w:color="auto"/>
        <w:bottom w:val="none" w:sz="0" w:space="0" w:color="auto"/>
        <w:right w:val="none" w:sz="0" w:space="0" w:color="auto"/>
      </w:divBdr>
    </w:div>
    <w:div w:id="1115296456">
      <w:bodyDiv w:val="1"/>
      <w:marLeft w:val="0"/>
      <w:marRight w:val="0"/>
      <w:marTop w:val="0"/>
      <w:marBottom w:val="0"/>
      <w:divBdr>
        <w:top w:val="none" w:sz="0" w:space="0" w:color="auto"/>
        <w:left w:val="none" w:sz="0" w:space="0" w:color="auto"/>
        <w:bottom w:val="none" w:sz="0" w:space="0" w:color="auto"/>
        <w:right w:val="none" w:sz="0" w:space="0" w:color="auto"/>
      </w:divBdr>
    </w:div>
    <w:div w:id="1164123841">
      <w:bodyDiv w:val="1"/>
      <w:marLeft w:val="0"/>
      <w:marRight w:val="0"/>
      <w:marTop w:val="0"/>
      <w:marBottom w:val="0"/>
      <w:divBdr>
        <w:top w:val="none" w:sz="0" w:space="0" w:color="auto"/>
        <w:left w:val="none" w:sz="0" w:space="0" w:color="auto"/>
        <w:bottom w:val="none" w:sz="0" w:space="0" w:color="auto"/>
        <w:right w:val="none" w:sz="0" w:space="0" w:color="auto"/>
      </w:divBdr>
    </w:div>
    <w:div w:id="1194466689">
      <w:bodyDiv w:val="1"/>
      <w:marLeft w:val="0"/>
      <w:marRight w:val="0"/>
      <w:marTop w:val="0"/>
      <w:marBottom w:val="0"/>
      <w:divBdr>
        <w:top w:val="none" w:sz="0" w:space="0" w:color="auto"/>
        <w:left w:val="none" w:sz="0" w:space="0" w:color="auto"/>
        <w:bottom w:val="none" w:sz="0" w:space="0" w:color="auto"/>
        <w:right w:val="none" w:sz="0" w:space="0" w:color="auto"/>
      </w:divBdr>
    </w:div>
    <w:div w:id="1201824638">
      <w:bodyDiv w:val="1"/>
      <w:marLeft w:val="0"/>
      <w:marRight w:val="0"/>
      <w:marTop w:val="0"/>
      <w:marBottom w:val="0"/>
      <w:divBdr>
        <w:top w:val="none" w:sz="0" w:space="0" w:color="auto"/>
        <w:left w:val="none" w:sz="0" w:space="0" w:color="auto"/>
        <w:bottom w:val="none" w:sz="0" w:space="0" w:color="auto"/>
        <w:right w:val="none" w:sz="0" w:space="0" w:color="auto"/>
      </w:divBdr>
    </w:div>
    <w:div w:id="1212305778">
      <w:bodyDiv w:val="1"/>
      <w:marLeft w:val="0"/>
      <w:marRight w:val="0"/>
      <w:marTop w:val="0"/>
      <w:marBottom w:val="0"/>
      <w:divBdr>
        <w:top w:val="none" w:sz="0" w:space="0" w:color="auto"/>
        <w:left w:val="none" w:sz="0" w:space="0" w:color="auto"/>
        <w:bottom w:val="none" w:sz="0" w:space="0" w:color="auto"/>
        <w:right w:val="none" w:sz="0" w:space="0" w:color="auto"/>
      </w:divBdr>
    </w:div>
    <w:div w:id="1226918084">
      <w:bodyDiv w:val="1"/>
      <w:marLeft w:val="0"/>
      <w:marRight w:val="0"/>
      <w:marTop w:val="0"/>
      <w:marBottom w:val="0"/>
      <w:divBdr>
        <w:top w:val="none" w:sz="0" w:space="0" w:color="auto"/>
        <w:left w:val="none" w:sz="0" w:space="0" w:color="auto"/>
        <w:bottom w:val="none" w:sz="0" w:space="0" w:color="auto"/>
        <w:right w:val="none" w:sz="0" w:space="0" w:color="auto"/>
      </w:divBdr>
    </w:div>
    <w:div w:id="1244484211">
      <w:bodyDiv w:val="1"/>
      <w:marLeft w:val="0"/>
      <w:marRight w:val="0"/>
      <w:marTop w:val="0"/>
      <w:marBottom w:val="0"/>
      <w:divBdr>
        <w:top w:val="none" w:sz="0" w:space="0" w:color="auto"/>
        <w:left w:val="none" w:sz="0" w:space="0" w:color="auto"/>
        <w:bottom w:val="none" w:sz="0" w:space="0" w:color="auto"/>
        <w:right w:val="none" w:sz="0" w:space="0" w:color="auto"/>
      </w:divBdr>
    </w:div>
    <w:div w:id="1253274982">
      <w:bodyDiv w:val="1"/>
      <w:marLeft w:val="0"/>
      <w:marRight w:val="0"/>
      <w:marTop w:val="0"/>
      <w:marBottom w:val="0"/>
      <w:divBdr>
        <w:top w:val="none" w:sz="0" w:space="0" w:color="auto"/>
        <w:left w:val="none" w:sz="0" w:space="0" w:color="auto"/>
        <w:bottom w:val="none" w:sz="0" w:space="0" w:color="auto"/>
        <w:right w:val="none" w:sz="0" w:space="0" w:color="auto"/>
      </w:divBdr>
    </w:div>
    <w:div w:id="1273365477">
      <w:bodyDiv w:val="1"/>
      <w:marLeft w:val="0"/>
      <w:marRight w:val="0"/>
      <w:marTop w:val="0"/>
      <w:marBottom w:val="0"/>
      <w:divBdr>
        <w:top w:val="none" w:sz="0" w:space="0" w:color="auto"/>
        <w:left w:val="none" w:sz="0" w:space="0" w:color="auto"/>
        <w:bottom w:val="none" w:sz="0" w:space="0" w:color="auto"/>
        <w:right w:val="none" w:sz="0" w:space="0" w:color="auto"/>
      </w:divBdr>
    </w:div>
    <w:div w:id="1280071129">
      <w:bodyDiv w:val="1"/>
      <w:marLeft w:val="0"/>
      <w:marRight w:val="0"/>
      <w:marTop w:val="0"/>
      <w:marBottom w:val="0"/>
      <w:divBdr>
        <w:top w:val="none" w:sz="0" w:space="0" w:color="auto"/>
        <w:left w:val="none" w:sz="0" w:space="0" w:color="auto"/>
        <w:bottom w:val="none" w:sz="0" w:space="0" w:color="auto"/>
        <w:right w:val="none" w:sz="0" w:space="0" w:color="auto"/>
      </w:divBdr>
    </w:div>
    <w:div w:id="1312711951">
      <w:bodyDiv w:val="1"/>
      <w:marLeft w:val="0"/>
      <w:marRight w:val="0"/>
      <w:marTop w:val="0"/>
      <w:marBottom w:val="0"/>
      <w:divBdr>
        <w:top w:val="none" w:sz="0" w:space="0" w:color="auto"/>
        <w:left w:val="none" w:sz="0" w:space="0" w:color="auto"/>
        <w:bottom w:val="none" w:sz="0" w:space="0" w:color="auto"/>
        <w:right w:val="none" w:sz="0" w:space="0" w:color="auto"/>
      </w:divBdr>
    </w:div>
    <w:div w:id="1312783920">
      <w:bodyDiv w:val="1"/>
      <w:marLeft w:val="0"/>
      <w:marRight w:val="0"/>
      <w:marTop w:val="0"/>
      <w:marBottom w:val="0"/>
      <w:divBdr>
        <w:top w:val="none" w:sz="0" w:space="0" w:color="auto"/>
        <w:left w:val="none" w:sz="0" w:space="0" w:color="auto"/>
        <w:bottom w:val="none" w:sz="0" w:space="0" w:color="auto"/>
        <w:right w:val="none" w:sz="0" w:space="0" w:color="auto"/>
      </w:divBdr>
    </w:div>
    <w:div w:id="1325939936">
      <w:bodyDiv w:val="1"/>
      <w:marLeft w:val="0"/>
      <w:marRight w:val="0"/>
      <w:marTop w:val="0"/>
      <w:marBottom w:val="0"/>
      <w:divBdr>
        <w:top w:val="none" w:sz="0" w:space="0" w:color="auto"/>
        <w:left w:val="none" w:sz="0" w:space="0" w:color="auto"/>
        <w:bottom w:val="none" w:sz="0" w:space="0" w:color="auto"/>
        <w:right w:val="none" w:sz="0" w:space="0" w:color="auto"/>
      </w:divBdr>
    </w:div>
    <w:div w:id="1368144341">
      <w:bodyDiv w:val="1"/>
      <w:marLeft w:val="0"/>
      <w:marRight w:val="0"/>
      <w:marTop w:val="0"/>
      <w:marBottom w:val="0"/>
      <w:divBdr>
        <w:top w:val="none" w:sz="0" w:space="0" w:color="auto"/>
        <w:left w:val="none" w:sz="0" w:space="0" w:color="auto"/>
        <w:bottom w:val="none" w:sz="0" w:space="0" w:color="auto"/>
        <w:right w:val="none" w:sz="0" w:space="0" w:color="auto"/>
      </w:divBdr>
    </w:div>
    <w:div w:id="1377511398">
      <w:bodyDiv w:val="1"/>
      <w:marLeft w:val="0"/>
      <w:marRight w:val="0"/>
      <w:marTop w:val="0"/>
      <w:marBottom w:val="0"/>
      <w:divBdr>
        <w:top w:val="none" w:sz="0" w:space="0" w:color="auto"/>
        <w:left w:val="none" w:sz="0" w:space="0" w:color="auto"/>
        <w:bottom w:val="none" w:sz="0" w:space="0" w:color="auto"/>
        <w:right w:val="none" w:sz="0" w:space="0" w:color="auto"/>
      </w:divBdr>
    </w:div>
    <w:div w:id="1403987595">
      <w:bodyDiv w:val="1"/>
      <w:marLeft w:val="0"/>
      <w:marRight w:val="0"/>
      <w:marTop w:val="0"/>
      <w:marBottom w:val="0"/>
      <w:divBdr>
        <w:top w:val="none" w:sz="0" w:space="0" w:color="auto"/>
        <w:left w:val="none" w:sz="0" w:space="0" w:color="auto"/>
        <w:bottom w:val="none" w:sz="0" w:space="0" w:color="auto"/>
        <w:right w:val="none" w:sz="0" w:space="0" w:color="auto"/>
      </w:divBdr>
    </w:div>
    <w:div w:id="1426611871">
      <w:bodyDiv w:val="1"/>
      <w:marLeft w:val="0"/>
      <w:marRight w:val="0"/>
      <w:marTop w:val="0"/>
      <w:marBottom w:val="0"/>
      <w:divBdr>
        <w:top w:val="none" w:sz="0" w:space="0" w:color="auto"/>
        <w:left w:val="none" w:sz="0" w:space="0" w:color="auto"/>
        <w:bottom w:val="none" w:sz="0" w:space="0" w:color="auto"/>
        <w:right w:val="none" w:sz="0" w:space="0" w:color="auto"/>
      </w:divBdr>
    </w:div>
    <w:div w:id="1426923575">
      <w:bodyDiv w:val="1"/>
      <w:marLeft w:val="0"/>
      <w:marRight w:val="0"/>
      <w:marTop w:val="0"/>
      <w:marBottom w:val="0"/>
      <w:divBdr>
        <w:top w:val="none" w:sz="0" w:space="0" w:color="auto"/>
        <w:left w:val="none" w:sz="0" w:space="0" w:color="auto"/>
        <w:bottom w:val="none" w:sz="0" w:space="0" w:color="auto"/>
        <w:right w:val="none" w:sz="0" w:space="0" w:color="auto"/>
      </w:divBdr>
    </w:div>
    <w:div w:id="1436243869">
      <w:bodyDiv w:val="1"/>
      <w:marLeft w:val="0"/>
      <w:marRight w:val="0"/>
      <w:marTop w:val="0"/>
      <w:marBottom w:val="0"/>
      <w:divBdr>
        <w:top w:val="none" w:sz="0" w:space="0" w:color="auto"/>
        <w:left w:val="none" w:sz="0" w:space="0" w:color="auto"/>
        <w:bottom w:val="none" w:sz="0" w:space="0" w:color="auto"/>
        <w:right w:val="none" w:sz="0" w:space="0" w:color="auto"/>
      </w:divBdr>
    </w:div>
    <w:div w:id="1467579804">
      <w:bodyDiv w:val="1"/>
      <w:marLeft w:val="0"/>
      <w:marRight w:val="0"/>
      <w:marTop w:val="0"/>
      <w:marBottom w:val="0"/>
      <w:divBdr>
        <w:top w:val="none" w:sz="0" w:space="0" w:color="auto"/>
        <w:left w:val="none" w:sz="0" w:space="0" w:color="auto"/>
        <w:bottom w:val="none" w:sz="0" w:space="0" w:color="auto"/>
        <w:right w:val="none" w:sz="0" w:space="0" w:color="auto"/>
      </w:divBdr>
    </w:div>
    <w:div w:id="1468283040">
      <w:bodyDiv w:val="1"/>
      <w:marLeft w:val="0"/>
      <w:marRight w:val="0"/>
      <w:marTop w:val="0"/>
      <w:marBottom w:val="0"/>
      <w:divBdr>
        <w:top w:val="none" w:sz="0" w:space="0" w:color="auto"/>
        <w:left w:val="none" w:sz="0" w:space="0" w:color="auto"/>
        <w:bottom w:val="none" w:sz="0" w:space="0" w:color="auto"/>
        <w:right w:val="none" w:sz="0" w:space="0" w:color="auto"/>
      </w:divBdr>
    </w:div>
    <w:div w:id="1472478911">
      <w:bodyDiv w:val="1"/>
      <w:marLeft w:val="0"/>
      <w:marRight w:val="0"/>
      <w:marTop w:val="0"/>
      <w:marBottom w:val="0"/>
      <w:divBdr>
        <w:top w:val="none" w:sz="0" w:space="0" w:color="auto"/>
        <w:left w:val="none" w:sz="0" w:space="0" w:color="auto"/>
        <w:bottom w:val="none" w:sz="0" w:space="0" w:color="auto"/>
        <w:right w:val="none" w:sz="0" w:space="0" w:color="auto"/>
      </w:divBdr>
    </w:div>
    <w:div w:id="1476072400">
      <w:bodyDiv w:val="1"/>
      <w:marLeft w:val="0"/>
      <w:marRight w:val="0"/>
      <w:marTop w:val="0"/>
      <w:marBottom w:val="0"/>
      <w:divBdr>
        <w:top w:val="none" w:sz="0" w:space="0" w:color="auto"/>
        <w:left w:val="none" w:sz="0" w:space="0" w:color="auto"/>
        <w:bottom w:val="none" w:sz="0" w:space="0" w:color="auto"/>
        <w:right w:val="none" w:sz="0" w:space="0" w:color="auto"/>
      </w:divBdr>
    </w:div>
    <w:div w:id="1498038866">
      <w:bodyDiv w:val="1"/>
      <w:marLeft w:val="0"/>
      <w:marRight w:val="0"/>
      <w:marTop w:val="0"/>
      <w:marBottom w:val="0"/>
      <w:divBdr>
        <w:top w:val="none" w:sz="0" w:space="0" w:color="auto"/>
        <w:left w:val="none" w:sz="0" w:space="0" w:color="auto"/>
        <w:bottom w:val="none" w:sz="0" w:space="0" w:color="auto"/>
        <w:right w:val="none" w:sz="0" w:space="0" w:color="auto"/>
      </w:divBdr>
    </w:div>
    <w:div w:id="1503158312">
      <w:bodyDiv w:val="1"/>
      <w:marLeft w:val="0"/>
      <w:marRight w:val="0"/>
      <w:marTop w:val="0"/>
      <w:marBottom w:val="0"/>
      <w:divBdr>
        <w:top w:val="none" w:sz="0" w:space="0" w:color="auto"/>
        <w:left w:val="none" w:sz="0" w:space="0" w:color="auto"/>
        <w:bottom w:val="none" w:sz="0" w:space="0" w:color="auto"/>
        <w:right w:val="none" w:sz="0" w:space="0" w:color="auto"/>
      </w:divBdr>
    </w:div>
    <w:div w:id="1508249662">
      <w:bodyDiv w:val="1"/>
      <w:marLeft w:val="0"/>
      <w:marRight w:val="0"/>
      <w:marTop w:val="0"/>
      <w:marBottom w:val="0"/>
      <w:divBdr>
        <w:top w:val="none" w:sz="0" w:space="0" w:color="auto"/>
        <w:left w:val="none" w:sz="0" w:space="0" w:color="auto"/>
        <w:bottom w:val="none" w:sz="0" w:space="0" w:color="auto"/>
        <w:right w:val="none" w:sz="0" w:space="0" w:color="auto"/>
      </w:divBdr>
    </w:div>
    <w:div w:id="1511599767">
      <w:bodyDiv w:val="1"/>
      <w:marLeft w:val="0"/>
      <w:marRight w:val="0"/>
      <w:marTop w:val="0"/>
      <w:marBottom w:val="0"/>
      <w:divBdr>
        <w:top w:val="none" w:sz="0" w:space="0" w:color="auto"/>
        <w:left w:val="none" w:sz="0" w:space="0" w:color="auto"/>
        <w:bottom w:val="none" w:sz="0" w:space="0" w:color="auto"/>
        <w:right w:val="none" w:sz="0" w:space="0" w:color="auto"/>
      </w:divBdr>
    </w:div>
    <w:div w:id="1540632550">
      <w:bodyDiv w:val="1"/>
      <w:marLeft w:val="0"/>
      <w:marRight w:val="0"/>
      <w:marTop w:val="0"/>
      <w:marBottom w:val="0"/>
      <w:divBdr>
        <w:top w:val="none" w:sz="0" w:space="0" w:color="auto"/>
        <w:left w:val="none" w:sz="0" w:space="0" w:color="auto"/>
        <w:bottom w:val="none" w:sz="0" w:space="0" w:color="auto"/>
        <w:right w:val="none" w:sz="0" w:space="0" w:color="auto"/>
      </w:divBdr>
    </w:div>
    <w:div w:id="1552578231">
      <w:bodyDiv w:val="1"/>
      <w:marLeft w:val="0"/>
      <w:marRight w:val="0"/>
      <w:marTop w:val="0"/>
      <w:marBottom w:val="0"/>
      <w:divBdr>
        <w:top w:val="none" w:sz="0" w:space="0" w:color="auto"/>
        <w:left w:val="none" w:sz="0" w:space="0" w:color="auto"/>
        <w:bottom w:val="none" w:sz="0" w:space="0" w:color="auto"/>
        <w:right w:val="none" w:sz="0" w:space="0" w:color="auto"/>
      </w:divBdr>
    </w:div>
    <w:div w:id="1558466383">
      <w:bodyDiv w:val="1"/>
      <w:marLeft w:val="0"/>
      <w:marRight w:val="0"/>
      <w:marTop w:val="0"/>
      <w:marBottom w:val="0"/>
      <w:divBdr>
        <w:top w:val="none" w:sz="0" w:space="0" w:color="auto"/>
        <w:left w:val="none" w:sz="0" w:space="0" w:color="auto"/>
        <w:bottom w:val="none" w:sz="0" w:space="0" w:color="auto"/>
        <w:right w:val="none" w:sz="0" w:space="0" w:color="auto"/>
      </w:divBdr>
    </w:div>
    <w:div w:id="1578898032">
      <w:bodyDiv w:val="1"/>
      <w:marLeft w:val="0"/>
      <w:marRight w:val="0"/>
      <w:marTop w:val="0"/>
      <w:marBottom w:val="0"/>
      <w:divBdr>
        <w:top w:val="none" w:sz="0" w:space="0" w:color="auto"/>
        <w:left w:val="none" w:sz="0" w:space="0" w:color="auto"/>
        <w:bottom w:val="none" w:sz="0" w:space="0" w:color="auto"/>
        <w:right w:val="none" w:sz="0" w:space="0" w:color="auto"/>
      </w:divBdr>
    </w:div>
    <w:div w:id="1584947799">
      <w:bodyDiv w:val="1"/>
      <w:marLeft w:val="0"/>
      <w:marRight w:val="0"/>
      <w:marTop w:val="0"/>
      <w:marBottom w:val="0"/>
      <w:divBdr>
        <w:top w:val="none" w:sz="0" w:space="0" w:color="auto"/>
        <w:left w:val="none" w:sz="0" w:space="0" w:color="auto"/>
        <w:bottom w:val="none" w:sz="0" w:space="0" w:color="auto"/>
        <w:right w:val="none" w:sz="0" w:space="0" w:color="auto"/>
      </w:divBdr>
    </w:div>
    <w:div w:id="1588153795">
      <w:bodyDiv w:val="1"/>
      <w:marLeft w:val="0"/>
      <w:marRight w:val="0"/>
      <w:marTop w:val="0"/>
      <w:marBottom w:val="0"/>
      <w:divBdr>
        <w:top w:val="none" w:sz="0" w:space="0" w:color="auto"/>
        <w:left w:val="none" w:sz="0" w:space="0" w:color="auto"/>
        <w:bottom w:val="none" w:sz="0" w:space="0" w:color="auto"/>
        <w:right w:val="none" w:sz="0" w:space="0" w:color="auto"/>
      </w:divBdr>
    </w:div>
    <w:div w:id="1597060457">
      <w:bodyDiv w:val="1"/>
      <w:marLeft w:val="0"/>
      <w:marRight w:val="0"/>
      <w:marTop w:val="0"/>
      <w:marBottom w:val="0"/>
      <w:divBdr>
        <w:top w:val="none" w:sz="0" w:space="0" w:color="auto"/>
        <w:left w:val="none" w:sz="0" w:space="0" w:color="auto"/>
        <w:bottom w:val="none" w:sz="0" w:space="0" w:color="auto"/>
        <w:right w:val="none" w:sz="0" w:space="0" w:color="auto"/>
      </w:divBdr>
    </w:div>
    <w:div w:id="1616400880">
      <w:bodyDiv w:val="1"/>
      <w:marLeft w:val="0"/>
      <w:marRight w:val="0"/>
      <w:marTop w:val="0"/>
      <w:marBottom w:val="0"/>
      <w:divBdr>
        <w:top w:val="none" w:sz="0" w:space="0" w:color="auto"/>
        <w:left w:val="none" w:sz="0" w:space="0" w:color="auto"/>
        <w:bottom w:val="none" w:sz="0" w:space="0" w:color="auto"/>
        <w:right w:val="none" w:sz="0" w:space="0" w:color="auto"/>
      </w:divBdr>
    </w:div>
    <w:div w:id="1624992584">
      <w:bodyDiv w:val="1"/>
      <w:marLeft w:val="0"/>
      <w:marRight w:val="0"/>
      <w:marTop w:val="0"/>
      <w:marBottom w:val="0"/>
      <w:divBdr>
        <w:top w:val="none" w:sz="0" w:space="0" w:color="auto"/>
        <w:left w:val="none" w:sz="0" w:space="0" w:color="auto"/>
        <w:bottom w:val="none" w:sz="0" w:space="0" w:color="auto"/>
        <w:right w:val="none" w:sz="0" w:space="0" w:color="auto"/>
      </w:divBdr>
    </w:div>
    <w:div w:id="1645159712">
      <w:bodyDiv w:val="1"/>
      <w:marLeft w:val="0"/>
      <w:marRight w:val="0"/>
      <w:marTop w:val="0"/>
      <w:marBottom w:val="0"/>
      <w:divBdr>
        <w:top w:val="none" w:sz="0" w:space="0" w:color="auto"/>
        <w:left w:val="none" w:sz="0" w:space="0" w:color="auto"/>
        <w:bottom w:val="none" w:sz="0" w:space="0" w:color="auto"/>
        <w:right w:val="none" w:sz="0" w:space="0" w:color="auto"/>
      </w:divBdr>
    </w:div>
    <w:div w:id="1684673212">
      <w:bodyDiv w:val="1"/>
      <w:marLeft w:val="0"/>
      <w:marRight w:val="0"/>
      <w:marTop w:val="0"/>
      <w:marBottom w:val="0"/>
      <w:divBdr>
        <w:top w:val="none" w:sz="0" w:space="0" w:color="auto"/>
        <w:left w:val="none" w:sz="0" w:space="0" w:color="auto"/>
        <w:bottom w:val="none" w:sz="0" w:space="0" w:color="auto"/>
        <w:right w:val="none" w:sz="0" w:space="0" w:color="auto"/>
      </w:divBdr>
    </w:div>
    <w:div w:id="1720124446">
      <w:bodyDiv w:val="1"/>
      <w:marLeft w:val="0"/>
      <w:marRight w:val="0"/>
      <w:marTop w:val="0"/>
      <w:marBottom w:val="0"/>
      <w:divBdr>
        <w:top w:val="none" w:sz="0" w:space="0" w:color="auto"/>
        <w:left w:val="none" w:sz="0" w:space="0" w:color="auto"/>
        <w:bottom w:val="none" w:sz="0" w:space="0" w:color="auto"/>
        <w:right w:val="none" w:sz="0" w:space="0" w:color="auto"/>
      </w:divBdr>
    </w:div>
    <w:div w:id="1722362279">
      <w:bodyDiv w:val="1"/>
      <w:marLeft w:val="0"/>
      <w:marRight w:val="0"/>
      <w:marTop w:val="0"/>
      <w:marBottom w:val="0"/>
      <w:divBdr>
        <w:top w:val="none" w:sz="0" w:space="0" w:color="auto"/>
        <w:left w:val="none" w:sz="0" w:space="0" w:color="auto"/>
        <w:bottom w:val="none" w:sz="0" w:space="0" w:color="auto"/>
        <w:right w:val="none" w:sz="0" w:space="0" w:color="auto"/>
      </w:divBdr>
    </w:div>
    <w:div w:id="1739790800">
      <w:bodyDiv w:val="1"/>
      <w:marLeft w:val="0"/>
      <w:marRight w:val="0"/>
      <w:marTop w:val="0"/>
      <w:marBottom w:val="0"/>
      <w:divBdr>
        <w:top w:val="none" w:sz="0" w:space="0" w:color="auto"/>
        <w:left w:val="none" w:sz="0" w:space="0" w:color="auto"/>
        <w:bottom w:val="none" w:sz="0" w:space="0" w:color="auto"/>
        <w:right w:val="none" w:sz="0" w:space="0" w:color="auto"/>
      </w:divBdr>
    </w:div>
    <w:div w:id="1745910077">
      <w:bodyDiv w:val="1"/>
      <w:marLeft w:val="0"/>
      <w:marRight w:val="0"/>
      <w:marTop w:val="0"/>
      <w:marBottom w:val="0"/>
      <w:divBdr>
        <w:top w:val="none" w:sz="0" w:space="0" w:color="auto"/>
        <w:left w:val="none" w:sz="0" w:space="0" w:color="auto"/>
        <w:bottom w:val="none" w:sz="0" w:space="0" w:color="auto"/>
        <w:right w:val="none" w:sz="0" w:space="0" w:color="auto"/>
      </w:divBdr>
    </w:div>
    <w:div w:id="1750881164">
      <w:bodyDiv w:val="1"/>
      <w:marLeft w:val="0"/>
      <w:marRight w:val="0"/>
      <w:marTop w:val="0"/>
      <w:marBottom w:val="0"/>
      <w:divBdr>
        <w:top w:val="none" w:sz="0" w:space="0" w:color="auto"/>
        <w:left w:val="none" w:sz="0" w:space="0" w:color="auto"/>
        <w:bottom w:val="none" w:sz="0" w:space="0" w:color="auto"/>
        <w:right w:val="none" w:sz="0" w:space="0" w:color="auto"/>
      </w:divBdr>
    </w:div>
    <w:div w:id="1752433337">
      <w:bodyDiv w:val="1"/>
      <w:marLeft w:val="0"/>
      <w:marRight w:val="0"/>
      <w:marTop w:val="0"/>
      <w:marBottom w:val="0"/>
      <w:divBdr>
        <w:top w:val="none" w:sz="0" w:space="0" w:color="auto"/>
        <w:left w:val="none" w:sz="0" w:space="0" w:color="auto"/>
        <w:bottom w:val="none" w:sz="0" w:space="0" w:color="auto"/>
        <w:right w:val="none" w:sz="0" w:space="0" w:color="auto"/>
      </w:divBdr>
    </w:div>
    <w:div w:id="1757167957">
      <w:bodyDiv w:val="1"/>
      <w:marLeft w:val="0"/>
      <w:marRight w:val="0"/>
      <w:marTop w:val="0"/>
      <w:marBottom w:val="0"/>
      <w:divBdr>
        <w:top w:val="none" w:sz="0" w:space="0" w:color="auto"/>
        <w:left w:val="none" w:sz="0" w:space="0" w:color="auto"/>
        <w:bottom w:val="none" w:sz="0" w:space="0" w:color="auto"/>
        <w:right w:val="none" w:sz="0" w:space="0" w:color="auto"/>
      </w:divBdr>
    </w:div>
    <w:div w:id="1759213077">
      <w:bodyDiv w:val="1"/>
      <w:marLeft w:val="0"/>
      <w:marRight w:val="0"/>
      <w:marTop w:val="0"/>
      <w:marBottom w:val="0"/>
      <w:divBdr>
        <w:top w:val="none" w:sz="0" w:space="0" w:color="auto"/>
        <w:left w:val="none" w:sz="0" w:space="0" w:color="auto"/>
        <w:bottom w:val="none" w:sz="0" w:space="0" w:color="auto"/>
        <w:right w:val="none" w:sz="0" w:space="0" w:color="auto"/>
      </w:divBdr>
    </w:div>
    <w:div w:id="1759908886">
      <w:bodyDiv w:val="1"/>
      <w:marLeft w:val="0"/>
      <w:marRight w:val="0"/>
      <w:marTop w:val="0"/>
      <w:marBottom w:val="0"/>
      <w:divBdr>
        <w:top w:val="none" w:sz="0" w:space="0" w:color="auto"/>
        <w:left w:val="none" w:sz="0" w:space="0" w:color="auto"/>
        <w:bottom w:val="none" w:sz="0" w:space="0" w:color="auto"/>
        <w:right w:val="none" w:sz="0" w:space="0" w:color="auto"/>
      </w:divBdr>
    </w:div>
    <w:div w:id="1773042585">
      <w:bodyDiv w:val="1"/>
      <w:marLeft w:val="0"/>
      <w:marRight w:val="0"/>
      <w:marTop w:val="0"/>
      <w:marBottom w:val="0"/>
      <w:divBdr>
        <w:top w:val="none" w:sz="0" w:space="0" w:color="auto"/>
        <w:left w:val="none" w:sz="0" w:space="0" w:color="auto"/>
        <w:bottom w:val="none" w:sz="0" w:space="0" w:color="auto"/>
        <w:right w:val="none" w:sz="0" w:space="0" w:color="auto"/>
      </w:divBdr>
    </w:div>
    <w:div w:id="1787432135">
      <w:bodyDiv w:val="1"/>
      <w:marLeft w:val="0"/>
      <w:marRight w:val="0"/>
      <w:marTop w:val="0"/>
      <w:marBottom w:val="0"/>
      <w:divBdr>
        <w:top w:val="none" w:sz="0" w:space="0" w:color="auto"/>
        <w:left w:val="none" w:sz="0" w:space="0" w:color="auto"/>
        <w:bottom w:val="none" w:sz="0" w:space="0" w:color="auto"/>
        <w:right w:val="none" w:sz="0" w:space="0" w:color="auto"/>
      </w:divBdr>
    </w:div>
    <w:div w:id="1795521732">
      <w:bodyDiv w:val="1"/>
      <w:marLeft w:val="0"/>
      <w:marRight w:val="0"/>
      <w:marTop w:val="0"/>
      <w:marBottom w:val="0"/>
      <w:divBdr>
        <w:top w:val="none" w:sz="0" w:space="0" w:color="auto"/>
        <w:left w:val="none" w:sz="0" w:space="0" w:color="auto"/>
        <w:bottom w:val="none" w:sz="0" w:space="0" w:color="auto"/>
        <w:right w:val="none" w:sz="0" w:space="0" w:color="auto"/>
      </w:divBdr>
    </w:div>
    <w:div w:id="1811629515">
      <w:bodyDiv w:val="1"/>
      <w:marLeft w:val="0"/>
      <w:marRight w:val="0"/>
      <w:marTop w:val="0"/>
      <w:marBottom w:val="0"/>
      <w:divBdr>
        <w:top w:val="none" w:sz="0" w:space="0" w:color="auto"/>
        <w:left w:val="none" w:sz="0" w:space="0" w:color="auto"/>
        <w:bottom w:val="none" w:sz="0" w:space="0" w:color="auto"/>
        <w:right w:val="none" w:sz="0" w:space="0" w:color="auto"/>
      </w:divBdr>
    </w:div>
    <w:div w:id="1813905901">
      <w:bodyDiv w:val="1"/>
      <w:marLeft w:val="0"/>
      <w:marRight w:val="0"/>
      <w:marTop w:val="0"/>
      <w:marBottom w:val="0"/>
      <w:divBdr>
        <w:top w:val="none" w:sz="0" w:space="0" w:color="auto"/>
        <w:left w:val="none" w:sz="0" w:space="0" w:color="auto"/>
        <w:bottom w:val="none" w:sz="0" w:space="0" w:color="auto"/>
        <w:right w:val="none" w:sz="0" w:space="0" w:color="auto"/>
      </w:divBdr>
    </w:div>
    <w:div w:id="1836145142">
      <w:bodyDiv w:val="1"/>
      <w:marLeft w:val="0"/>
      <w:marRight w:val="0"/>
      <w:marTop w:val="0"/>
      <w:marBottom w:val="0"/>
      <w:divBdr>
        <w:top w:val="none" w:sz="0" w:space="0" w:color="auto"/>
        <w:left w:val="none" w:sz="0" w:space="0" w:color="auto"/>
        <w:bottom w:val="none" w:sz="0" w:space="0" w:color="auto"/>
        <w:right w:val="none" w:sz="0" w:space="0" w:color="auto"/>
      </w:divBdr>
    </w:div>
    <w:div w:id="1842695960">
      <w:bodyDiv w:val="1"/>
      <w:marLeft w:val="0"/>
      <w:marRight w:val="0"/>
      <w:marTop w:val="0"/>
      <w:marBottom w:val="0"/>
      <w:divBdr>
        <w:top w:val="none" w:sz="0" w:space="0" w:color="auto"/>
        <w:left w:val="none" w:sz="0" w:space="0" w:color="auto"/>
        <w:bottom w:val="none" w:sz="0" w:space="0" w:color="auto"/>
        <w:right w:val="none" w:sz="0" w:space="0" w:color="auto"/>
      </w:divBdr>
    </w:div>
    <w:div w:id="1857962054">
      <w:bodyDiv w:val="1"/>
      <w:marLeft w:val="0"/>
      <w:marRight w:val="0"/>
      <w:marTop w:val="0"/>
      <w:marBottom w:val="0"/>
      <w:divBdr>
        <w:top w:val="none" w:sz="0" w:space="0" w:color="auto"/>
        <w:left w:val="none" w:sz="0" w:space="0" w:color="auto"/>
        <w:bottom w:val="none" w:sz="0" w:space="0" w:color="auto"/>
        <w:right w:val="none" w:sz="0" w:space="0" w:color="auto"/>
      </w:divBdr>
    </w:div>
    <w:div w:id="1859729949">
      <w:bodyDiv w:val="1"/>
      <w:marLeft w:val="0"/>
      <w:marRight w:val="0"/>
      <w:marTop w:val="0"/>
      <w:marBottom w:val="0"/>
      <w:divBdr>
        <w:top w:val="none" w:sz="0" w:space="0" w:color="auto"/>
        <w:left w:val="none" w:sz="0" w:space="0" w:color="auto"/>
        <w:bottom w:val="none" w:sz="0" w:space="0" w:color="auto"/>
        <w:right w:val="none" w:sz="0" w:space="0" w:color="auto"/>
      </w:divBdr>
    </w:div>
    <w:div w:id="1871339666">
      <w:bodyDiv w:val="1"/>
      <w:marLeft w:val="0"/>
      <w:marRight w:val="0"/>
      <w:marTop w:val="0"/>
      <w:marBottom w:val="0"/>
      <w:divBdr>
        <w:top w:val="none" w:sz="0" w:space="0" w:color="auto"/>
        <w:left w:val="none" w:sz="0" w:space="0" w:color="auto"/>
        <w:bottom w:val="none" w:sz="0" w:space="0" w:color="auto"/>
        <w:right w:val="none" w:sz="0" w:space="0" w:color="auto"/>
      </w:divBdr>
    </w:div>
    <w:div w:id="1879660791">
      <w:bodyDiv w:val="1"/>
      <w:marLeft w:val="0"/>
      <w:marRight w:val="0"/>
      <w:marTop w:val="0"/>
      <w:marBottom w:val="0"/>
      <w:divBdr>
        <w:top w:val="none" w:sz="0" w:space="0" w:color="auto"/>
        <w:left w:val="none" w:sz="0" w:space="0" w:color="auto"/>
        <w:bottom w:val="none" w:sz="0" w:space="0" w:color="auto"/>
        <w:right w:val="none" w:sz="0" w:space="0" w:color="auto"/>
      </w:divBdr>
    </w:div>
    <w:div w:id="1880510508">
      <w:bodyDiv w:val="1"/>
      <w:marLeft w:val="0"/>
      <w:marRight w:val="0"/>
      <w:marTop w:val="0"/>
      <w:marBottom w:val="0"/>
      <w:divBdr>
        <w:top w:val="none" w:sz="0" w:space="0" w:color="auto"/>
        <w:left w:val="none" w:sz="0" w:space="0" w:color="auto"/>
        <w:bottom w:val="none" w:sz="0" w:space="0" w:color="auto"/>
        <w:right w:val="none" w:sz="0" w:space="0" w:color="auto"/>
      </w:divBdr>
    </w:div>
    <w:div w:id="1888447560">
      <w:bodyDiv w:val="1"/>
      <w:marLeft w:val="0"/>
      <w:marRight w:val="0"/>
      <w:marTop w:val="0"/>
      <w:marBottom w:val="0"/>
      <w:divBdr>
        <w:top w:val="none" w:sz="0" w:space="0" w:color="auto"/>
        <w:left w:val="none" w:sz="0" w:space="0" w:color="auto"/>
        <w:bottom w:val="none" w:sz="0" w:space="0" w:color="auto"/>
        <w:right w:val="none" w:sz="0" w:space="0" w:color="auto"/>
      </w:divBdr>
    </w:div>
    <w:div w:id="1892501663">
      <w:bodyDiv w:val="1"/>
      <w:marLeft w:val="0"/>
      <w:marRight w:val="0"/>
      <w:marTop w:val="0"/>
      <w:marBottom w:val="0"/>
      <w:divBdr>
        <w:top w:val="none" w:sz="0" w:space="0" w:color="auto"/>
        <w:left w:val="none" w:sz="0" w:space="0" w:color="auto"/>
        <w:bottom w:val="none" w:sz="0" w:space="0" w:color="auto"/>
        <w:right w:val="none" w:sz="0" w:space="0" w:color="auto"/>
      </w:divBdr>
    </w:div>
    <w:div w:id="1933663106">
      <w:bodyDiv w:val="1"/>
      <w:marLeft w:val="0"/>
      <w:marRight w:val="0"/>
      <w:marTop w:val="0"/>
      <w:marBottom w:val="0"/>
      <w:divBdr>
        <w:top w:val="none" w:sz="0" w:space="0" w:color="auto"/>
        <w:left w:val="none" w:sz="0" w:space="0" w:color="auto"/>
        <w:bottom w:val="none" w:sz="0" w:space="0" w:color="auto"/>
        <w:right w:val="none" w:sz="0" w:space="0" w:color="auto"/>
      </w:divBdr>
    </w:div>
    <w:div w:id="2010670443">
      <w:bodyDiv w:val="1"/>
      <w:marLeft w:val="0"/>
      <w:marRight w:val="0"/>
      <w:marTop w:val="0"/>
      <w:marBottom w:val="0"/>
      <w:divBdr>
        <w:top w:val="none" w:sz="0" w:space="0" w:color="auto"/>
        <w:left w:val="none" w:sz="0" w:space="0" w:color="auto"/>
        <w:bottom w:val="none" w:sz="0" w:space="0" w:color="auto"/>
        <w:right w:val="none" w:sz="0" w:space="0" w:color="auto"/>
      </w:divBdr>
    </w:div>
    <w:div w:id="2020084966">
      <w:bodyDiv w:val="1"/>
      <w:marLeft w:val="0"/>
      <w:marRight w:val="0"/>
      <w:marTop w:val="0"/>
      <w:marBottom w:val="0"/>
      <w:divBdr>
        <w:top w:val="none" w:sz="0" w:space="0" w:color="auto"/>
        <w:left w:val="none" w:sz="0" w:space="0" w:color="auto"/>
        <w:bottom w:val="none" w:sz="0" w:space="0" w:color="auto"/>
        <w:right w:val="none" w:sz="0" w:space="0" w:color="auto"/>
      </w:divBdr>
    </w:div>
    <w:div w:id="2041592309">
      <w:bodyDiv w:val="1"/>
      <w:marLeft w:val="0"/>
      <w:marRight w:val="0"/>
      <w:marTop w:val="0"/>
      <w:marBottom w:val="0"/>
      <w:divBdr>
        <w:top w:val="none" w:sz="0" w:space="0" w:color="auto"/>
        <w:left w:val="none" w:sz="0" w:space="0" w:color="auto"/>
        <w:bottom w:val="none" w:sz="0" w:space="0" w:color="auto"/>
        <w:right w:val="none" w:sz="0" w:space="0" w:color="auto"/>
      </w:divBdr>
    </w:div>
    <w:div w:id="2047023744">
      <w:bodyDiv w:val="1"/>
      <w:marLeft w:val="0"/>
      <w:marRight w:val="0"/>
      <w:marTop w:val="0"/>
      <w:marBottom w:val="0"/>
      <w:divBdr>
        <w:top w:val="none" w:sz="0" w:space="0" w:color="auto"/>
        <w:left w:val="none" w:sz="0" w:space="0" w:color="auto"/>
        <w:bottom w:val="none" w:sz="0" w:space="0" w:color="auto"/>
        <w:right w:val="none" w:sz="0" w:space="0" w:color="auto"/>
      </w:divBdr>
    </w:div>
    <w:div w:id="2065521647">
      <w:bodyDiv w:val="1"/>
      <w:marLeft w:val="0"/>
      <w:marRight w:val="0"/>
      <w:marTop w:val="0"/>
      <w:marBottom w:val="0"/>
      <w:divBdr>
        <w:top w:val="none" w:sz="0" w:space="0" w:color="auto"/>
        <w:left w:val="none" w:sz="0" w:space="0" w:color="auto"/>
        <w:bottom w:val="none" w:sz="0" w:space="0" w:color="auto"/>
        <w:right w:val="none" w:sz="0" w:space="0" w:color="auto"/>
      </w:divBdr>
    </w:div>
    <w:div w:id="2069575609">
      <w:bodyDiv w:val="1"/>
      <w:marLeft w:val="0"/>
      <w:marRight w:val="0"/>
      <w:marTop w:val="0"/>
      <w:marBottom w:val="0"/>
      <w:divBdr>
        <w:top w:val="none" w:sz="0" w:space="0" w:color="auto"/>
        <w:left w:val="none" w:sz="0" w:space="0" w:color="auto"/>
        <w:bottom w:val="none" w:sz="0" w:space="0" w:color="auto"/>
        <w:right w:val="none" w:sz="0" w:space="0" w:color="auto"/>
      </w:divBdr>
    </w:div>
    <w:div w:id="2099210102">
      <w:bodyDiv w:val="1"/>
      <w:marLeft w:val="0"/>
      <w:marRight w:val="0"/>
      <w:marTop w:val="0"/>
      <w:marBottom w:val="0"/>
      <w:divBdr>
        <w:top w:val="none" w:sz="0" w:space="0" w:color="auto"/>
        <w:left w:val="none" w:sz="0" w:space="0" w:color="auto"/>
        <w:bottom w:val="none" w:sz="0" w:space="0" w:color="auto"/>
        <w:right w:val="none" w:sz="0" w:space="0" w:color="auto"/>
      </w:divBdr>
    </w:div>
    <w:div w:id="2117820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6.xml"/><Relationship Id="rId117" Type="http://schemas.openxmlformats.org/officeDocument/2006/relationships/hyperlink" Target="https://www.gov.pl/web/uw-warminsko-mazurski/wykaz-szpitali-wpisanych-do-rejestru-wojewody-warminsko-mazurskiego" TargetMode="External"/><Relationship Id="rId21" Type="http://schemas.openxmlformats.org/officeDocument/2006/relationships/image" Target="media/image3.png"/><Relationship Id="rId42" Type="http://schemas.openxmlformats.org/officeDocument/2006/relationships/chart" Target="charts/chart29.xml"/><Relationship Id="rId47" Type="http://schemas.openxmlformats.org/officeDocument/2006/relationships/image" Target="media/image8.png"/><Relationship Id="rId63" Type="http://schemas.openxmlformats.org/officeDocument/2006/relationships/image" Target="media/image14.emf"/><Relationship Id="rId68" Type="http://schemas.openxmlformats.org/officeDocument/2006/relationships/chart" Target="charts/chart44.xml"/><Relationship Id="rId84" Type="http://schemas.openxmlformats.org/officeDocument/2006/relationships/chart" Target="charts/chart60.xml"/><Relationship Id="rId89" Type="http://schemas.openxmlformats.org/officeDocument/2006/relationships/chart" Target="charts/chart65.xml"/><Relationship Id="rId112" Type="http://schemas.openxmlformats.org/officeDocument/2006/relationships/chart" Target="charts/chart79.xml"/><Relationship Id="rId133" Type="http://schemas.openxmlformats.org/officeDocument/2006/relationships/chart" Target="charts/chart94.xml"/><Relationship Id="rId138" Type="http://schemas.openxmlformats.org/officeDocument/2006/relationships/image" Target="media/image29.png"/><Relationship Id="rId154" Type="http://schemas.openxmlformats.org/officeDocument/2006/relationships/header" Target="header1.xml"/><Relationship Id="rId159" Type="http://schemas.openxmlformats.org/officeDocument/2006/relationships/fontTable" Target="fontTable.xml"/><Relationship Id="rId16" Type="http://schemas.openxmlformats.org/officeDocument/2006/relationships/chart" Target="charts/chart7.xml"/><Relationship Id="rId107" Type="http://schemas.openxmlformats.org/officeDocument/2006/relationships/chart" Target="charts/chart75.xml"/><Relationship Id="rId11" Type="http://schemas.openxmlformats.org/officeDocument/2006/relationships/chart" Target="charts/chart3.xml"/><Relationship Id="rId32" Type="http://schemas.openxmlformats.org/officeDocument/2006/relationships/image" Target="media/image5.png"/><Relationship Id="rId37" Type="http://schemas.openxmlformats.org/officeDocument/2006/relationships/chart" Target="charts/chart25.xml"/><Relationship Id="rId53" Type="http://schemas.openxmlformats.org/officeDocument/2006/relationships/chart" Target="charts/chart36.xml"/><Relationship Id="rId58" Type="http://schemas.openxmlformats.org/officeDocument/2006/relationships/chart" Target="charts/chart40.xml"/><Relationship Id="rId74" Type="http://schemas.openxmlformats.org/officeDocument/2006/relationships/chart" Target="charts/chart50.xml"/><Relationship Id="rId79" Type="http://schemas.openxmlformats.org/officeDocument/2006/relationships/chart" Target="charts/chart55.xml"/><Relationship Id="rId102" Type="http://schemas.openxmlformats.org/officeDocument/2006/relationships/hyperlink" Target="http://journal.pan.olsztyn.pl/" TargetMode="External"/><Relationship Id="rId123" Type="http://schemas.openxmlformats.org/officeDocument/2006/relationships/chart" Target="charts/chart87.xml"/><Relationship Id="rId128" Type="http://schemas.openxmlformats.org/officeDocument/2006/relationships/chart" Target="charts/chart91.xml"/><Relationship Id="rId144" Type="http://schemas.openxmlformats.org/officeDocument/2006/relationships/image" Target="media/image33.png"/><Relationship Id="rId149" Type="http://schemas.openxmlformats.org/officeDocument/2006/relationships/image" Target="media/image34.png"/><Relationship Id="rId5" Type="http://schemas.openxmlformats.org/officeDocument/2006/relationships/webSettings" Target="webSettings.xml"/><Relationship Id="rId90" Type="http://schemas.openxmlformats.org/officeDocument/2006/relationships/chart" Target="charts/chart66.xml"/><Relationship Id="rId95" Type="http://schemas.openxmlformats.org/officeDocument/2006/relationships/image" Target="media/image18.png"/><Relationship Id="rId160" Type="http://schemas.openxmlformats.org/officeDocument/2006/relationships/theme" Target="theme/theme1.xml"/><Relationship Id="rId22" Type="http://schemas.openxmlformats.org/officeDocument/2006/relationships/chart" Target="charts/chart12.xml"/><Relationship Id="rId27" Type="http://schemas.openxmlformats.org/officeDocument/2006/relationships/chart" Target="charts/chart17.xml"/><Relationship Id="rId43" Type="http://schemas.openxmlformats.org/officeDocument/2006/relationships/chart" Target="charts/chart30.xml"/><Relationship Id="rId48" Type="http://schemas.openxmlformats.org/officeDocument/2006/relationships/hyperlink" Target="https://prezydent20200628.pkw.gov.pl/prezydent20200628/pl/dane_w_arkuszach" TargetMode="External"/><Relationship Id="rId64" Type="http://schemas.openxmlformats.org/officeDocument/2006/relationships/image" Target="media/image15.emf"/><Relationship Id="rId69" Type="http://schemas.openxmlformats.org/officeDocument/2006/relationships/chart" Target="charts/chart45.xml"/><Relationship Id="rId113" Type="http://schemas.openxmlformats.org/officeDocument/2006/relationships/chart" Target="charts/chart80.xml"/><Relationship Id="rId118" Type="http://schemas.openxmlformats.org/officeDocument/2006/relationships/chart" Target="charts/chart82.xml"/><Relationship Id="rId134" Type="http://schemas.openxmlformats.org/officeDocument/2006/relationships/image" Target="media/image28.png"/><Relationship Id="rId139" Type="http://schemas.openxmlformats.org/officeDocument/2006/relationships/image" Target="media/image30.png"/><Relationship Id="rId80" Type="http://schemas.openxmlformats.org/officeDocument/2006/relationships/chart" Target="charts/chart56.xml"/><Relationship Id="rId85" Type="http://schemas.openxmlformats.org/officeDocument/2006/relationships/chart" Target="charts/chart61.xml"/><Relationship Id="rId150" Type="http://schemas.openxmlformats.org/officeDocument/2006/relationships/image" Target="media/image35.png"/><Relationship Id="rId155" Type="http://schemas.openxmlformats.org/officeDocument/2006/relationships/header" Target="header2.xml"/><Relationship Id="rId12" Type="http://schemas.openxmlformats.org/officeDocument/2006/relationships/chart" Target="charts/chart4.xml"/><Relationship Id="rId17" Type="http://schemas.openxmlformats.org/officeDocument/2006/relationships/chart" Target="charts/chart8.xml"/><Relationship Id="rId33" Type="http://schemas.openxmlformats.org/officeDocument/2006/relationships/chart" Target="charts/chart21.xml"/><Relationship Id="rId38" Type="http://schemas.openxmlformats.org/officeDocument/2006/relationships/chart" Target="charts/chart26.xml"/><Relationship Id="rId59" Type="http://schemas.openxmlformats.org/officeDocument/2006/relationships/chart" Target="charts/chart41.xml"/><Relationship Id="rId103" Type="http://schemas.openxmlformats.org/officeDocument/2006/relationships/image" Target="media/image21.png"/><Relationship Id="rId108" Type="http://schemas.openxmlformats.org/officeDocument/2006/relationships/image" Target="media/image23.png"/><Relationship Id="rId124" Type="http://schemas.openxmlformats.org/officeDocument/2006/relationships/chart" Target="charts/chart88.xml"/><Relationship Id="rId129" Type="http://schemas.openxmlformats.org/officeDocument/2006/relationships/chart" Target="charts/chart92.xml"/><Relationship Id="rId20" Type="http://schemas.openxmlformats.org/officeDocument/2006/relationships/chart" Target="charts/chart11.xml"/><Relationship Id="rId41" Type="http://schemas.openxmlformats.org/officeDocument/2006/relationships/chart" Target="charts/chart28.xml"/><Relationship Id="rId54" Type="http://schemas.openxmlformats.org/officeDocument/2006/relationships/image" Target="media/image10.png"/><Relationship Id="rId62" Type="http://schemas.openxmlformats.org/officeDocument/2006/relationships/image" Target="media/image13.emf"/><Relationship Id="rId70" Type="http://schemas.openxmlformats.org/officeDocument/2006/relationships/chart" Target="charts/chart46.xml"/><Relationship Id="rId75" Type="http://schemas.openxmlformats.org/officeDocument/2006/relationships/chart" Target="charts/chart51.xml"/><Relationship Id="rId83" Type="http://schemas.openxmlformats.org/officeDocument/2006/relationships/chart" Target="charts/chart59.xml"/><Relationship Id="rId88" Type="http://schemas.openxmlformats.org/officeDocument/2006/relationships/chart" Target="charts/chart64.xml"/><Relationship Id="rId91" Type="http://schemas.openxmlformats.org/officeDocument/2006/relationships/chart" Target="charts/chart67.xml"/><Relationship Id="rId96" Type="http://schemas.openxmlformats.org/officeDocument/2006/relationships/chart" Target="charts/chart70.xml"/><Relationship Id="rId111" Type="http://schemas.openxmlformats.org/officeDocument/2006/relationships/chart" Target="charts/chart78.xml"/><Relationship Id="rId132" Type="http://schemas.openxmlformats.org/officeDocument/2006/relationships/chart" Target="charts/chart93.xml"/><Relationship Id="rId140" Type="http://schemas.openxmlformats.org/officeDocument/2006/relationships/image" Target="media/image31.png"/><Relationship Id="rId145" Type="http://schemas.openxmlformats.org/officeDocument/2006/relationships/chart" Target="charts/chart100.xml"/><Relationship Id="rId153" Type="http://schemas.openxmlformats.org/officeDocument/2006/relationships/hyperlink" Target="https://www.plk-sa.pl/biuro-prasowe/mapy/"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chart" Target="charts/chart13.xml"/><Relationship Id="rId28" Type="http://schemas.openxmlformats.org/officeDocument/2006/relationships/image" Target="media/image4.png"/><Relationship Id="rId36" Type="http://schemas.openxmlformats.org/officeDocument/2006/relationships/chart" Target="charts/chart24.xml"/><Relationship Id="rId49" Type="http://schemas.openxmlformats.org/officeDocument/2006/relationships/chart" Target="charts/chart33.xml"/><Relationship Id="rId57" Type="http://schemas.openxmlformats.org/officeDocument/2006/relationships/chart" Target="charts/chart39.xml"/><Relationship Id="rId106" Type="http://schemas.openxmlformats.org/officeDocument/2006/relationships/chart" Target="charts/chart74.xml"/><Relationship Id="rId114" Type="http://schemas.openxmlformats.org/officeDocument/2006/relationships/chart" Target="charts/chart81.xml"/><Relationship Id="rId119" Type="http://schemas.openxmlformats.org/officeDocument/2006/relationships/chart" Target="charts/chart83.xml"/><Relationship Id="rId127" Type="http://schemas.openxmlformats.org/officeDocument/2006/relationships/chart" Target="charts/chart90.xml"/><Relationship Id="rId10" Type="http://schemas.openxmlformats.org/officeDocument/2006/relationships/chart" Target="charts/chart2.xml"/><Relationship Id="rId31" Type="http://schemas.openxmlformats.org/officeDocument/2006/relationships/chart" Target="charts/chart20.xml"/><Relationship Id="rId44" Type="http://schemas.openxmlformats.org/officeDocument/2006/relationships/chart" Target="charts/chart31.xml"/><Relationship Id="rId52" Type="http://schemas.openxmlformats.org/officeDocument/2006/relationships/chart" Target="charts/chart35.xml"/><Relationship Id="rId60" Type="http://schemas.openxmlformats.org/officeDocument/2006/relationships/image" Target="media/image11.emf"/><Relationship Id="rId65" Type="http://schemas.openxmlformats.org/officeDocument/2006/relationships/chart" Target="charts/chart42.xml"/><Relationship Id="rId73" Type="http://schemas.openxmlformats.org/officeDocument/2006/relationships/chart" Target="charts/chart49.xml"/><Relationship Id="rId78" Type="http://schemas.openxmlformats.org/officeDocument/2006/relationships/chart" Target="charts/chart54.xml"/><Relationship Id="rId81" Type="http://schemas.openxmlformats.org/officeDocument/2006/relationships/chart" Target="charts/chart57.xml"/><Relationship Id="rId86" Type="http://schemas.openxmlformats.org/officeDocument/2006/relationships/chart" Target="charts/chart62.xml"/><Relationship Id="rId94" Type="http://schemas.openxmlformats.org/officeDocument/2006/relationships/image" Target="media/image17.png"/><Relationship Id="rId99" Type="http://schemas.openxmlformats.org/officeDocument/2006/relationships/hyperlink" Target="http://ranking.perspektywy.pl/2019/ranking-uczelni-akademickich" TargetMode="External"/><Relationship Id="rId101" Type="http://schemas.openxmlformats.org/officeDocument/2006/relationships/image" Target="media/image20.jpeg"/><Relationship Id="rId122" Type="http://schemas.openxmlformats.org/officeDocument/2006/relationships/chart" Target="charts/chart86.xml"/><Relationship Id="rId130" Type="http://schemas.openxmlformats.org/officeDocument/2006/relationships/image" Target="media/image26.png"/><Relationship Id="rId135" Type="http://schemas.openxmlformats.org/officeDocument/2006/relationships/chart" Target="charts/chart95.xml"/><Relationship Id="rId143" Type="http://schemas.openxmlformats.org/officeDocument/2006/relationships/chart" Target="charts/chart99.xml"/><Relationship Id="rId148" Type="http://schemas.openxmlformats.org/officeDocument/2006/relationships/chart" Target="charts/chart103.xml"/><Relationship Id="rId151" Type="http://schemas.openxmlformats.org/officeDocument/2006/relationships/image" Target="media/image36.png"/><Relationship Id="rId15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chart" Target="charts/chart9.xml"/><Relationship Id="rId39" Type="http://schemas.openxmlformats.org/officeDocument/2006/relationships/image" Target="media/image6.png"/><Relationship Id="rId109" Type="http://schemas.openxmlformats.org/officeDocument/2006/relationships/chart" Target="charts/chart76.xml"/><Relationship Id="rId34" Type="http://schemas.openxmlformats.org/officeDocument/2006/relationships/chart" Target="charts/chart22.xml"/><Relationship Id="rId50" Type="http://schemas.openxmlformats.org/officeDocument/2006/relationships/image" Target="media/image9.png"/><Relationship Id="rId55" Type="http://schemas.openxmlformats.org/officeDocument/2006/relationships/chart" Target="charts/chart37.xml"/><Relationship Id="rId76" Type="http://schemas.openxmlformats.org/officeDocument/2006/relationships/chart" Target="charts/chart52.xml"/><Relationship Id="rId97" Type="http://schemas.openxmlformats.org/officeDocument/2006/relationships/chart" Target="charts/chart71.xml"/><Relationship Id="rId104" Type="http://schemas.openxmlformats.org/officeDocument/2006/relationships/image" Target="media/image22.png"/><Relationship Id="rId120" Type="http://schemas.openxmlformats.org/officeDocument/2006/relationships/chart" Target="charts/chart84.xml"/><Relationship Id="rId125" Type="http://schemas.openxmlformats.org/officeDocument/2006/relationships/chart" Target="charts/chart89.xml"/><Relationship Id="rId141" Type="http://schemas.openxmlformats.org/officeDocument/2006/relationships/chart" Target="charts/chart98.xml"/><Relationship Id="rId146" Type="http://schemas.openxmlformats.org/officeDocument/2006/relationships/chart" Target="charts/chart101.xml"/><Relationship Id="rId7" Type="http://schemas.openxmlformats.org/officeDocument/2006/relationships/endnotes" Target="endnotes.xml"/><Relationship Id="rId71" Type="http://schemas.openxmlformats.org/officeDocument/2006/relationships/chart" Target="charts/chart47.xml"/><Relationship Id="rId92" Type="http://schemas.openxmlformats.org/officeDocument/2006/relationships/chart" Target="charts/chart68.xml"/><Relationship Id="rId2" Type="http://schemas.openxmlformats.org/officeDocument/2006/relationships/numbering" Target="numbering.xml"/><Relationship Id="rId29" Type="http://schemas.openxmlformats.org/officeDocument/2006/relationships/chart" Target="charts/chart18.xml"/><Relationship Id="rId24" Type="http://schemas.openxmlformats.org/officeDocument/2006/relationships/chart" Target="charts/chart14.xml"/><Relationship Id="rId40" Type="http://schemas.openxmlformats.org/officeDocument/2006/relationships/chart" Target="charts/chart27.xml"/><Relationship Id="rId45" Type="http://schemas.openxmlformats.org/officeDocument/2006/relationships/chart" Target="charts/chart32.xml"/><Relationship Id="rId66" Type="http://schemas.openxmlformats.org/officeDocument/2006/relationships/image" Target="media/image16.png"/><Relationship Id="rId87" Type="http://schemas.openxmlformats.org/officeDocument/2006/relationships/chart" Target="charts/chart63.xml"/><Relationship Id="rId110" Type="http://schemas.openxmlformats.org/officeDocument/2006/relationships/chart" Target="charts/chart77.xml"/><Relationship Id="rId115" Type="http://schemas.openxmlformats.org/officeDocument/2006/relationships/image" Target="media/image24.png"/><Relationship Id="rId131" Type="http://schemas.openxmlformats.org/officeDocument/2006/relationships/image" Target="media/image27.png"/><Relationship Id="rId136" Type="http://schemas.openxmlformats.org/officeDocument/2006/relationships/chart" Target="charts/chart96.xml"/><Relationship Id="rId157" Type="http://schemas.openxmlformats.org/officeDocument/2006/relationships/footer" Target="footer2.xml"/><Relationship Id="rId61" Type="http://schemas.openxmlformats.org/officeDocument/2006/relationships/image" Target="media/image12.emf"/><Relationship Id="rId82" Type="http://schemas.openxmlformats.org/officeDocument/2006/relationships/chart" Target="charts/chart58.xml"/><Relationship Id="rId152" Type="http://schemas.openxmlformats.org/officeDocument/2006/relationships/image" Target="media/image37.jpg"/><Relationship Id="rId19" Type="http://schemas.openxmlformats.org/officeDocument/2006/relationships/chart" Target="charts/chart10.xml"/><Relationship Id="rId14" Type="http://schemas.openxmlformats.org/officeDocument/2006/relationships/image" Target="media/image2.png"/><Relationship Id="rId30" Type="http://schemas.openxmlformats.org/officeDocument/2006/relationships/chart" Target="charts/chart19.xml"/><Relationship Id="rId35" Type="http://schemas.openxmlformats.org/officeDocument/2006/relationships/chart" Target="charts/chart23.xml"/><Relationship Id="rId56" Type="http://schemas.openxmlformats.org/officeDocument/2006/relationships/chart" Target="charts/chart38.xml"/><Relationship Id="rId77" Type="http://schemas.openxmlformats.org/officeDocument/2006/relationships/chart" Target="charts/chart53.xml"/><Relationship Id="rId100" Type="http://schemas.openxmlformats.org/officeDocument/2006/relationships/image" Target="media/image19.png"/><Relationship Id="rId105" Type="http://schemas.openxmlformats.org/officeDocument/2006/relationships/chart" Target="charts/chart73.xml"/><Relationship Id="rId126" Type="http://schemas.openxmlformats.org/officeDocument/2006/relationships/hyperlink" Target="http://www.wl.uwm.edu.pl" TargetMode="External"/><Relationship Id="rId147" Type="http://schemas.openxmlformats.org/officeDocument/2006/relationships/chart" Target="charts/chart102.xml"/><Relationship Id="rId8" Type="http://schemas.openxmlformats.org/officeDocument/2006/relationships/image" Target="media/image1.emf"/><Relationship Id="rId51" Type="http://schemas.openxmlformats.org/officeDocument/2006/relationships/chart" Target="charts/chart34.xml"/><Relationship Id="rId72" Type="http://schemas.openxmlformats.org/officeDocument/2006/relationships/chart" Target="charts/chart48.xml"/><Relationship Id="rId93" Type="http://schemas.openxmlformats.org/officeDocument/2006/relationships/chart" Target="charts/chart69.xml"/><Relationship Id="rId98" Type="http://schemas.openxmlformats.org/officeDocument/2006/relationships/chart" Target="charts/chart72.xml"/><Relationship Id="rId121" Type="http://schemas.openxmlformats.org/officeDocument/2006/relationships/chart" Target="charts/chart85.xml"/><Relationship Id="rId142" Type="http://schemas.openxmlformats.org/officeDocument/2006/relationships/image" Target="media/image32.png"/><Relationship Id="rId3" Type="http://schemas.openxmlformats.org/officeDocument/2006/relationships/styles" Target="styles.xml"/><Relationship Id="rId25" Type="http://schemas.openxmlformats.org/officeDocument/2006/relationships/chart" Target="charts/chart15.xml"/><Relationship Id="rId46" Type="http://schemas.openxmlformats.org/officeDocument/2006/relationships/image" Target="media/image7.png"/><Relationship Id="rId67" Type="http://schemas.openxmlformats.org/officeDocument/2006/relationships/chart" Target="charts/chart43.xml"/><Relationship Id="rId116" Type="http://schemas.openxmlformats.org/officeDocument/2006/relationships/image" Target="media/image25.png"/><Relationship Id="rId137" Type="http://schemas.openxmlformats.org/officeDocument/2006/relationships/chart" Target="charts/chart97.xml"/><Relationship Id="rId158" Type="http://schemas.openxmlformats.org/officeDocument/2006/relationships/header" Target="header3.xml"/></Relationships>
</file>

<file path=word/_rels/footnotes.xml.rels><?xml version="1.0" encoding="UTF-8" standalone="yes"?>
<Relationships xmlns="http://schemas.openxmlformats.org/package/2006/relationships"><Relationship Id="rId8" Type="http://schemas.openxmlformats.org/officeDocument/2006/relationships/hyperlink" Target="https://klastrypolskie.pl/czlonkowie/wschodni-klaster-budowlany,90.htm" TargetMode="External"/><Relationship Id="rId13" Type="http://schemas.openxmlformats.org/officeDocument/2006/relationships/hyperlink" Target="http://pan.olsztyn.pl/" TargetMode="External"/><Relationship Id="rId18" Type="http://schemas.openxmlformats.org/officeDocument/2006/relationships/hyperlink" Target="https://mycompanypolska.pl/artykul/2948/25-najlepszych-polskich-startupow" TargetMode="External"/><Relationship Id="rId3" Type="http://schemas.openxmlformats.org/officeDocument/2006/relationships/hyperlink" Target="https://invest.olsztyn.eu/pl/" TargetMode="External"/><Relationship Id="rId7" Type="http://schemas.openxmlformats.org/officeDocument/2006/relationships/hyperlink" Target="https://klastrypolskie.pl/czlonkowie.html%20stan%20na%2031.05.2021" TargetMode="External"/><Relationship Id="rId12" Type="http://schemas.openxmlformats.org/officeDocument/2006/relationships/hyperlink" Target="http://ranking.perspektywy.pl/2019/ranking-uczelni-akademickich" TargetMode="External"/><Relationship Id="rId17" Type="http://schemas.openxmlformats.org/officeDocument/2006/relationships/hyperlink" Target="https://www.opnt.olsztyn.pl/startup-heroes/o-projekcie/" TargetMode="External"/><Relationship Id="rId2" Type="http://schemas.openxmlformats.org/officeDocument/2006/relationships/hyperlink" Target="https://www.forbes.pl/diamenty/2020/laureaci-diamentow-forbesa-2020-woj-warminsko-mazurskie/phyy4es" TargetMode="External"/><Relationship Id="rId16" Type="http://schemas.openxmlformats.org/officeDocument/2006/relationships/hyperlink" Target="https://opnt.olsztyn.pl" TargetMode="External"/><Relationship Id="rId20" Type="http://schemas.openxmlformats.org/officeDocument/2006/relationships/hyperlink" Target="https://zit.olsztyn.eu/zit/aktualnosci/article/rozwoj-drog-rowerowych-w-olsztynie-i-sasiednich-gminach-szersze-spojrzenie.html" TargetMode="External"/><Relationship Id="rId1" Type="http://schemas.openxmlformats.org/officeDocument/2006/relationships/hyperlink" Target="https://spis.ngo.pl" TargetMode="External"/><Relationship Id="rId6" Type="http://schemas.openxmlformats.org/officeDocument/2006/relationships/hyperlink" Target="https://pl.wikipedia.org/wiki/Klaster_(gospodarka)" TargetMode="External"/><Relationship Id="rId11" Type="http://schemas.openxmlformats.org/officeDocument/2006/relationships/hyperlink" Target="https://klastrypolskie.pl/czlonkowie/wschodni-okreg-spozywczo-przemyslowy,230.htm" TargetMode="External"/><Relationship Id="rId5" Type="http://schemas.openxmlformats.org/officeDocument/2006/relationships/hyperlink" Target="http://www.wmsse.com.pl" TargetMode="External"/><Relationship Id="rId15" Type="http://schemas.openxmlformats.org/officeDocument/2006/relationships/hyperlink" Target="http://ip.olsztyn.pl/o-nas-2/" TargetMode="External"/><Relationship Id="rId10" Type="http://schemas.openxmlformats.org/officeDocument/2006/relationships/hyperlink" Target="http://www.klasterturystyczny.pl/czlonkowie-klastra/" TargetMode="External"/><Relationship Id="rId19" Type="http://schemas.openxmlformats.org/officeDocument/2006/relationships/hyperlink" Target="https://perspektywy.pl/portal/index.php?option=com_content&amp;view=article&amp;id=3363:top-6-zawodow-przyszlosci-prognoza-na-najblizsze-12-miesiecy&amp;catid=21&amp;Itemid=119" TargetMode="External"/><Relationship Id="rId4" Type="http://schemas.openxmlformats.org/officeDocument/2006/relationships/hyperlink" Target="http://www.panattonieurope.com/pl/kraj/polska/portfolio-projektow/magazyn-do-wynajecia/warmian-masurian/panattoni-park-olsztyn/" TargetMode="External"/><Relationship Id="rId9" Type="http://schemas.openxmlformats.org/officeDocument/2006/relationships/hyperlink" Target="https://klastrypolskie.pl/czlonkowie/klaster-marek-turystycznych-polski-wschodniej,200.htm" TargetMode="External"/><Relationship Id="rId14" Type="http://schemas.openxmlformats.org/officeDocument/2006/relationships/hyperlink" Target="https://www.infish.com.pl/content/historia-irs%20stan%20na%2003.09.202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demografia_bezrobocie\ludno&#347;&#263;_GUS_miasta%20Polski%20Wschodniej_2013-2019.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demografia_bezrobocie\wska&#378;nik%20ub&#243;stwa_wojew&#243;dztwa.xlsx" TargetMode="External"/><Relationship Id="rId2" Type="http://schemas.microsoft.com/office/2011/relationships/chartColorStyle" Target="colors10.xml"/><Relationship Id="rId1" Type="http://schemas.microsoft.com/office/2011/relationships/chartStyle" Target="style10.xml"/></Relationships>
</file>

<file path=word/charts/_rels/chart100.xml.rels><?xml version="1.0" encoding="UTF-8" standalone="yes"?>
<Relationships xmlns="http://schemas.openxmlformats.org/package/2006/relationships"><Relationship Id="rId3" Type="http://schemas.openxmlformats.org/officeDocument/2006/relationships/oleObject" Target="file:///C:\Users\stankiewicz.monika\Documents\Mobilno&#347;&#263;%20miejska\Liczba%20pasa&#380;er&#243;w%20komunikacji%202012-2018.xlsx" TargetMode="External"/><Relationship Id="rId2" Type="http://schemas.microsoft.com/office/2011/relationships/chartColorStyle" Target="colors97.xml"/><Relationship Id="rId1" Type="http://schemas.microsoft.com/office/2011/relationships/chartStyle" Target="style97.xml"/></Relationships>
</file>

<file path=word/charts/_rels/chart101.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transport\transport_drogi%20gminne%20i%20powiatowe_2013-2019.xlsx" TargetMode="External"/><Relationship Id="rId2" Type="http://schemas.microsoft.com/office/2011/relationships/chartColorStyle" Target="colors98.xml"/><Relationship Id="rId1" Type="http://schemas.microsoft.com/office/2011/relationships/chartStyle" Target="style98.xml"/></Relationships>
</file>

<file path=word/charts/_rels/chart102.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transport\transport_drogi%20gminne%20i%20powiatowe_2013-2019.xlsx" TargetMode="External"/><Relationship Id="rId2" Type="http://schemas.microsoft.com/office/2011/relationships/chartColorStyle" Target="colors99.xml"/><Relationship Id="rId1" Type="http://schemas.microsoft.com/office/2011/relationships/chartStyle" Target="style99.xml"/></Relationships>
</file>

<file path=word/charts/_rels/chart103.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transport\transport_drogi%20gminne%20i%20powiatowe_2013-2019.xlsx" TargetMode="External"/><Relationship Id="rId2" Type="http://schemas.microsoft.com/office/2011/relationships/chartColorStyle" Target="colors100.xml"/><Relationship Id="rId1" Type="http://schemas.microsoft.com/office/2011/relationships/chartStyle" Target="style10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demografia_bezrobocie\wska&#378;nik%20ub&#243;stwa_wojew&#243;dztwa.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zdrowie%20i%20opieka%20spo&#322;eczna\leczeni%20w%20szpitalach_GUS_woj.warminsko-mazurskie_2013-2018.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zdrowie%20i%20opieka%20spo&#322;eczna\przychodnie_porady_GUS_miasta%20Polski%20Wschodniej_2013-2019.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zdrowie%20i%20opieka%20spo&#322;eczna\wydatki_ochrona%20zdrowia_GUS_miasta%20Polski%20Wschodniej_2013-2018.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demografia_bezrobocie\bezrobocie_GUS_miasta%20Polski%20Wschodniej_2013-2018.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demografia_bezrobocie\bezrobocie_GUS_miasta%20Polski%20Wschodniej_2013-2018.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demografia_bezrobocie\bezrobocie_GUS_miasta%20Polski%20Wschodniej_2013-2018.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zdrowie%20i%20opieka%20spo&#322;eczna\problemy%20spo&#322;eczne_uzale&#380;nienia_GUS_wojew&#243;dztwa_2013-2019.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zdrowie%20i%20opieka%20spo&#322;eczna\problemy%20spo&#322;eczne_uzale&#380;nienia_GUS_wojew&#243;dztwa_2013-2019.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demografia_bezrobocie\ludno&#347;&#263;_GUS_miasta%20Polski%20Wschodniej_2013-2019.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zdrowie%20i%20opieka%20spo&#322;eczna\problemy%20spo&#322;eczne_uzale&#380;nienia_GUS_wojew&#243;dztwa_2013-2019.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Arkusz_programu_Microsoft_Excel.xlsx"/><Relationship Id="rId1" Type="http://schemas.openxmlformats.org/officeDocument/2006/relationships/themeOverride" Target="../theme/themeOverride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Arkusz_programu_Microsoft_Excel1.xlsx"/><Relationship Id="rId1" Type="http://schemas.openxmlformats.org/officeDocument/2006/relationships/themeOverride" Target="../theme/themeOverride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Arkusz_programu_Microsoft_Excel2.xlsx"/><Relationship Id="rId1" Type="http://schemas.openxmlformats.org/officeDocument/2006/relationships/themeOverride" Target="../theme/themeOverride3.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bezpiecze&#324;stwo\bezpiecze&#324;stwo_GUS_miasta%20Polski%20Wschodniej_2013-2019.xlsx" TargetMode="External"/><Relationship Id="rId2" Type="http://schemas.microsoft.com/office/2011/relationships/chartColorStyle" Target="colors21.xml"/><Relationship Id="rId1" Type="http://schemas.microsoft.com/office/2011/relationships/chartStyle" Target="style21.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bezpiecze&#324;stwo\bezpiecze&#324;stwo_GUS_miasta%20Polski%20Wschodniej_2013-2019.xlsx" TargetMode="External"/><Relationship Id="rId2" Type="http://schemas.microsoft.com/office/2011/relationships/chartColorStyle" Target="colors22.xml"/><Relationship Id="rId1" Type="http://schemas.microsoft.com/office/2011/relationships/chartStyle" Target="style22.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bezpiecze&#324;stwo\bezpiecze&#324;stwo_GUS_miasta%20Polski%20Wschodniej_2013-2019.xlsx" TargetMode="External"/><Relationship Id="rId2" Type="http://schemas.microsoft.com/office/2011/relationships/chartColorStyle" Target="colors23.xml"/><Relationship Id="rId1" Type="http://schemas.microsoft.com/office/2011/relationships/chartStyle" Target="style23.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stankiewicz.monika\Documents\Strategie\Strategia%20ZIT%20-%20aktualizacja\Analiza%20diagnoza\Kapita&#322;%20spo&#322;eczny%20MOF%20Olsztyn%202.xlsx" TargetMode="External"/><Relationship Id="rId2" Type="http://schemas.microsoft.com/office/2011/relationships/chartColorStyle" Target="colors24.xml"/><Relationship Id="rId1" Type="http://schemas.microsoft.com/office/2011/relationships/chartStyle" Target="style24.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stankiewicz.monika\Documents\Strategie\Strategia%20ZIT%20-%20aktualizacja\Analiza%20diagnoza\Kapita&#322;%20spo&#322;eczny%20MOF%20Olsztyn%202.xlsx" TargetMode="External"/><Relationship Id="rId2" Type="http://schemas.microsoft.com/office/2011/relationships/chartColorStyle" Target="colors25.xml"/><Relationship Id="rId1" Type="http://schemas.microsoft.com/office/2011/relationships/chartStyle" Target="style25.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spo&#322;ecze&#324;stwo%20obywatelskie\frekwencja%20wyborcza_GUS_miasta%20Polski%20Wschodniej.xlsx" TargetMode="External"/><Relationship Id="rId2" Type="http://schemas.microsoft.com/office/2011/relationships/chartColorStyle" Target="colors26.xml"/><Relationship Id="rId1" Type="http://schemas.microsoft.com/office/2011/relationships/chartStyle" Target="style26.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demografia_bezrobocie\ludno&#347;&#263;_GUS_miasta%20Polski%20Wschodniej_2013-2019.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spo&#322;ecze&#324;stwo%20obywatelskie\frekwencja%20wyborcza_GUS_miasta%20Polski%20Wschodniej.xlsx" TargetMode="External"/><Relationship Id="rId2" Type="http://schemas.microsoft.com/office/2011/relationships/chartColorStyle" Target="colors27.xml"/><Relationship Id="rId1" Type="http://schemas.microsoft.com/office/2011/relationships/chartStyle" Target="style27.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spo&#322;ecze&#324;stwo%20obywatelskie\frekwencja%20wyborcza_GUS_miasta%20Polski%20Wschodniej.xlsx" TargetMode="External"/><Relationship Id="rId2" Type="http://schemas.microsoft.com/office/2011/relationships/chartColorStyle" Target="colors28.xml"/><Relationship Id="rId1" Type="http://schemas.microsoft.com/office/2011/relationships/chartStyle" Target="style28.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spo&#322;ecze&#324;stwo%20obywatelskie\frekwencja%20wyborcza_GUS_miasta%20Polski%20Wschodniej.xlsx" TargetMode="External"/><Relationship Id="rId2" Type="http://schemas.microsoft.com/office/2011/relationships/chartColorStyle" Target="colors29.xml"/><Relationship Id="rId1" Type="http://schemas.microsoft.com/office/2011/relationships/chartStyle" Target="style29.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powierzchnia_mpzp_grunty%20le&#347;ne_tereny%20prawnie%20chronione_GUS.xlsx" TargetMode="External"/><Relationship Id="rId2" Type="http://schemas.microsoft.com/office/2011/relationships/chartColorStyle" Target="colors30.xml"/><Relationship Id="rId1" Type="http://schemas.microsoft.com/office/2011/relationships/chartStyle" Target="style30.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GIO&#346;_zanieczyszczenia%20powietrza_miasta%20Polski%20Wschodniej_2013-2019.xlsx" TargetMode="External"/><Relationship Id="rId2" Type="http://schemas.microsoft.com/office/2011/relationships/chartColorStyle" Target="colors31.xml"/><Relationship Id="rId1" Type="http://schemas.microsoft.com/office/2011/relationships/chartStyle" Target="style31.xml"/></Relationships>
</file>

<file path=word/charts/_rels/chart35.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GIO&#346;_zanieczyszczenia%20powietrza_miasta%20Polski%20Wschodniej_2013-2019.xlsx" TargetMode="External"/><Relationship Id="rId2" Type="http://schemas.microsoft.com/office/2011/relationships/chartColorStyle" Target="colors32.xml"/><Relationship Id="rId1" Type="http://schemas.microsoft.com/office/2011/relationships/chartStyle" Target="style32.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GIO&#346;_zanieczyszczenia%20powietrza_miasta%20Polski%20Wschodniej_2013-2019_1.xlsx" TargetMode="External"/><Relationship Id="rId2" Type="http://schemas.microsoft.com/office/2011/relationships/chartColorStyle" Target="colors33.xml"/><Relationship Id="rId1" Type="http://schemas.microsoft.com/office/2011/relationships/chartStyle" Target="style33.xml"/></Relationships>
</file>

<file path=word/charts/_rels/chart37.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GIO&#346;_zanieczyszczenia%20powietrza_miasta%20Polski%20Wschodniej_2013-2019_1.xlsx" TargetMode="External"/><Relationship Id="rId2" Type="http://schemas.microsoft.com/office/2011/relationships/chartColorStyle" Target="colors34.xml"/><Relationship Id="rId1" Type="http://schemas.microsoft.com/office/2011/relationships/chartStyle" Target="style34.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GIO&#346;_zanieczyszczenia%20powietrza_miasta%20Polski%20Wschodniej_2013-2019_1.xlsx" TargetMode="External"/><Relationship Id="rId2" Type="http://schemas.microsoft.com/office/2011/relationships/chartColorStyle" Target="colors35.xml"/><Relationship Id="rId1" Type="http://schemas.microsoft.com/office/2011/relationships/chartStyle" Target="style35.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GIO&#346;_zanieczyszczenia%20powietrza_miasta%20Polski%20Wschodniej_2013-2019_1.xlsx" TargetMode="External"/><Relationship Id="rId2" Type="http://schemas.microsoft.com/office/2011/relationships/chartColorStyle" Target="colors36.xml"/><Relationship Id="rId1" Type="http://schemas.microsoft.com/office/2011/relationships/chartStyle" Target="style36.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demografia_bezrobocie\ludno&#347;&#263;_GUS_miasta%20Polski%20Wschodniej_2013-2019.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GIO&#346;_zanieczyszczenia%20powietrza_miasta%20Polski%20Wschodniej_2013-2019_1.xlsx" TargetMode="External"/><Relationship Id="rId2" Type="http://schemas.microsoft.com/office/2011/relationships/chartColorStyle" Target="colors37.xml"/><Relationship Id="rId1" Type="http://schemas.microsoft.com/office/2011/relationships/chartStyle" Target="style37.xml"/></Relationships>
</file>

<file path=word/charts/_rels/chart41.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GIO&#346;_zanieczyszczenia%20powietrza_miasta%20Polski%20Wschodniej_2013-2019_1.xlsx" TargetMode="External"/><Relationship Id="rId2" Type="http://schemas.microsoft.com/office/2011/relationships/chartColorStyle" Target="colors38.xml"/><Relationship Id="rId1" Type="http://schemas.microsoft.com/office/2011/relationships/chartStyle" Target="style38.xml"/></Relationships>
</file>

<file path=word/charts/_rels/chart42.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39.xml"/><Relationship Id="rId1" Type="http://schemas.microsoft.com/office/2011/relationships/chartStyle" Target="style39.xml"/></Relationships>
</file>

<file path=word/charts/_rels/chart43.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40.xml"/><Relationship Id="rId1" Type="http://schemas.microsoft.com/office/2011/relationships/chartStyle" Target="style40.xml"/></Relationships>
</file>

<file path=word/charts/_rels/chart44.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korzystaj&#261;cy%20z%20sieci_GUS_zu&#380;ycie%20medi&#243;w_miasta%20Polski%20Wschodniej_2013-2018.xlsx" TargetMode="External"/><Relationship Id="rId2" Type="http://schemas.microsoft.com/office/2011/relationships/chartColorStyle" Target="colors41.xml"/><Relationship Id="rId1" Type="http://schemas.microsoft.com/office/2011/relationships/chartStyle" Target="style41.xml"/></Relationships>
</file>

<file path=word/charts/_rels/chart45.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oczyszczalnie%20&#347;ciek&#243;w_GUS_miasta%20Polski%20Wschodniej_2013-2018.xlsx" TargetMode="External"/><Relationship Id="rId2" Type="http://schemas.microsoft.com/office/2011/relationships/chartColorStyle" Target="colors42.xml"/><Relationship Id="rId1" Type="http://schemas.microsoft.com/office/2011/relationships/chartStyle" Target="style42.xml"/></Relationships>
</file>

<file path=word/charts/_rels/chart46.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oczyszczalnie%20&#347;ciek&#243;w_GUS_miasta%20Polski%20Wschodniej_2013-2018.xlsx" TargetMode="External"/><Relationship Id="rId2" Type="http://schemas.microsoft.com/office/2011/relationships/chartColorStyle" Target="colors43.xml"/><Relationship Id="rId1" Type="http://schemas.microsoft.com/office/2011/relationships/chartStyle" Target="style43.xml"/></Relationships>
</file>

<file path=word/charts/_rels/chart47.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korzystaj&#261;cy%20z%20sieci_GUS_zu&#380;ycie%20medi&#243;w_miasta%20Polski%20Wschodniej_2013-2018.xlsx" TargetMode="External"/><Relationship Id="rId2" Type="http://schemas.microsoft.com/office/2011/relationships/chartColorStyle" Target="colors44.xml"/><Relationship Id="rId1" Type="http://schemas.microsoft.com/office/2011/relationships/chartStyle" Target="style44.xml"/></Relationships>
</file>

<file path=word/charts/_rels/chart48.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korzystaj&#261;cy%20z%20sieci_GUS_zu&#380;ycie%20medi&#243;w_miasta%20Polski%20Wschodniej_2013-2018.xlsx" TargetMode="External"/><Relationship Id="rId2" Type="http://schemas.microsoft.com/office/2011/relationships/chartColorStyle" Target="colors45.xml"/><Relationship Id="rId1" Type="http://schemas.microsoft.com/office/2011/relationships/chartStyle" Target="style45.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korzystaj&#261;cy%20z%20sieci_GUS_zu&#380;ycie%20medi&#243;w_miasta%20Polski%20Wschodniej_2013-2018.xlsx" TargetMode="External"/><Relationship Id="rId2" Type="http://schemas.microsoft.com/office/2011/relationships/chartColorStyle" Target="colors46.xml"/><Relationship Id="rId1" Type="http://schemas.microsoft.com/office/2011/relationships/chartStyle" Target="style46.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demografia_bezrobocie\ludno&#347;&#263;_GUS_miasta%20Polski%20Wschodniej_2013-2019.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korzystaj&#261;cy%20z%20sieci_GUS_zu&#380;ycie%20medi&#243;w_miasta%20Polski%20Wschodniej_2013-2018.xlsx" TargetMode="External"/><Relationship Id="rId2" Type="http://schemas.microsoft.com/office/2011/relationships/chartColorStyle" Target="colors47.xml"/><Relationship Id="rId1" Type="http://schemas.microsoft.com/office/2011/relationships/chartStyle" Target="style47.xml"/></Relationships>
</file>

<file path=word/charts/_rels/chart51.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odpady%20komunalne_GUS_miasta%20Polski%20Wschodniej_2017-2018.xlsx" TargetMode="External"/><Relationship Id="rId2" Type="http://schemas.microsoft.com/office/2011/relationships/chartColorStyle" Target="colors48.xml"/><Relationship Id="rId1" Type="http://schemas.microsoft.com/office/2011/relationships/chartStyle" Target="style48.xml"/></Relationships>
</file>

<file path=word/charts/_rels/chart52.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odpady%20komunalne_GUS_miasta%20Polski%20Wschodniej_2017-2018.xlsx" TargetMode="External"/><Relationship Id="rId2" Type="http://schemas.microsoft.com/office/2011/relationships/chartColorStyle" Target="colors49.xml"/><Relationship Id="rId1" Type="http://schemas.microsoft.com/office/2011/relationships/chartStyle" Target="style49.xml"/></Relationships>
</file>

<file path=word/charts/_rels/chart53.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odpady%20komunalne_GUS_miasta%20Polski%20Wschodniej_2017-2018.xlsx" TargetMode="External"/><Relationship Id="rId2" Type="http://schemas.microsoft.com/office/2011/relationships/chartColorStyle" Target="colors50.xml"/><Relationship Id="rId1" Type="http://schemas.microsoft.com/office/2011/relationships/chartStyle" Target="style50.xml"/></Relationships>
</file>

<file path=word/charts/_rels/chart54.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OZE__mali%20wytw&#243;rcy%20energii%202016-2019_dane%20URE.xlsx" TargetMode="External"/><Relationship Id="rId2" Type="http://schemas.microsoft.com/office/2011/relationships/chartColorStyle" Target="colors51.xml"/><Relationship Id="rId1" Type="http://schemas.microsoft.com/office/2011/relationships/chartStyle" Target="style51.xm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oleObject" Target="file:///C:\Users\rzodkiewicz.s\AppData\Local\Temp\OZE%20wska&#378;niki.xlsx" TargetMode="External"/></Relationships>
</file>

<file path=word/charts/_rels/chart56.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ochrona%20&#347;rodowiska\OZE__mali%20wytw&#243;rcy%20energii%202016-2019_dane%20URE.xlsx" TargetMode="External"/><Relationship Id="rId2" Type="http://schemas.microsoft.com/office/2011/relationships/chartColorStyle" Target="colors53.xml"/><Relationship Id="rId1" Type="http://schemas.microsoft.com/office/2011/relationships/chartStyle" Target="style53.xml"/></Relationships>
</file>

<file path=word/charts/_rels/chart57.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przedsi&#281;biorczo&#347;&#263;\przedsi&#281;biorczo&#347;&#263;_sektor%20kreatywny_GUS_miasta%20Polski%20Wschodniej_2013-2019.xlsx" TargetMode="External"/><Relationship Id="rId2" Type="http://schemas.microsoft.com/office/2011/relationships/chartColorStyle" Target="colors54.xml"/><Relationship Id="rId1" Type="http://schemas.microsoft.com/office/2011/relationships/chartStyle" Target="style54.xml"/></Relationships>
</file>

<file path=word/charts/_rels/chart58.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przedsi&#281;biorczo&#347;&#263;\przedsi&#281;biorczo&#347;&#263;_sektor%20kreatywny_GUS_miasta%20Polski%20Wschodniej_2013-2019.xlsx" TargetMode="External"/><Relationship Id="rId2" Type="http://schemas.microsoft.com/office/2011/relationships/chartColorStyle" Target="colors55.xml"/><Relationship Id="rId1" Type="http://schemas.microsoft.com/office/2011/relationships/chartStyle" Target="style55.xml"/></Relationships>
</file>

<file path=word/charts/_rels/chart59.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przedsi&#281;biorczo&#347;&#263;\przedsi&#281;biorczo&#347;&#263;_sektor%20kreatywny_GUS_miasta%20Polski%20Wschodniej_2013-2019.xlsx" TargetMode="External"/><Relationship Id="rId2" Type="http://schemas.microsoft.com/office/2011/relationships/chartColorStyle" Target="colors56.xml"/><Relationship Id="rId1" Type="http://schemas.microsoft.com/office/2011/relationships/chartStyle" Target="style56.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demografia_bezrobocie\ludno&#347;&#263;_GUS_miasta%20Polski%20Wschodniej_2013-2019.xlsx" TargetMode="External"/><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kultura_turystyka_sport\turystyka_GUS_miasta%20Polski%20Wschodniej_2013-2019.xlsx" TargetMode="External"/><Relationship Id="rId2" Type="http://schemas.microsoft.com/office/2011/relationships/chartColorStyle" Target="colors57.xml"/><Relationship Id="rId1" Type="http://schemas.microsoft.com/office/2011/relationships/chartStyle" Target="style57.xml"/></Relationships>
</file>

<file path=word/charts/_rels/chart61.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kultura_turystyka_sport\turystyka_GUS_miasta%20Polski%20Wschodniej_2013-2019.xlsx" TargetMode="External"/><Relationship Id="rId2" Type="http://schemas.microsoft.com/office/2011/relationships/chartColorStyle" Target="colors58.xml"/><Relationship Id="rId1" Type="http://schemas.microsoft.com/office/2011/relationships/chartStyle" Target="style58.xml"/></Relationships>
</file>

<file path=word/charts/_rels/chart62.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kultura_turystyka_sport\turystyka_GUS_miasta%20Polski%20Wschodniej_2013-2019.xlsx" TargetMode="External"/><Relationship Id="rId2" Type="http://schemas.microsoft.com/office/2011/relationships/chartColorStyle" Target="colors59.xml"/><Relationship Id="rId1" Type="http://schemas.microsoft.com/office/2011/relationships/chartStyle" Target="style59.xml"/></Relationships>
</file>

<file path=word/charts/_rels/chart63.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kultura_turystyka_sport\turystyka_GUS_miasta%20Polski%20Wschodniej_2013-2019.xlsx" TargetMode="External"/><Relationship Id="rId2" Type="http://schemas.microsoft.com/office/2011/relationships/chartColorStyle" Target="colors60.xml"/><Relationship Id="rId1" Type="http://schemas.microsoft.com/office/2011/relationships/chartStyle" Target="style60.xml"/></Relationships>
</file>

<file path=word/charts/_rels/chart64.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kultura_turystyka_sport\turystyka_GUS_miasta%20Polski%20Wschodniej_2013-2019.xlsx" TargetMode="External"/><Relationship Id="rId2" Type="http://schemas.microsoft.com/office/2011/relationships/chartColorStyle" Target="colors61.xml"/><Relationship Id="rId1" Type="http://schemas.microsoft.com/office/2011/relationships/chartStyle" Target="style61.xml"/></Relationships>
</file>

<file path=word/charts/_rels/chart65.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kultura_turystyka_sport\turystyka_GUS_miasta%20Polski%20Wschodniej_2013-2019.xlsx" TargetMode="External"/><Relationship Id="rId2" Type="http://schemas.microsoft.com/office/2011/relationships/chartColorStyle" Target="colors62.xml"/><Relationship Id="rId1" Type="http://schemas.microsoft.com/office/2011/relationships/chartStyle" Target="style62.xml"/></Relationships>
</file>

<file path=word/charts/_rels/chart66.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przedsi&#281;biorczo&#347;&#263;\przedsi&#281;biorczo&#347;&#263;_sektor%20kreatywny_GUS_miasta%20Polski%20Wschodniej_2013-2019.xlsx" TargetMode="External"/><Relationship Id="rId2" Type="http://schemas.microsoft.com/office/2011/relationships/chartColorStyle" Target="colors63.xml"/><Relationship Id="rId1" Type="http://schemas.microsoft.com/office/2011/relationships/chartStyle" Target="style63.xml"/></Relationships>
</file>

<file path=word/charts/_rels/chart67.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przedsi&#281;biorczo&#347;&#263;\przedsi&#281;biorczo&#347;&#263;_sektor%20kreatywny_GUS_miasta%20Polski%20Wschodniej_2013-2019.xlsx" TargetMode="External"/><Relationship Id="rId2" Type="http://schemas.microsoft.com/office/2011/relationships/chartColorStyle" Target="colors64.xml"/><Relationship Id="rId1" Type="http://schemas.microsoft.com/office/2011/relationships/chartStyle" Target="style64.xml"/></Relationships>
</file>

<file path=word/charts/_rels/chart68.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przedsi&#281;biorczo&#347;&#263;\przedsi&#281;biorczo&#347;&#263;_sektor%20kreatywny_GUS_miasta%20Polski%20Wschodniej_2013-2019.xlsx" TargetMode="External"/><Relationship Id="rId2" Type="http://schemas.microsoft.com/office/2011/relationships/chartColorStyle" Target="colors65.xml"/><Relationship Id="rId1" Type="http://schemas.microsoft.com/office/2011/relationships/chartStyle" Target="style65.xml"/></Relationships>
</file>

<file path=word/charts/_rels/chart69.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przedsi&#281;biorczo&#347;&#263;\przedsi&#281;biorczo&#347;&#263;_sektor%20kreatywny_GUS_miasta%20Polski%20Wschodniej_2013-2019.xlsx" TargetMode="External"/><Relationship Id="rId2" Type="http://schemas.microsoft.com/office/2011/relationships/chartColorStyle" Target="colors66.xml"/><Relationship Id="rId1" Type="http://schemas.microsoft.com/office/2011/relationships/chartStyle" Target="style6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demografia_bezrobocie\ludno&#347;&#263;_GUS_miasta%20Polski%20Wschodniej_2013-2019.xlsx" TargetMode="External"/><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oleObject" Target="file:///C:\Users\szlubowska.anna\Desktop\ZIT%20nowy\Strategia%20MOF_aktualizacja\Aktualizacja%20Strategii%20MOF\BDL_us&#322;ugi\O&#347;rodki%20innowacji.xlsx" TargetMode="External"/><Relationship Id="rId2" Type="http://schemas.microsoft.com/office/2011/relationships/chartColorStyle" Target="colors67.xml"/><Relationship Id="rId1" Type="http://schemas.microsoft.com/office/2011/relationships/chartStyle" Target="style67.xml"/></Relationships>
</file>

<file path=word/charts/_rels/chart71.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edukacja\szkolnictwo%20wy&#380;sze_2013-2018.xlsx" TargetMode="External"/><Relationship Id="rId2" Type="http://schemas.microsoft.com/office/2011/relationships/chartColorStyle" Target="colors68.xml"/><Relationship Id="rId1" Type="http://schemas.microsoft.com/office/2011/relationships/chartStyle" Target="style68.xml"/></Relationships>
</file>

<file path=word/charts/_rels/chart72.xml.rels><?xml version="1.0" encoding="UTF-8" standalone="yes"?>
<Relationships xmlns="http://schemas.openxmlformats.org/package/2006/relationships"><Relationship Id="rId3" Type="http://schemas.openxmlformats.org/officeDocument/2006/relationships/oleObject" Target="file:///C:\Users\szlubowska.anna\Desktop\ZIT%20nowy\Strategia%20MOF_aktualizacja\Aktualizacja%20Strategii%20MOF\BDL_us&#322;ugi\Pozycja%20UWM_Perspektywy.xlsx" TargetMode="External"/><Relationship Id="rId2" Type="http://schemas.microsoft.com/office/2011/relationships/chartColorStyle" Target="colors69.xml"/><Relationship Id="rId1" Type="http://schemas.microsoft.com/office/2011/relationships/chartStyle" Target="style69.xml"/></Relationships>
</file>

<file path=word/charts/_rels/chart73.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spo&#322;ecze&#324;stwo%20informacyjne\komputery%20z%20internetem_GUS_wojew&#243;dztwa_2013-2018.xlsx" TargetMode="External"/><Relationship Id="rId2" Type="http://schemas.microsoft.com/office/2011/relationships/chartColorStyle" Target="colors70.xml"/><Relationship Id="rId1" Type="http://schemas.microsoft.com/office/2011/relationships/chartStyle" Target="style70.xml"/></Relationships>
</file>

<file path=word/charts/_rels/chart74.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spo&#322;ecze&#324;stwo%20informacyjne\komputery%20z%20internetem_GUS_wojew&#243;dztwa_2013-2018.xlsx" TargetMode="External"/><Relationship Id="rId2" Type="http://schemas.microsoft.com/office/2011/relationships/chartColorStyle" Target="colors71.xml"/><Relationship Id="rId1" Type="http://schemas.microsoft.com/office/2011/relationships/chartStyle" Target="style71.xml"/></Relationships>
</file>

<file path=word/charts/_rels/chart75.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edukacja\Zaj&#281;cia%20STEM%20w%20szko&#322;ach%20MOF%202018_2019.xlsx" TargetMode="External"/><Relationship Id="rId2" Type="http://schemas.microsoft.com/office/2011/relationships/chartColorStyle" Target="colors72.xml"/><Relationship Id="rId1" Type="http://schemas.microsoft.com/office/2011/relationships/chartStyle" Target="style72.xml"/></Relationships>
</file>

<file path=word/charts/_rels/chart76.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zdrowie%20i%20opieka%20spo&#322;eczna\dzieci%20i%20miejsca%20w%20&#380;&#322;obkach_miasta%20Polski%20Wschodniej_2013-2019.xlsx" TargetMode="External"/><Relationship Id="rId2" Type="http://schemas.microsoft.com/office/2011/relationships/chartColorStyle" Target="colors73.xml"/><Relationship Id="rId1" Type="http://schemas.microsoft.com/office/2011/relationships/chartStyle" Target="style73.xml"/></Relationships>
</file>

<file path=word/charts/_rels/chart77.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zdrowie%20i%20opieka%20spo&#322;eczna\dzieci%20i%20miejsca%20w%20&#380;&#322;obkach_miasta%20Polski%20Wschodniej_2013-2019.xlsx" TargetMode="External"/><Relationship Id="rId2" Type="http://schemas.microsoft.com/office/2011/relationships/chartColorStyle" Target="colors74.xml"/><Relationship Id="rId1" Type="http://schemas.microsoft.com/office/2011/relationships/chartStyle" Target="style74.xml"/></Relationships>
</file>

<file path=word/charts/_rels/chart78.xml.rels><?xml version="1.0" encoding="UTF-8" standalone="yes"?>
<Relationships xmlns="http://schemas.openxmlformats.org/package/2006/relationships"><Relationship Id="rId3" Type="http://schemas.openxmlformats.org/officeDocument/2006/relationships/oleObject" Target="file:///C:\Users\stankiewicz.monika\Documents\Strategie\Strategia%20ZIT%20-%20aktualizacja\Analiza%20diagnoza\Kapita&#322;%20spo&#322;eczny%20MOF%20Olsztyn.xlsx" TargetMode="External"/><Relationship Id="rId2" Type="http://schemas.microsoft.com/office/2011/relationships/chartColorStyle" Target="colors75.xml"/><Relationship Id="rId1" Type="http://schemas.microsoft.com/office/2011/relationships/chartStyle" Target="style75.xml"/></Relationships>
</file>

<file path=word/charts/_rels/chart79.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edukacja\wychowanie%20przedszkolne_GUS_miasta%20Polski%20Wschodniej_2013-2018.xlsx" TargetMode="External"/><Relationship Id="rId2" Type="http://schemas.microsoft.com/office/2011/relationships/chartColorStyle" Target="colors76.xml"/><Relationship Id="rId1" Type="http://schemas.microsoft.com/office/2011/relationships/chartStyle" Target="style76.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demografia_bezrobocie\przeci&#281;tne%20miesi&#281;czne%20wynagrodzenie%20brutto_GUS_2013-2018.xlsx" TargetMode="External"/><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edukacja\wychowanie%20przedszkolne_GUS_miasta%20Polski%20Wschodniej_2013-2018.xlsx" TargetMode="External"/><Relationship Id="rId2" Type="http://schemas.microsoft.com/office/2011/relationships/chartColorStyle" Target="colors77.xml"/><Relationship Id="rId1" Type="http://schemas.microsoft.com/office/2011/relationships/chartStyle" Target="style77.xml"/></Relationships>
</file>

<file path=word/charts/_rels/chart81.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edukacja\szkolnictwo_GUS_miasta%20Polski%20Wschodniej%202013-2018.xlsx" TargetMode="External"/><Relationship Id="rId2" Type="http://schemas.microsoft.com/office/2011/relationships/chartColorStyle" Target="colors78.xml"/><Relationship Id="rId1" Type="http://schemas.microsoft.com/office/2011/relationships/chartStyle" Target="style78.xml"/></Relationships>
</file>

<file path=word/charts/_rels/chart82.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zdrowie%20i%20opieka%20spo&#322;eczna\przychodnie_porady_GUS_miasta%20Polski%20Wschodniej_2013-2019.xlsx" TargetMode="External"/><Relationship Id="rId2" Type="http://schemas.microsoft.com/office/2011/relationships/chartColorStyle" Target="colors79.xml"/><Relationship Id="rId1" Type="http://schemas.microsoft.com/office/2011/relationships/chartStyle" Target="style79.xml"/></Relationships>
</file>

<file path=word/charts/_rels/chart83.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zdrowie%20i%20opieka%20spo&#322;eczna\przychodnie_porady_GUS_miasta%20Polski%20Wschodniej_2013-2019.xlsx" TargetMode="External"/><Relationship Id="rId2" Type="http://schemas.microsoft.com/office/2011/relationships/chartColorStyle" Target="colors80.xml"/><Relationship Id="rId1" Type="http://schemas.microsoft.com/office/2011/relationships/chartStyle" Target="style80.xml"/></Relationships>
</file>

<file path=word/charts/_rels/chart84.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zdrowie%20i%20opieka%20spo&#322;eczna\dost&#281;pno&#347;&#263;%20aptek_GUS_miasta%20Polski%20Wschodniej_2013-2019.xlsx" TargetMode="External"/><Relationship Id="rId2" Type="http://schemas.microsoft.com/office/2011/relationships/chartColorStyle" Target="colors81.xml"/><Relationship Id="rId1" Type="http://schemas.microsoft.com/office/2011/relationships/chartStyle" Target="style81.xml"/></Relationships>
</file>

<file path=word/charts/_rels/chart85.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zdrowie%20i%20opieka%20spo&#322;eczna\leczeni%20w%20szpitalach_GUS_woj.warminsko-mazurskie_2013-2018.xlsx" TargetMode="External"/><Relationship Id="rId2" Type="http://schemas.microsoft.com/office/2011/relationships/chartColorStyle" Target="colors82.xml"/><Relationship Id="rId1" Type="http://schemas.microsoft.com/office/2011/relationships/chartStyle" Target="style82.xml"/></Relationships>
</file>

<file path=word/charts/_rels/chart86.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zdrowie%20i%20opieka%20spo&#322;eczna\leczeni%20w%20szpitalach_GUS_woj.warminsko-mazurskie_2013-2018.xlsx" TargetMode="External"/><Relationship Id="rId2" Type="http://schemas.microsoft.com/office/2011/relationships/chartColorStyle" Target="colors83.xml"/><Relationship Id="rId1" Type="http://schemas.microsoft.com/office/2011/relationships/chartStyle" Target="style83.xml"/></Relationships>
</file>

<file path=word/charts/_rels/chart87.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zdrowie%20i%20opieka%20spo&#322;eczna\personel%20medyczny_GUS_miasta%20Polski%20Wschodniej_2013-2018.xlsx" TargetMode="External"/><Relationship Id="rId2" Type="http://schemas.microsoft.com/office/2011/relationships/chartColorStyle" Target="colors84.xml"/><Relationship Id="rId1" Type="http://schemas.microsoft.com/office/2011/relationships/chartStyle" Target="style84.xml"/></Relationships>
</file>

<file path=word/charts/_rels/chart88.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zdrowie%20i%20opieka%20spo&#322;eczna\personel%20medyczny_GUS_miasta%20Polski%20Wschodniej_2013-2018.xlsx" TargetMode="External"/><Relationship Id="rId2" Type="http://schemas.microsoft.com/office/2011/relationships/chartColorStyle" Target="colors85.xml"/><Relationship Id="rId1" Type="http://schemas.microsoft.com/office/2011/relationships/chartStyle" Target="style85.xml"/></Relationships>
</file>

<file path=word/charts/_rels/chart89.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zdrowie%20i%20opieka%20spo&#322;eczna\personel%20medyczny_GUS_miasta%20Polski%20Wschodniej_2013-2018.xlsx" TargetMode="External"/><Relationship Id="rId2" Type="http://schemas.microsoft.com/office/2011/relationships/chartColorStyle" Target="colors86.xml"/><Relationship Id="rId1" Type="http://schemas.microsoft.com/office/2011/relationships/chartStyle" Target="style86.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demografia_bezrobocie\wska&#378;nik%20ub&#243;stwa_wojew&#243;dztwa.xlsx" TargetMode="External"/><Relationship Id="rId2" Type="http://schemas.microsoft.com/office/2011/relationships/chartColorStyle" Target="colors9.xml"/><Relationship Id="rId1" Type="http://schemas.microsoft.com/office/2011/relationships/chartStyle" Target="style9.xml"/></Relationships>
</file>

<file path=word/charts/_rels/chart90.xml.rels><?xml version="1.0" encoding="UTF-8" standalone="yes"?>
<Relationships xmlns="http://schemas.openxmlformats.org/package/2006/relationships"><Relationship Id="rId3" Type="http://schemas.openxmlformats.org/officeDocument/2006/relationships/oleObject" Target="file:///C:\Users\stankiewicz.monika\Documents\Strategie\Strategia%20ZIT%20-%20aktualizacja\Analiza%20diagnoza\Kapita&#322;%20spo&#322;eczny%20MOF%20Olsztyn.xlsx" TargetMode="External"/><Relationship Id="rId2" Type="http://schemas.microsoft.com/office/2011/relationships/chartColorStyle" Target="colors87.xml"/><Relationship Id="rId1" Type="http://schemas.microsoft.com/office/2011/relationships/chartStyle" Target="style87.xml"/></Relationships>
</file>

<file path=word/charts/_rels/chart91.xml.rels><?xml version="1.0" encoding="UTF-8" standalone="yes"?>
<Relationships xmlns="http://schemas.openxmlformats.org/package/2006/relationships"><Relationship Id="rId3" Type="http://schemas.openxmlformats.org/officeDocument/2006/relationships/oleObject" Target="file:///C:\Users\stankiewicz.monika\Documents\Strategie\Strategia%20ZIT%20-%20aktualizacja\Analiza%20diagnoza\Kapita&#322;%20spo&#322;eczny%20MOF%20Olsztyn%202.xlsx" TargetMode="External"/><Relationship Id="rId2" Type="http://schemas.microsoft.com/office/2011/relationships/chartColorStyle" Target="colors88.xml"/><Relationship Id="rId1" Type="http://schemas.microsoft.com/office/2011/relationships/chartStyle" Target="style88.xml"/></Relationships>
</file>

<file path=word/charts/_rels/chart92.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kultura_GUS_miasta%20Polski%20Wschodniej_2013-2019.xlsx" TargetMode="External"/><Relationship Id="rId2" Type="http://schemas.microsoft.com/office/2011/relationships/chartColorStyle" Target="colors89.xml"/><Relationship Id="rId1" Type="http://schemas.microsoft.com/office/2011/relationships/chartStyle" Target="style89.xml"/></Relationships>
</file>

<file path=word/charts/_rels/chart93.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kultura_GUS_miasta%20Polski%20Wschodniej_2013-2019.xlsx" TargetMode="External"/><Relationship Id="rId2" Type="http://schemas.microsoft.com/office/2011/relationships/chartColorStyle" Target="colors90.xml"/><Relationship Id="rId1" Type="http://schemas.microsoft.com/office/2011/relationships/chartStyle" Target="style90.xml"/></Relationships>
</file>

<file path=word/charts/_rels/chart94.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kultura_GUS_miasta%20Polski%20Wschodniej_2013-2019.xlsx" TargetMode="External"/><Relationship Id="rId2" Type="http://schemas.microsoft.com/office/2011/relationships/chartColorStyle" Target="colors91.xml"/><Relationship Id="rId1" Type="http://schemas.microsoft.com/office/2011/relationships/chartStyle" Target="style91.xml"/></Relationships>
</file>

<file path=word/charts/_rels/chart95.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kultura_GUS_miasta%20Polski%20Wschodniej_2013-2019.xlsx" TargetMode="External"/><Relationship Id="rId2" Type="http://schemas.microsoft.com/office/2011/relationships/chartColorStyle" Target="colors92.xml"/><Relationship Id="rId1" Type="http://schemas.microsoft.com/office/2011/relationships/chartStyle" Target="style92.xml"/></Relationships>
</file>

<file path=word/charts/_rels/chart96.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kultura_turystyka_sport\sport_GUS_miasta%20Polski%20Wschodniej_2014%20i%202018.xlsx" TargetMode="External"/><Relationship Id="rId2" Type="http://schemas.microsoft.com/office/2011/relationships/chartColorStyle" Target="colors93.xml"/><Relationship Id="rId1" Type="http://schemas.microsoft.com/office/2011/relationships/chartStyle" Target="style93.xml"/></Relationships>
</file>

<file path=word/charts/_rels/chart97.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kultura_turystyka_sport\sport_GUS_miasta%20Polski%20Wschodniej_2014%20i%202018.xlsx" TargetMode="External"/><Relationship Id="rId2" Type="http://schemas.microsoft.com/office/2011/relationships/chartColorStyle" Target="colors94.xml"/><Relationship Id="rId1" Type="http://schemas.microsoft.com/office/2011/relationships/chartStyle" Target="style94.xml"/></Relationships>
</file>

<file path=word/charts/_rels/chart98.xml.rels><?xml version="1.0" encoding="UTF-8" standalone="yes"?>
<Relationships xmlns="http://schemas.openxmlformats.org/package/2006/relationships"><Relationship Id="rId3" Type="http://schemas.openxmlformats.org/officeDocument/2006/relationships/oleObject" Target="file:///C:\Users\meissner.izabela\Documents\SF_2020\061_Strategia\2_aktualizacja%20strategii%20rozwoju%20miasta\diagnoza%20strategiczna\transport\transport_drogi%20gminne%20i%20powiatowe_2013-2019.xlsx" TargetMode="External"/><Relationship Id="rId2" Type="http://schemas.microsoft.com/office/2011/relationships/chartColorStyle" Target="colors95.xml"/><Relationship Id="rId1" Type="http://schemas.microsoft.com/office/2011/relationships/chartStyle" Target="style95.xml"/></Relationships>
</file>

<file path=word/charts/_rels/chart99.xml.rels><?xml version="1.0" encoding="UTF-8" standalone="yes"?>
<Relationships xmlns="http://schemas.openxmlformats.org/package/2006/relationships"><Relationship Id="rId3" Type="http://schemas.openxmlformats.org/officeDocument/2006/relationships/oleObject" Target="file:///C:\Users\stankiewicz.monika\Documents\SUMBA\SUMBA%20-%20WP2\SUMBA%20SWOT%20analysis%20-%20final\Analiza%20SWOT%20PL%20wykresy%20-%2024%20X%202018.xlsx" TargetMode="External"/><Relationship Id="rId2" Type="http://schemas.microsoft.com/office/2011/relationships/chartColorStyle" Target="colors96.xml"/><Relationship Id="rId1" Type="http://schemas.microsoft.com/office/2011/relationships/chartStyle" Target="style9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ludność!$C$18</c:f>
              <c:strCache>
                <c:ptCount val="1"/>
                <c:pt idx="0">
                  <c:v>2013</c:v>
                </c:pt>
              </c:strCache>
            </c:strRef>
          </c:tx>
          <c:spPr>
            <a:solidFill>
              <a:schemeClr val="accent1"/>
            </a:solidFill>
            <a:ln>
              <a:noFill/>
            </a:ln>
            <a:effectLst/>
            <a:sp3d/>
          </c:spPr>
          <c:invertIfNegative val="0"/>
          <c:dLbls>
            <c:dLbl>
              <c:idx val="0"/>
              <c:layout>
                <c:manualLayout>
                  <c:x val="-0.10266863677271236"/>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677-4663-9396-01D6A8D4214B}"/>
                </c:ext>
              </c:extLst>
            </c:dLbl>
            <c:dLbl>
              <c:idx val="1"/>
              <c:layout>
                <c:manualLayout>
                  <c:x val="-0.10266863677271246"/>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677-4663-9396-01D6A8D4214B}"/>
                </c:ext>
              </c:extLst>
            </c:dLbl>
            <c:dLbl>
              <c:idx val="2"/>
              <c:layout>
                <c:manualLayout>
                  <c:x val="-9.753520493407683E-2"/>
                  <c:y val="-1.0198815404661605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677-4663-9396-01D6A8D4214B}"/>
                </c:ext>
              </c:extLst>
            </c:dLbl>
            <c:dLbl>
              <c:idx val="3"/>
              <c:layout>
                <c:manualLayout>
                  <c:x val="-0.10010192085339464"/>
                  <c:y val="-1.0198815404661605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677-4663-9396-01D6A8D4214B}"/>
                </c:ext>
              </c:extLst>
            </c:dLbl>
            <c:dLbl>
              <c:idx val="4"/>
              <c:layout>
                <c:manualLayout>
                  <c:x val="-9.7535204934076927E-2"/>
                  <c:y val="-2.78152724243122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677-4663-9396-01D6A8D4214B}"/>
                </c:ext>
              </c:extLst>
            </c:dLbl>
            <c:dLbl>
              <c:idx val="5"/>
              <c:layout>
                <c:manualLayout>
                  <c:x val="-9.75352049340769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677-4663-9396-01D6A8D4214B}"/>
                </c:ext>
              </c:extLst>
            </c:dLbl>
            <c:dLbl>
              <c:idx val="6"/>
              <c:layout>
                <c:manualLayout>
                  <c:x val="-0.10266863677271246"/>
                  <c:y val="-5.099407702330802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677-4663-9396-01D6A8D4214B}"/>
                </c:ext>
              </c:extLst>
            </c:dLbl>
            <c:dLbl>
              <c:idx val="7"/>
              <c:layout>
                <c:manualLayout>
                  <c:x val="-9.75352049340768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677-4663-9396-01D6A8D4214B}"/>
                </c:ext>
              </c:extLst>
            </c:dLbl>
            <c:dLbl>
              <c:idx val="8"/>
              <c:layout>
                <c:manualLayout>
                  <c:x val="-9.753520493407688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677-4663-9396-01D6A8D4214B}"/>
                </c:ext>
              </c:extLst>
            </c:dLbl>
            <c:dLbl>
              <c:idx val="9"/>
              <c:layout>
                <c:manualLayout>
                  <c:x val="-9.75352049340768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677-4663-9396-01D6A8D4214B}"/>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ludność!$B$19:$B$28</c:f>
              <c:strCache>
                <c:ptCount val="10"/>
                <c:pt idx="0">
                  <c:v>LOF</c:v>
                </c:pt>
                <c:pt idx="1">
                  <c:v>Lublin</c:v>
                </c:pt>
                <c:pt idx="2">
                  <c:v>ROF</c:v>
                </c:pt>
                <c:pt idx="3">
                  <c:v>Rzeszów</c:v>
                </c:pt>
                <c:pt idx="4">
                  <c:v>BOF</c:v>
                </c:pt>
                <c:pt idx="5">
                  <c:v>Białystok</c:v>
                </c:pt>
                <c:pt idx="6">
                  <c:v>KOF</c:v>
                </c:pt>
                <c:pt idx="7">
                  <c:v>Kielce</c:v>
                </c:pt>
                <c:pt idx="8">
                  <c:v>MOF Olsztyna</c:v>
                </c:pt>
                <c:pt idx="9">
                  <c:v>Olsztyn</c:v>
                </c:pt>
              </c:strCache>
            </c:strRef>
          </c:cat>
          <c:val>
            <c:numRef>
              <c:f>ludność!$C$19:$C$28</c:f>
              <c:numCache>
                <c:formatCode>#,##0</c:formatCode>
                <c:ptCount val="10"/>
                <c:pt idx="0">
                  <c:v>545237</c:v>
                </c:pt>
                <c:pt idx="1">
                  <c:v>343598</c:v>
                </c:pt>
                <c:pt idx="2">
                  <c:v>356331</c:v>
                </c:pt>
                <c:pt idx="3">
                  <c:v>183108</c:v>
                </c:pt>
                <c:pt idx="4">
                  <c:v>412697</c:v>
                </c:pt>
                <c:pt idx="5">
                  <c:v>295282</c:v>
                </c:pt>
                <c:pt idx="6">
                  <c:v>324596</c:v>
                </c:pt>
                <c:pt idx="7">
                  <c:v>199870</c:v>
                </c:pt>
                <c:pt idx="8">
                  <c:v>232267</c:v>
                </c:pt>
                <c:pt idx="9">
                  <c:v>174675</c:v>
                </c:pt>
              </c:numCache>
            </c:numRef>
          </c:val>
          <c:extLst>
            <c:ext xmlns:c16="http://schemas.microsoft.com/office/drawing/2014/chart" uri="{C3380CC4-5D6E-409C-BE32-E72D297353CC}">
              <c16:uniqueId val="{0000000A-0677-4663-9396-01D6A8D4214B}"/>
            </c:ext>
          </c:extLst>
        </c:ser>
        <c:ser>
          <c:idx val="1"/>
          <c:order val="1"/>
          <c:tx>
            <c:strRef>
              <c:f>ludność!$D$18</c:f>
              <c:strCache>
                <c:ptCount val="1"/>
                <c:pt idx="0">
                  <c:v>2019</c:v>
                </c:pt>
              </c:strCache>
            </c:strRef>
          </c:tx>
          <c:spPr>
            <a:solidFill>
              <a:schemeClr val="accent2"/>
            </a:solidFill>
            <a:ln>
              <a:noFill/>
            </a:ln>
            <a:effectLst/>
            <a:sp3d/>
          </c:spPr>
          <c:invertIfNegative val="0"/>
          <c:dLbls>
            <c:dLbl>
              <c:idx val="0"/>
              <c:layout>
                <c:manualLayout>
                  <c:x val="-0.10266863677271255"/>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677-4663-9396-01D6A8D4214B}"/>
                </c:ext>
              </c:extLst>
            </c:dLbl>
            <c:dLbl>
              <c:idx val="1"/>
              <c:layout>
                <c:manualLayout>
                  <c:x val="-9.75352049340768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677-4663-9396-01D6A8D4214B}"/>
                </c:ext>
              </c:extLst>
            </c:dLbl>
            <c:dLbl>
              <c:idx val="2"/>
              <c:layout>
                <c:manualLayout>
                  <c:x val="-9.75352049340768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677-4663-9396-01D6A8D4214B}"/>
                </c:ext>
              </c:extLst>
            </c:dLbl>
            <c:dLbl>
              <c:idx val="3"/>
              <c:layout>
                <c:manualLayout>
                  <c:x val="-0.10010192085339464"/>
                  <c:y val="-2.78152724243112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677-4663-9396-01D6A8D4214B}"/>
                </c:ext>
              </c:extLst>
            </c:dLbl>
            <c:dLbl>
              <c:idx val="4"/>
              <c:layout>
                <c:manualLayout>
                  <c:x val="-9.4968489014759114E-2"/>
                  <c:y val="-2.78152724243122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677-4663-9396-01D6A8D4214B}"/>
                </c:ext>
              </c:extLst>
            </c:dLbl>
            <c:dLbl>
              <c:idx val="5"/>
              <c:layout>
                <c:manualLayout>
                  <c:x val="-9.4968489014759017E-2"/>
                  <c:y val="-2.7815272424311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677-4663-9396-01D6A8D4214B}"/>
                </c:ext>
              </c:extLst>
            </c:dLbl>
            <c:dLbl>
              <c:idx val="6"/>
              <c:layout>
                <c:manualLayout>
                  <c:x val="-0.10780206861134808"/>
                  <c:y val="-2.7815272424311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677-4663-9396-01D6A8D4214B}"/>
                </c:ext>
              </c:extLst>
            </c:dLbl>
            <c:dLbl>
              <c:idx val="7"/>
              <c:layout>
                <c:manualLayout>
                  <c:x val="-9.753520493407683E-2"/>
                  <c:y val="-5.563054484862300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677-4663-9396-01D6A8D4214B}"/>
                </c:ext>
              </c:extLst>
            </c:dLbl>
            <c:dLbl>
              <c:idx val="8"/>
              <c:layout>
                <c:manualLayout>
                  <c:x val="-0.10010192085339469"/>
                  <c:y val="-5.563054484862300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0677-4663-9396-01D6A8D4214B}"/>
                </c:ext>
              </c:extLst>
            </c:dLbl>
            <c:dLbl>
              <c:idx val="9"/>
              <c:layout>
                <c:manualLayout>
                  <c:x val="-9.4968489014759072E-2"/>
                  <c:y val="-2.78152724243112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0677-4663-9396-01D6A8D4214B}"/>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ludność!$B$19:$B$28</c:f>
              <c:strCache>
                <c:ptCount val="10"/>
                <c:pt idx="0">
                  <c:v>LOF</c:v>
                </c:pt>
                <c:pt idx="1">
                  <c:v>Lublin</c:v>
                </c:pt>
                <c:pt idx="2">
                  <c:v>ROF</c:v>
                </c:pt>
                <c:pt idx="3">
                  <c:v>Rzeszów</c:v>
                </c:pt>
                <c:pt idx="4">
                  <c:v>BOF</c:v>
                </c:pt>
                <c:pt idx="5">
                  <c:v>Białystok</c:v>
                </c:pt>
                <c:pt idx="6">
                  <c:v>KOF</c:v>
                </c:pt>
                <c:pt idx="7">
                  <c:v>Kielce</c:v>
                </c:pt>
                <c:pt idx="8">
                  <c:v>MOF Olsztyna</c:v>
                </c:pt>
                <c:pt idx="9">
                  <c:v>Olsztyn</c:v>
                </c:pt>
              </c:strCache>
            </c:strRef>
          </c:cat>
          <c:val>
            <c:numRef>
              <c:f>ludność!$D$19:$D$28</c:f>
              <c:numCache>
                <c:formatCode>#,##0</c:formatCode>
                <c:ptCount val="10"/>
                <c:pt idx="0">
                  <c:v>548003</c:v>
                </c:pt>
                <c:pt idx="1">
                  <c:v>339784</c:v>
                </c:pt>
                <c:pt idx="2">
                  <c:v>373890</c:v>
                </c:pt>
                <c:pt idx="3">
                  <c:v>196208</c:v>
                </c:pt>
                <c:pt idx="4">
                  <c:v>421217</c:v>
                </c:pt>
                <c:pt idx="5">
                  <c:v>297554</c:v>
                </c:pt>
                <c:pt idx="6">
                  <c:v>339357</c:v>
                </c:pt>
                <c:pt idx="7">
                  <c:v>194852</c:v>
                </c:pt>
                <c:pt idx="8">
                  <c:v>235373</c:v>
                </c:pt>
                <c:pt idx="9">
                  <c:v>171979</c:v>
                </c:pt>
              </c:numCache>
            </c:numRef>
          </c:val>
          <c:extLst>
            <c:ext xmlns:c16="http://schemas.microsoft.com/office/drawing/2014/chart" uri="{C3380CC4-5D6E-409C-BE32-E72D297353CC}">
              <c16:uniqueId val="{00000015-0677-4663-9396-01D6A8D4214B}"/>
            </c:ext>
          </c:extLst>
        </c:ser>
        <c:dLbls>
          <c:showLegendKey val="0"/>
          <c:showVal val="0"/>
          <c:showCatName val="0"/>
          <c:showSerName val="0"/>
          <c:showPercent val="0"/>
          <c:showBubbleSize val="0"/>
        </c:dLbls>
        <c:gapWidth val="150"/>
        <c:shape val="box"/>
        <c:axId val="433398048"/>
        <c:axId val="433395752"/>
        <c:axId val="0"/>
      </c:bar3DChart>
      <c:catAx>
        <c:axId val="43339804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33395752"/>
        <c:crosses val="autoZero"/>
        <c:auto val="1"/>
        <c:lblAlgn val="ctr"/>
        <c:lblOffset val="100"/>
        <c:noMultiLvlLbl val="0"/>
      </c:catAx>
      <c:valAx>
        <c:axId val="4333957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33398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385316156118671E-2"/>
          <c:y val="4.3010752688172046E-2"/>
          <c:w val="0.92061468384388134"/>
          <c:h val="0.80811970351213425"/>
        </c:manualLayout>
      </c:layout>
      <c:lineChart>
        <c:grouping val="standard"/>
        <c:varyColors val="0"/>
        <c:ser>
          <c:idx val="0"/>
          <c:order val="0"/>
          <c:tx>
            <c:strRef>
              <c:f>TABLICA!$B$117</c:f>
              <c:strCache>
                <c:ptCount val="1"/>
                <c:pt idx="0">
                  <c:v>Olsztyn</c:v>
                </c:pt>
              </c:strCache>
            </c:strRef>
          </c:tx>
          <c:spPr>
            <a:ln w="28575" cap="rnd">
              <a:solidFill>
                <a:schemeClr val="accent1"/>
              </a:solidFill>
              <a:round/>
            </a:ln>
            <a:effectLst/>
          </c:spPr>
          <c:marker>
            <c:symbol val="none"/>
          </c:marker>
          <c:dLbls>
            <c:dLbl>
              <c:idx val="0"/>
              <c:layout>
                <c:manualLayout>
                  <c:x val="-6.4448736967145967E-2"/>
                  <c:y val="-2.34604105571847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7FD-435B-A7E0-4F697C8F5C51}"/>
                </c:ext>
              </c:extLst>
            </c:dLbl>
            <c:dLbl>
              <c:idx val="1"/>
              <c:layout>
                <c:manualLayout>
                  <c:x val="-1.0311797914743449E-2"/>
                  <c:y val="-1.17302052785924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7FD-435B-A7E0-4F697C8F5C51}"/>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TABLICA!$C$116:$D$116</c:f>
              <c:numCache>
                <c:formatCode>General</c:formatCode>
                <c:ptCount val="2"/>
                <c:pt idx="0">
                  <c:v>2013</c:v>
                </c:pt>
                <c:pt idx="1">
                  <c:v>2019</c:v>
                </c:pt>
              </c:numCache>
            </c:numRef>
          </c:cat>
          <c:val>
            <c:numRef>
              <c:f>TABLICA!$C$117:$D$117</c:f>
              <c:numCache>
                <c:formatCode>0.0</c:formatCode>
                <c:ptCount val="2"/>
                <c:pt idx="0">
                  <c:v>15.6</c:v>
                </c:pt>
                <c:pt idx="1">
                  <c:v>8.1</c:v>
                </c:pt>
              </c:numCache>
            </c:numRef>
          </c:val>
          <c:smooth val="0"/>
          <c:extLst>
            <c:ext xmlns:c16="http://schemas.microsoft.com/office/drawing/2014/chart" uri="{C3380CC4-5D6E-409C-BE32-E72D297353CC}">
              <c16:uniqueId val="{00000002-D7FD-435B-A7E0-4F697C8F5C51}"/>
            </c:ext>
          </c:extLst>
        </c:ser>
        <c:ser>
          <c:idx val="1"/>
          <c:order val="1"/>
          <c:tx>
            <c:strRef>
              <c:f>TABLICA!$B$118</c:f>
              <c:strCache>
                <c:ptCount val="1"/>
                <c:pt idx="0">
                  <c:v>Kielce </c:v>
                </c:pt>
              </c:strCache>
            </c:strRef>
          </c:tx>
          <c:spPr>
            <a:ln w="28575" cap="rnd">
              <a:solidFill>
                <a:schemeClr val="accent2"/>
              </a:solidFill>
              <a:round/>
            </a:ln>
            <a:effectLst/>
          </c:spPr>
          <c:marker>
            <c:symbol val="none"/>
          </c:marker>
          <c:dLbls>
            <c:dLbl>
              <c:idx val="0"/>
              <c:layout>
                <c:manualLayout>
                  <c:x val="-6.4448736967145967E-2"/>
                  <c:y val="-1.56402737047897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7FD-435B-A7E0-4F697C8F5C51}"/>
                </c:ext>
              </c:extLst>
            </c:dLbl>
            <c:dLbl>
              <c:idx val="1"/>
              <c:layout>
                <c:manualLayout>
                  <c:x val="-1.546769687211512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7FD-435B-A7E0-4F697C8F5C51}"/>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TABLICA!$C$116:$D$116</c:f>
              <c:numCache>
                <c:formatCode>General</c:formatCode>
                <c:ptCount val="2"/>
                <c:pt idx="0">
                  <c:v>2013</c:v>
                </c:pt>
                <c:pt idx="1">
                  <c:v>2019</c:v>
                </c:pt>
              </c:numCache>
            </c:numRef>
          </c:cat>
          <c:val>
            <c:numRef>
              <c:f>TABLICA!$C$118:$D$118</c:f>
              <c:numCache>
                <c:formatCode>0.0</c:formatCode>
                <c:ptCount val="2"/>
                <c:pt idx="0">
                  <c:v>20</c:v>
                </c:pt>
                <c:pt idx="1">
                  <c:v>10.9</c:v>
                </c:pt>
              </c:numCache>
            </c:numRef>
          </c:val>
          <c:smooth val="0"/>
          <c:extLst>
            <c:ext xmlns:c16="http://schemas.microsoft.com/office/drawing/2014/chart" uri="{C3380CC4-5D6E-409C-BE32-E72D297353CC}">
              <c16:uniqueId val="{00000005-D7FD-435B-A7E0-4F697C8F5C51}"/>
            </c:ext>
          </c:extLst>
        </c:ser>
        <c:ser>
          <c:idx val="2"/>
          <c:order val="2"/>
          <c:tx>
            <c:strRef>
              <c:f>TABLICA!$B$119</c:f>
              <c:strCache>
                <c:ptCount val="1"/>
                <c:pt idx="0">
                  <c:v>Białystok</c:v>
                </c:pt>
              </c:strCache>
            </c:strRef>
          </c:tx>
          <c:spPr>
            <a:ln w="28575" cap="rnd">
              <a:solidFill>
                <a:schemeClr val="accent3"/>
              </a:solidFill>
              <a:round/>
            </a:ln>
            <a:effectLst/>
          </c:spPr>
          <c:marker>
            <c:symbol val="none"/>
          </c:marker>
          <c:dLbls>
            <c:dLbl>
              <c:idx val="0"/>
              <c:layout>
                <c:manualLayout>
                  <c:x val="-6.7026686445831804E-2"/>
                  <c:y val="-1.17302052785923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7FD-435B-A7E0-4F697C8F5C51}"/>
                </c:ext>
              </c:extLst>
            </c:dLbl>
            <c:dLbl>
              <c:idx val="1"/>
              <c:layout>
                <c:manualLayout>
                  <c:x val="-7.7338484360576099E-3"/>
                  <c:y val="1.17302052785923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7FD-435B-A7E0-4F697C8F5C51}"/>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TABLICA!$C$116:$D$116</c:f>
              <c:numCache>
                <c:formatCode>General</c:formatCode>
                <c:ptCount val="2"/>
                <c:pt idx="0">
                  <c:v>2013</c:v>
                </c:pt>
                <c:pt idx="1">
                  <c:v>2019</c:v>
                </c:pt>
              </c:numCache>
            </c:numRef>
          </c:cat>
          <c:val>
            <c:numRef>
              <c:f>TABLICA!$C$119:$D$119</c:f>
              <c:numCache>
                <c:formatCode>0.0</c:formatCode>
                <c:ptCount val="2"/>
                <c:pt idx="0">
                  <c:v>14</c:v>
                </c:pt>
                <c:pt idx="1">
                  <c:v>5.8</c:v>
                </c:pt>
              </c:numCache>
            </c:numRef>
          </c:val>
          <c:smooth val="0"/>
          <c:extLst>
            <c:ext xmlns:c16="http://schemas.microsoft.com/office/drawing/2014/chart" uri="{C3380CC4-5D6E-409C-BE32-E72D297353CC}">
              <c16:uniqueId val="{00000008-D7FD-435B-A7E0-4F697C8F5C51}"/>
            </c:ext>
          </c:extLst>
        </c:ser>
        <c:ser>
          <c:idx val="3"/>
          <c:order val="3"/>
          <c:tx>
            <c:strRef>
              <c:f>TABLICA!$B$120</c:f>
              <c:strCache>
                <c:ptCount val="1"/>
                <c:pt idx="0">
                  <c:v>Rzeszów</c:v>
                </c:pt>
              </c:strCache>
            </c:strRef>
          </c:tx>
          <c:spPr>
            <a:ln w="28575" cap="rnd">
              <a:solidFill>
                <a:schemeClr val="accent4"/>
              </a:solidFill>
              <a:round/>
            </a:ln>
            <a:effectLst/>
          </c:spPr>
          <c:marker>
            <c:symbol val="none"/>
          </c:marker>
          <c:dLbls>
            <c:dLbl>
              <c:idx val="0"/>
              <c:layout>
                <c:manualLayout>
                  <c:x val="-6.4448736967145967E-2"/>
                  <c:y val="2.34604105571848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7FD-435B-A7E0-4F697C8F5C51}"/>
                </c:ext>
              </c:extLst>
            </c:dLbl>
            <c:dLbl>
              <c:idx val="1"/>
              <c:layout>
                <c:manualLayout>
                  <c:x val="-1.9275782326665054E-2"/>
                  <c:y val="4.2285602308761099E-2"/>
                </c:manualLayout>
              </c:layout>
              <c:showLegendKey val="0"/>
              <c:showVal val="1"/>
              <c:showCatName val="0"/>
              <c:showSerName val="0"/>
              <c:showPercent val="0"/>
              <c:showBubbleSize val="0"/>
              <c:extLst>
                <c:ext xmlns:c15="http://schemas.microsoft.com/office/drawing/2012/chart" uri="{CE6537A1-D6FC-4f65-9D91-7224C49458BB}">
                  <c15:layout>
                    <c:manualLayout>
                      <c:w val="6.3096582418064429E-2"/>
                      <c:h val="5.9822211137634945E-2"/>
                    </c:manualLayout>
                  </c15:layout>
                </c:ext>
                <c:ext xmlns:c16="http://schemas.microsoft.com/office/drawing/2014/chart" uri="{C3380CC4-5D6E-409C-BE32-E72D297353CC}">
                  <c16:uniqueId val="{0000000A-D7FD-435B-A7E0-4F697C8F5C51}"/>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TABLICA!$C$116:$D$116</c:f>
              <c:numCache>
                <c:formatCode>General</c:formatCode>
                <c:ptCount val="2"/>
                <c:pt idx="0">
                  <c:v>2013</c:v>
                </c:pt>
                <c:pt idx="1">
                  <c:v>2019</c:v>
                </c:pt>
              </c:numCache>
            </c:numRef>
          </c:cat>
          <c:val>
            <c:numRef>
              <c:f>TABLICA!$C$120:$D$120</c:f>
              <c:numCache>
                <c:formatCode>0.0</c:formatCode>
                <c:ptCount val="2"/>
                <c:pt idx="0">
                  <c:v>12</c:v>
                </c:pt>
                <c:pt idx="1">
                  <c:v>5.2</c:v>
                </c:pt>
              </c:numCache>
            </c:numRef>
          </c:val>
          <c:smooth val="0"/>
          <c:extLst>
            <c:ext xmlns:c16="http://schemas.microsoft.com/office/drawing/2014/chart" uri="{C3380CC4-5D6E-409C-BE32-E72D297353CC}">
              <c16:uniqueId val="{0000000B-D7FD-435B-A7E0-4F697C8F5C51}"/>
            </c:ext>
          </c:extLst>
        </c:ser>
        <c:ser>
          <c:idx val="4"/>
          <c:order val="4"/>
          <c:tx>
            <c:strRef>
              <c:f>TABLICA!$B$121</c:f>
              <c:strCache>
                <c:ptCount val="1"/>
                <c:pt idx="0">
                  <c:v>Lublin</c:v>
                </c:pt>
              </c:strCache>
            </c:strRef>
          </c:tx>
          <c:spPr>
            <a:ln w="28575" cap="rnd">
              <a:solidFill>
                <a:schemeClr val="accent5"/>
              </a:solidFill>
              <a:round/>
            </a:ln>
            <a:effectLst/>
          </c:spPr>
          <c:marker>
            <c:symbol val="none"/>
          </c:marker>
          <c:dLbls>
            <c:dLbl>
              <c:idx val="0"/>
              <c:layout>
                <c:manualLayout>
                  <c:x val="-6.7026686445831804E-2"/>
                  <c:y val="-7.82013685239498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7FD-435B-A7E0-4F697C8F5C51}"/>
                </c:ext>
              </c:extLst>
            </c:dLbl>
            <c:dLbl>
              <c:idx val="1"/>
              <c:layout>
                <c:manualLayout>
                  <c:x val="-1.2889747393429192E-2"/>
                  <c:y val="7.82013685239498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7FD-435B-A7E0-4F697C8F5C51}"/>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TABLICA!$C$116:$D$116</c:f>
              <c:numCache>
                <c:formatCode>General</c:formatCode>
                <c:ptCount val="2"/>
                <c:pt idx="0">
                  <c:v>2013</c:v>
                </c:pt>
                <c:pt idx="1">
                  <c:v>2019</c:v>
                </c:pt>
              </c:numCache>
            </c:numRef>
          </c:cat>
          <c:val>
            <c:numRef>
              <c:f>TABLICA!$C$121:$D$121</c:f>
              <c:numCache>
                <c:formatCode>0.0</c:formatCode>
                <c:ptCount val="2"/>
                <c:pt idx="0">
                  <c:v>12.7</c:v>
                </c:pt>
                <c:pt idx="1">
                  <c:v>7.2</c:v>
                </c:pt>
              </c:numCache>
            </c:numRef>
          </c:val>
          <c:smooth val="0"/>
          <c:extLst>
            <c:ext xmlns:c16="http://schemas.microsoft.com/office/drawing/2014/chart" uri="{C3380CC4-5D6E-409C-BE32-E72D297353CC}">
              <c16:uniqueId val="{0000000E-D7FD-435B-A7E0-4F697C8F5C51}"/>
            </c:ext>
          </c:extLst>
        </c:ser>
        <c:dLbls>
          <c:showLegendKey val="0"/>
          <c:showVal val="0"/>
          <c:showCatName val="0"/>
          <c:showSerName val="0"/>
          <c:showPercent val="0"/>
          <c:showBubbleSize val="0"/>
        </c:dLbls>
        <c:smooth val="0"/>
        <c:axId val="315609592"/>
        <c:axId val="315612872"/>
      </c:lineChart>
      <c:catAx>
        <c:axId val="315609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15612872"/>
        <c:crosses val="autoZero"/>
        <c:auto val="1"/>
        <c:lblAlgn val="ctr"/>
        <c:lblOffset val="100"/>
        <c:noMultiLvlLbl val="0"/>
      </c:catAx>
      <c:valAx>
        <c:axId val="3156128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15609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'Zmiana 2014-2018'!$C$20</c:f>
              <c:strCache>
                <c:ptCount val="1"/>
                <c:pt idx="0">
                  <c:v>Wzrost w stosunku do roku 2014</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'Zmiana 2014-2018'!$A$21:$A$25</c:f>
              <c:numCache>
                <c:formatCode>General</c:formatCode>
                <c:ptCount val="5"/>
                <c:pt idx="0">
                  <c:v>2014</c:v>
                </c:pt>
                <c:pt idx="1">
                  <c:v>2015</c:v>
                </c:pt>
                <c:pt idx="2">
                  <c:v>2016</c:v>
                </c:pt>
                <c:pt idx="3">
                  <c:v>2017</c:v>
                </c:pt>
                <c:pt idx="4">
                  <c:v>2018</c:v>
                </c:pt>
              </c:numCache>
            </c:numRef>
          </c:cat>
          <c:val>
            <c:numRef>
              <c:f>'Zmiana 2014-2018'!$C$21:$C$25</c:f>
              <c:numCache>
                <c:formatCode>0%</c:formatCode>
                <c:ptCount val="5"/>
                <c:pt idx="1">
                  <c:v>1.9785855623085657E-2</c:v>
                </c:pt>
                <c:pt idx="2">
                  <c:v>0.12551818292266126</c:v>
                </c:pt>
                <c:pt idx="3">
                  <c:v>0.22046171316705854</c:v>
                </c:pt>
                <c:pt idx="4">
                  <c:v>0.22589857824234882</c:v>
                </c:pt>
              </c:numCache>
            </c:numRef>
          </c:val>
          <c:extLst>
            <c:ext xmlns:c16="http://schemas.microsoft.com/office/drawing/2014/chart" uri="{C3380CC4-5D6E-409C-BE32-E72D297353CC}">
              <c16:uniqueId val="{00000000-4549-4A36-B789-1D662CDC80F3}"/>
            </c:ext>
          </c:extLst>
        </c:ser>
        <c:dLbls>
          <c:showLegendKey val="0"/>
          <c:showVal val="0"/>
          <c:showCatName val="0"/>
          <c:showSerName val="0"/>
          <c:showPercent val="0"/>
          <c:showBubbleSize val="0"/>
        </c:dLbls>
        <c:gapWidth val="150"/>
        <c:axId val="473829088"/>
        <c:axId val="473834336"/>
      </c:barChart>
      <c:lineChart>
        <c:grouping val="standard"/>
        <c:varyColors val="0"/>
        <c:ser>
          <c:idx val="1"/>
          <c:order val="1"/>
          <c:tx>
            <c:strRef>
              <c:f>'Zmiana 2014-2018'!$D$20</c:f>
              <c:strCache>
                <c:ptCount val="1"/>
                <c:pt idx="0">
                  <c:v>Wzrost rok do roku</c:v>
                </c:pt>
              </c:strCache>
            </c:strRef>
          </c:tx>
          <c:spPr>
            <a:ln w="28575" cap="rnd">
              <a:solidFill>
                <a:schemeClr val="accent2"/>
              </a:solidFill>
              <a:round/>
            </a:ln>
            <a:effectLst/>
          </c:spPr>
          <c:marker>
            <c:symbol val="none"/>
          </c:marker>
          <c:val>
            <c:numRef>
              <c:f>'Zmiana 2014-2018'!$D$21:$D$25</c:f>
              <c:numCache>
                <c:formatCode>0%</c:formatCode>
                <c:ptCount val="5"/>
                <c:pt idx="1">
                  <c:v>1.9785855623085657E-2</c:v>
                </c:pt>
                <c:pt idx="2">
                  <c:v>0.10368091174884331</c:v>
                </c:pt>
                <c:pt idx="3">
                  <c:v>8.4355394417400698E-2</c:v>
                </c:pt>
                <c:pt idx="4">
                  <c:v>4.4547608635603364E-3</c:v>
                </c:pt>
              </c:numCache>
            </c:numRef>
          </c:val>
          <c:smooth val="0"/>
          <c:extLst>
            <c:ext xmlns:c16="http://schemas.microsoft.com/office/drawing/2014/chart" uri="{C3380CC4-5D6E-409C-BE32-E72D297353CC}">
              <c16:uniqueId val="{00000001-4549-4A36-B789-1D662CDC80F3}"/>
            </c:ext>
          </c:extLst>
        </c:ser>
        <c:dLbls>
          <c:showLegendKey val="0"/>
          <c:showVal val="0"/>
          <c:showCatName val="0"/>
          <c:showSerName val="0"/>
          <c:showPercent val="0"/>
          <c:showBubbleSize val="0"/>
        </c:dLbls>
        <c:marker val="1"/>
        <c:smooth val="0"/>
        <c:axId val="473835648"/>
        <c:axId val="473833680"/>
      </c:lineChart>
      <c:catAx>
        <c:axId val="473829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73834336"/>
        <c:crossesAt val="0"/>
        <c:auto val="1"/>
        <c:lblAlgn val="ctr"/>
        <c:lblOffset val="100"/>
        <c:noMultiLvlLbl val="0"/>
      </c:catAx>
      <c:valAx>
        <c:axId val="4738343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73829088"/>
        <c:crosses val="autoZero"/>
        <c:crossBetween val="between"/>
      </c:valAx>
      <c:valAx>
        <c:axId val="47383368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73835648"/>
        <c:crosses val="max"/>
        <c:crossBetween val="between"/>
      </c:valAx>
      <c:catAx>
        <c:axId val="473835648"/>
        <c:scaling>
          <c:orientation val="minMax"/>
        </c:scaling>
        <c:delete val="1"/>
        <c:axPos val="b"/>
        <c:majorTickMark val="none"/>
        <c:minorTickMark val="none"/>
        <c:tickLblPos val="nextTo"/>
        <c:crossAx val="4738336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836424244821461E-2"/>
          <c:y val="0.18396423248882265"/>
          <c:w val="0.873448349702866"/>
          <c:h val="0.5413807104216295"/>
        </c:manualLayout>
      </c:layout>
      <c:barChart>
        <c:barDir val="col"/>
        <c:grouping val="clustered"/>
        <c:varyColors val="0"/>
        <c:ser>
          <c:idx val="0"/>
          <c:order val="0"/>
          <c:tx>
            <c:strRef>
              <c:f>pojazdy!$S$66</c:f>
              <c:strCache>
                <c:ptCount val="1"/>
                <c:pt idx="0">
                  <c:v>2013</c:v>
                </c:pt>
              </c:strCache>
            </c:strRef>
          </c:tx>
          <c:spPr>
            <a:solidFill>
              <a:schemeClr val="accent1"/>
            </a:solidFill>
            <a:ln>
              <a:noFill/>
            </a:ln>
            <a:effectLst/>
          </c:spPr>
          <c:invertIfNegative val="0"/>
          <c:dLbls>
            <c:dLbl>
              <c:idx val="0"/>
              <c:layout>
                <c:manualLayout>
                  <c:x val="-3.4644032565390769E-3"/>
                  <c:y val="0.1422490817559876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CB7-4C88-B1D8-4432C4CB9F96}"/>
                </c:ext>
              </c:extLst>
            </c:dLbl>
            <c:dLbl>
              <c:idx val="1"/>
              <c:layout>
                <c:manualLayout>
                  <c:x val="-4.151009791712984E-3"/>
                  <c:y val="0.1422490817559877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CB7-4C88-B1D8-4432C4CB9F96}"/>
                </c:ext>
              </c:extLst>
            </c:dLbl>
            <c:dLbl>
              <c:idx val="2"/>
              <c:layout>
                <c:manualLayout>
                  <c:x val="-3.4644032565390613E-3"/>
                  <c:y val="0.1409174225800016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CB7-4C88-B1D8-4432C4CB9F96}"/>
                </c:ext>
              </c:extLst>
            </c:dLbl>
            <c:dLbl>
              <c:idx val="3"/>
              <c:layout>
                <c:manualLayout>
                  <c:x val="0"/>
                  <c:y val="0.134956170717110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CB7-4C88-B1D8-4432C4CB9F96}"/>
                </c:ext>
              </c:extLst>
            </c:dLbl>
            <c:dLbl>
              <c:idx val="4"/>
              <c:layout>
                <c:manualLayout>
                  <c:x val="0"/>
                  <c:y val="0.142249081755987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CB7-4C88-B1D8-4432C4CB9F96}"/>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pojazdy!$R$67:$R$71</c:f>
              <c:strCache>
                <c:ptCount val="5"/>
                <c:pt idx="0">
                  <c:v>Olsztyn</c:v>
                </c:pt>
                <c:pt idx="1">
                  <c:v>Kielce</c:v>
                </c:pt>
                <c:pt idx="2">
                  <c:v>Białystok</c:v>
                </c:pt>
                <c:pt idx="3">
                  <c:v>Rzeszów</c:v>
                </c:pt>
                <c:pt idx="4">
                  <c:v>Lublin</c:v>
                </c:pt>
              </c:strCache>
            </c:strRef>
          </c:cat>
          <c:val>
            <c:numRef>
              <c:f>pojazdy!$S$67:$S$71</c:f>
              <c:numCache>
                <c:formatCode>#,##0</c:formatCode>
                <c:ptCount val="5"/>
                <c:pt idx="0">
                  <c:v>568</c:v>
                </c:pt>
                <c:pt idx="1">
                  <c:v>553</c:v>
                </c:pt>
                <c:pt idx="2">
                  <c:v>468</c:v>
                </c:pt>
                <c:pt idx="3">
                  <c:v>587</c:v>
                </c:pt>
                <c:pt idx="4">
                  <c:v>573</c:v>
                </c:pt>
              </c:numCache>
            </c:numRef>
          </c:val>
          <c:extLst>
            <c:ext xmlns:c16="http://schemas.microsoft.com/office/drawing/2014/chart" uri="{C3380CC4-5D6E-409C-BE32-E72D297353CC}">
              <c16:uniqueId val="{00000005-6CB7-4C88-B1D8-4432C4CB9F96}"/>
            </c:ext>
          </c:extLst>
        </c:ser>
        <c:ser>
          <c:idx val="1"/>
          <c:order val="1"/>
          <c:tx>
            <c:strRef>
              <c:f>pojazdy!$T$66</c:f>
              <c:strCache>
                <c:ptCount val="1"/>
                <c:pt idx="0">
                  <c:v>2019</c:v>
                </c:pt>
              </c:strCache>
            </c:strRef>
          </c:tx>
          <c:spPr>
            <a:solidFill>
              <a:schemeClr val="accent2"/>
            </a:solidFill>
            <a:ln>
              <a:noFill/>
            </a:ln>
            <a:effectLst/>
          </c:spPr>
          <c:invertIfNegative val="0"/>
          <c:dLbls>
            <c:dLbl>
              <c:idx val="0"/>
              <c:layout>
                <c:manualLayout>
                  <c:x val="0"/>
                  <c:y val="0.128994918854219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CB7-4C88-B1D8-4432C4CB9F96}"/>
                </c:ext>
              </c:extLst>
            </c:dLbl>
            <c:dLbl>
              <c:idx val="1"/>
              <c:layout>
                <c:manualLayout>
                  <c:x val="0"/>
                  <c:y val="0.133624511541124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CB7-4C88-B1D8-4432C4CB9F96}"/>
                </c:ext>
              </c:extLst>
            </c:dLbl>
            <c:dLbl>
              <c:idx val="2"/>
              <c:layout>
                <c:manualLayout>
                  <c:x val="-3.4644032565391246E-3"/>
                  <c:y val="0.1395857634040156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CB7-4C88-B1D8-4432C4CB9F96}"/>
                </c:ext>
              </c:extLst>
            </c:dLbl>
            <c:dLbl>
              <c:idx val="3"/>
              <c:layout>
                <c:manualLayout>
                  <c:x val="0"/>
                  <c:y val="0.134956170717110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CB7-4C88-B1D8-4432C4CB9F96}"/>
                </c:ext>
              </c:extLst>
            </c:dLbl>
            <c:dLbl>
              <c:idx val="4"/>
              <c:layout>
                <c:manualLayout>
                  <c:x val="-2.7777967213651385E-3"/>
                  <c:y val="0.128994918854219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CB7-4C88-B1D8-4432C4CB9F96}"/>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pojazdy!$R$67:$R$71</c:f>
              <c:strCache>
                <c:ptCount val="5"/>
                <c:pt idx="0">
                  <c:v>Olsztyn</c:v>
                </c:pt>
                <c:pt idx="1">
                  <c:v>Kielce</c:v>
                </c:pt>
                <c:pt idx="2">
                  <c:v>Białystok</c:v>
                </c:pt>
                <c:pt idx="3">
                  <c:v>Rzeszów</c:v>
                </c:pt>
                <c:pt idx="4">
                  <c:v>Lublin</c:v>
                </c:pt>
              </c:strCache>
            </c:strRef>
          </c:cat>
          <c:val>
            <c:numRef>
              <c:f>pojazdy!$T$67:$T$71</c:f>
              <c:numCache>
                <c:formatCode>#,##0</c:formatCode>
                <c:ptCount val="5"/>
                <c:pt idx="0">
                  <c:v>720</c:v>
                </c:pt>
                <c:pt idx="1">
                  <c:v>717</c:v>
                </c:pt>
                <c:pt idx="2">
                  <c:v>602</c:v>
                </c:pt>
                <c:pt idx="3">
                  <c:v>754</c:v>
                </c:pt>
                <c:pt idx="4">
                  <c:v>729</c:v>
                </c:pt>
              </c:numCache>
            </c:numRef>
          </c:val>
          <c:extLst>
            <c:ext xmlns:c16="http://schemas.microsoft.com/office/drawing/2014/chart" uri="{C3380CC4-5D6E-409C-BE32-E72D297353CC}">
              <c16:uniqueId val="{0000000B-6CB7-4C88-B1D8-4432C4CB9F96}"/>
            </c:ext>
          </c:extLst>
        </c:ser>
        <c:dLbls>
          <c:showLegendKey val="0"/>
          <c:showVal val="0"/>
          <c:showCatName val="0"/>
          <c:showSerName val="0"/>
          <c:showPercent val="0"/>
          <c:showBubbleSize val="0"/>
        </c:dLbls>
        <c:gapWidth val="219"/>
        <c:overlap val="-27"/>
        <c:axId val="431041072"/>
        <c:axId val="431045992"/>
      </c:barChart>
      <c:catAx>
        <c:axId val="431041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31045992"/>
        <c:crosses val="autoZero"/>
        <c:auto val="1"/>
        <c:lblAlgn val="ctr"/>
        <c:lblOffset val="100"/>
        <c:noMultiLvlLbl val="0"/>
      </c:catAx>
      <c:valAx>
        <c:axId val="4310459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31041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333391383649214E-2"/>
          <c:y val="0.21536663745252702"/>
          <c:w val="0.86989993632190543"/>
          <c:h val="0.51543449706823452"/>
        </c:manualLayout>
      </c:layout>
      <c:barChart>
        <c:barDir val="col"/>
        <c:grouping val="clustered"/>
        <c:varyColors val="0"/>
        <c:ser>
          <c:idx val="0"/>
          <c:order val="0"/>
          <c:tx>
            <c:strRef>
              <c:f>pojazdy!$D$100</c:f>
              <c:strCache>
                <c:ptCount val="1"/>
                <c:pt idx="0">
                  <c:v>2013</c:v>
                </c:pt>
              </c:strCache>
            </c:strRef>
          </c:tx>
          <c:spPr>
            <a:solidFill>
              <a:schemeClr val="accent1"/>
            </a:solidFill>
            <a:ln>
              <a:noFill/>
            </a:ln>
            <a:effectLst/>
          </c:spPr>
          <c:invertIfNegative val="0"/>
          <c:dLbls>
            <c:dLbl>
              <c:idx val="0"/>
              <c:layout>
                <c:manualLayout>
                  <c:x val="1.5476212685757883E-17"/>
                  <c:y val="0.152011059967197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E16-4EB4-A942-6544AEEEB250}"/>
                </c:ext>
              </c:extLst>
            </c:dLbl>
            <c:dLbl>
              <c:idx val="1"/>
              <c:layout>
                <c:manualLayout>
                  <c:x val="-2.7779070246644181E-3"/>
                  <c:y val="0.146168232038479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E16-4EB4-A942-6544AEEEB250}"/>
                </c:ext>
              </c:extLst>
            </c:dLbl>
            <c:spPr>
              <a:noFill/>
              <a:ln>
                <a:noFill/>
              </a:ln>
              <a:effectLst/>
            </c:spPr>
            <c:txPr>
              <a:bodyPr rot="-5400000" spcFirstLastPara="1" vertOverflow="ellipsis" wrap="square" anchor="ctr" anchorCtr="0"/>
              <a:lstStyle/>
              <a:p>
                <a:pPr algn="ct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pojazdy!$C$101:$C$102</c:f>
              <c:strCache>
                <c:ptCount val="2"/>
                <c:pt idx="0">
                  <c:v>pojazdy samochodowe</c:v>
                </c:pt>
                <c:pt idx="1">
                  <c:v>samochody osobowe</c:v>
                </c:pt>
              </c:strCache>
            </c:strRef>
          </c:cat>
          <c:val>
            <c:numRef>
              <c:f>pojazdy!$D$101:$D$102</c:f>
              <c:numCache>
                <c:formatCode>#,##0</c:formatCode>
                <c:ptCount val="2"/>
                <c:pt idx="0">
                  <c:v>568</c:v>
                </c:pt>
                <c:pt idx="1">
                  <c:v>437.5</c:v>
                </c:pt>
              </c:numCache>
            </c:numRef>
          </c:val>
          <c:extLst>
            <c:ext xmlns:c16="http://schemas.microsoft.com/office/drawing/2014/chart" uri="{C3380CC4-5D6E-409C-BE32-E72D297353CC}">
              <c16:uniqueId val="{00000002-9E16-4EB4-A942-6544AEEEB250}"/>
            </c:ext>
          </c:extLst>
        </c:ser>
        <c:ser>
          <c:idx val="1"/>
          <c:order val="1"/>
          <c:tx>
            <c:strRef>
              <c:f>pojazdy!$E$100</c:f>
              <c:strCache>
                <c:ptCount val="1"/>
                <c:pt idx="0">
                  <c:v>2014</c:v>
                </c:pt>
              </c:strCache>
            </c:strRef>
          </c:tx>
          <c:spPr>
            <a:solidFill>
              <a:schemeClr val="accent2"/>
            </a:solidFill>
            <a:ln>
              <a:noFill/>
            </a:ln>
            <a:effectLst/>
          </c:spPr>
          <c:invertIfNegative val="0"/>
          <c:dLbls>
            <c:dLbl>
              <c:idx val="0"/>
              <c:layout>
                <c:manualLayout>
                  <c:x val="2.7779070246642941E-3"/>
                  <c:y val="0.148594615857066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E16-4EB4-A942-6544AEEEB250}"/>
                </c:ext>
              </c:extLst>
            </c:dLbl>
            <c:dLbl>
              <c:idx val="1"/>
              <c:layout>
                <c:manualLayout>
                  <c:x val="0"/>
                  <c:y val="0.1469351607122729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E16-4EB4-A942-6544AEEEB250}"/>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pojazdy!$C$101:$C$102</c:f>
              <c:strCache>
                <c:ptCount val="2"/>
                <c:pt idx="0">
                  <c:v>pojazdy samochodowe</c:v>
                </c:pt>
                <c:pt idx="1">
                  <c:v>samochody osobowe</c:v>
                </c:pt>
              </c:strCache>
            </c:strRef>
          </c:cat>
          <c:val>
            <c:numRef>
              <c:f>pojazdy!$E$101:$E$102</c:f>
              <c:numCache>
                <c:formatCode>#,##0</c:formatCode>
                <c:ptCount val="2"/>
                <c:pt idx="0">
                  <c:v>587</c:v>
                </c:pt>
                <c:pt idx="1">
                  <c:v>452.3</c:v>
                </c:pt>
              </c:numCache>
            </c:numRef>
          </c:val>
          <c:extLst>
            <c:ext xmlns:c16="http://schemas.microsoft.com/office/drawing/2014/chart" uri="{C3380CC4-5D6E-409C-BE32-E72D297353CC}">
              <c16:uniqueId val="{00000005-9E16-4EB4-A942-6544AEEEB250}"/>
            </c:ext>
          </c:extLst>
        </c:ser>
        <c:ser>
          <c:idx val="2"/>
          <c:order val="2"/>
          <c:tx>
            <c:strRef>
              <c:f>pojazdy!$F$100</c:f>
              <c:strCache>
                <c:ptCount val="1"/>
                <c:pt idx="0">
                  <c:v>2015</c:v>
                </c:pt>
              </c:strCache>
            </c:strRef>
          </c:tx>
          <c:spPr>
            <a:solidFill>
              <a:schemeClr val="accent3"/>
            </a:solidFill>
            <a:ln>
              <a:noFill/>
            </a:ln>
            <a:effectLst/>
          </c:spPr>
          <c:invertIfNegative val="0"/>
          <c:dLbls>
            <c:dLbl>
              <c:idx val="0"/>
              <c:layout>
                <c:manualLayout>
                  <c:x val="-3.0952425371515766E-17"/>
                  <c:y val="0.14859461585706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E16-4EB4-A942-6544AEEEB250}"/>
                </c:ext>
              </c:extLst>
            </c:dLbl>
            <c:dLbl>
              <c:idx val="1"/>
              <c:layout>
                <c:manualLayout>
                  <c:x val="0"/>
                  <c:y val="0.143518518518518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E16-4EB4-A942-6544AEEEB250}"/>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pojazdy!$C$101:$C$102</c:f>
              <c:strCache>
                <c:ptCount val="2"/>
                <c:pt idx="0">
                  <c:v>pojazdy samochodowe</c:v>
                </c:pt>
                <c:pt idx="1">
                  <c:v>samochody osobowe</c:v>
                </c:pt>
              </c:strCache>
            </c:strRef>
          </c:cat>
          <c:val>
            <c:numRef>
              <c:f>pojazdy!$F$101:$F$102</c:f>
              <c:numCache>
                <c:formatCode>#,##0</c:formatCode>
                <c:ptCount val="2"/>
                <c:pt idx="0">
                  <c:v>608</c:v>
                </c:pt>
                <c:pt idx="1">
                  <c:v>468.9</c:v>
                </c:pt>
              </c:numCache>
            </c:numRef>
          </c:val>
          <c:extLst>
            <c:ext xmlns:c16="http://schemas.microsoft.com/office/drawing/2014/chart" uri="{C3380CC4-5D6E-409C-BE32-E72D297353CC}">
              <c16:uniqueId val="{00000008-9E16-4EB4-A942-6544AEEEB250}"/>
            </c:ext>
          </c:extLst>
        </c:ser>
        <c:ser>
          <c:idx val="3"/>
          <c:order val="3"/>
          <c:tx>
            <c:strRef>
              <c:f>pojazdy!$G$100</c:f>
              <c:strCache>
                <c:ptCount val="1"/>
                <c:pt idx="0">
                  <c:v>2016</c:v>
                </c:pt>
              </c:strCache>
            </c:strRef>
          </c:tx>
          <c:spPr>
            <a:solidFill>
              <a:schemeClr val="accent4"/>
            </a:solidFill>
            <a:ln>
              <a:noFill/>
            </a:ln>
            <a:effectLst/>
          </c:spPr>
          <c:invertIfNegative val="0"/>
          <c:dLbls>
            <c:dLbl>
              <c:idx val="0"/>
              <c:layout>
                <c:manualLayout>
                  <c:x val="3.3766672294444763E-3"/>
                  <c:y val="0.140325404109762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E16-4EB4-A942-6544AEEEB250}"/>
                </c:ext>
              </c:extLst>
            </c:dLbl>
            <c:dLbl>
              <c:idx val="1"/>
              <c:layout>
                <c:manualLayout>
                  <c:x val="-1.0185067526415994E-16"/>
                  <c:y val="0.1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E16-4EB4-A942-6544AEEEB250}"/>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pojazdy!$C$101:$C$102</c:f>
              <c:strCache>
                <c:ptCount val="2"/>
                <c:pt idx="0">
                  <c:v>pojazdy samochodowe</c:v>
                </c:pt>
                <c:pt idx="1">
                  <c:v>samochody osobowe</c:v>
                </c:pt>
              </c:strCache>
            </c:strRef>
          </c:cat>
          <c:val>
            <c:numRef>
              <c:f>pojazdy!$G$101:$G$102</c:f>
              <c:numCache>
                <c:formatCode>#,##0</c:formatCode>
                <c:ptCount val="2"/>
                <c:pt idx="0">
                  <c:v>633</c:v>
                </c:pt>
                <c:pt idx="1">
                  <c:v>489.6</c:v>
                </c:pt>
              </c:numCache>
            </c:numRef>
          </c:val>
          <c:extLst>
            <c:ext xmlns:c16="http://schemas.microsoft.com/office/drawing/2014/chart" uri="{C3380CC4-5D6E-409C-BE32-E72D297353CC}">
              <c16:uniqueId val="{0000000B-9E16-4EB4-A942-6544AEEEB250}"/>
            </c:ext>
          </c:extLst>
        </c:ser>
        <c:ser>
          <c:idx val="4"/>
          <c:order val="4"/>
          <c:tx>
            <c:strRef>
              <c:f>pojazdy!$H$100</c:f>
              <c:strCache>
                <c:ptCount val="1"/>
                <c:pt idx="0">
                  <c:v>2017</c:v>
                </c:pt>
              </c:strCache>
            </c:strRef>
          </c:tx>
          <c:spPr>
            <a:solidFill>
              <a:schemeClr val="accent5"/>
            </a:solidFill>
            <a:ln>
              <a:noFill/>
            </a:ln>
            <a:effectLst/>
          </c:spPr>
          <c:invertIfNegative val="0"/>
          <c:dLbls>
            <c:dLbl>
              <c:idx val="0"/>
              <c:layout>
                <c:manualLayout>
                  <c:x val="0"/>
                  <c:y val="0.146168232038479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E16-4EB4-A942-6544AEEEB250}"/>
                </c:ext>
              </c:extLst>
            </c:dLbl>
            <c:dLbl>
              <c:idx val="1"/>
              <c:layout>
                <c:manualLayout>
                  <c:x val="0"/>
                  <c:y val="0.143518518518518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E16-4EB4-A942-6544AEEEB250}"/>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pojazdy!$C$101:$C$102</c:f>
              <c:strCache>
                <c:ptCount val="2"/>
                <c:pt idx="0">
                  <c:v>pojazdy samochodowe</c:v>
                </c:pt>
                <c:pt idx="1">
                  <c:v>samochody osobowe</c:v>
                </c:pt>
              </c:strCache>
            </c:strRef>
          </c:cat>
          <c:val>
            <c:numRef>
              <c:f>pojazdy!$H$101:$H$102</c:f>
              <c:numCache>
                <c:formatCode>#,##0</c:formatCode>
                <c:ptCount val="2"/>
                <c:pt idx="0">
                  <c:v>656</c:v>
                </c:pt>
                <c:pt idx="1">
                  <c:v>506.1</c:v>
                </c:pt>
              </c:numCache>
            </c:numRef>
          </c:val>
          <c:extLst>
            <c:ext xmlns:c16="http://schemas.microsoft.com/office/drawing/2014/chart" uri="{C3380CC4-5D6E-409C-BE32-E72D297353CC}">
              <c16:uniqueId val="{0000000E-9E16-4EB4-A942-6544AEEEB250}"/>
            </c:ext>
          </c:extLst>
        </c:ser>
        <c:ser>
          <c:idx val="5"/>
          <c:order val="5"/>
          <c:tx>
            <c:strRef>
              <c:f>pojazdy!$I$100</c:f>
              <c:strCache>
                <c:ptCount val="1"/>
                <c:pt idx="0">
                  <c:v>2018</c:v>
                </c:pt>
              </c:strCache>
            </c:strRef>
          </c:tx>
          <c:spPr>
            <a:solidFill>
              <a:schemeClr val="accent6"/>
            </a:solidFill>
            <a:ln>
              <a:noFill/>
            </a:ln>
            <a:effectLst/>
          </c:spPr>
          <c:invertIfNegative val="0"/>
          <c:dLbls>
            <c:dLbl>
              <c:idx val="0"/>
              <c:layout>
                <c:manualLayout>
                  <c:x val="-3.3766672294445383E-3"/>
                  <c:y val="0.141538596019055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E16-4EB4-A942-6544AEEEB250}"/>
                </c:ext>
              </c:extLst>
            </c:dLbl>
            <c:dLbl>
              <c:idx val="1"/>
              <c:layout>
                <c:manualLayout>
                  <c:x val="0"/>
                  <c:y val="0.1364626967641314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E16-4EB4-A942-6544AEEEB250}"/>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pojazdy!$C$101:$C$102</c:f>
              <c:strCache>
                <c:ptCount val="2"/>
                <c:pt idx="0">
                  <c:v>pojazdy samochodowe</c:v>
                </c:pt>
                <c:pt idx="1">
                  <c:v>samochody osobowe</c:v>
                </c:pt>
              </c:strCache>
            </c:strRef>
          </c:cat>
          <c:val>
            <c:numRef>
              <c:f>pojazdy!$I$101:$I$102</c:f>
              <c:numCache>
                <c:formatCode>#,##0</c:formatCode>
                <c:ptCount val="2"/>
                <c:pt idx="0">
                  <c:v>690</c:v>
                </c:pt>
                <c:pt idx="1">
                  <c:v>531.5</c:v>
                </c:pt>
              </c:numCache>
            </c:numRef>
          </c:val>
          <c:extLst>
            <c:ext xmlns:c16="http://schemas.microsoft.com/office/drawing/2014/chart" uri="{C3380CC4-5D6E-409C-BE32-E72D297353CC}">
              <c16:uniqueId val="{00000011-9E16-4EB4-A942-6544AEEEB250}"/>
            </c:ext>
          </c:extLst>
        </c:ser>
        <c:ser>
          <c:idx val="6"/>
          <c:order val="6"/>
          <c:tx>
            <c:strRef>
              <c:f>pojazdy!$J$100</c:f>
              <c:strCache>
                <c:ptCount val="1"/>
                <c:pt idx="0">
                  <c:v>2019</c:v>
                </c:pt>
              </c:strCache>
            </c:strRef>
          </c:tx>
          <c:spPr>
            <a:solidFill>
              <a:schemeClr val="accent1">
                <a:lumMod val="60000"/>
              </a:schemeClr>
            </a:solidFill>
            <a:ln>
              <a:noFill/>
            </a:ln>
            <a:effectLst/>
          </c:spPr>
          <c:invertIfNegative val="0"/>
          <c:dLbls>
            <c:dLbl>
              <c:idx val="0"/>
              <c:layout>
                <c:manualLayout>
                  <c:x val="6.1904850743031532E-17"/>
                  <c:y val="0.140325404109762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9E16-4EB4-A942-6544AEEEB250}"/>
                </c:ext>
              </c:extLst>
            </c:dLbl>
            <c:dLbl>
              <c:idx val="1"/>
              <c:layout>
                <c:manualLayout>
                  <c:x val="3.3766672294445383E-3"/>
                  <c:y val="0.1294066769261203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9E16-4EB4-A942-6544AEEEB250}"/>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pojazdy!$C$101:$C$102</c:f>
              <c:strCache>
                <c:ptCount val="2"/>
                <c:pt idx="0">
                  <c:v>pojazdy samochodowe</c:v>
                </c:pt>
                <c:pt idx="1">
                  <c:v>samochody osobowe</c:v>
                </c:pt>
              </c:strCache>
            </c:strRef>
          </c:cat>
          <c:val>
            <c:numRef>
              <c:f>pojazdy!$J$101:$J$102</c:f>
              <c:numCache>
                <c:formatCode>#,##0</c:formatCode>
                <c:ptCount val="2"/>
                <c:pt idx="0">
                  <c:v>720</c:v>
                </c:pt>
                <c:pt idx="1">
                  <c:v>555</c:v>
                </c:pt>
              </c:numCache>
            </c:numRef>
          </c:val>
          <c:extLst>
            <c:ext xmlns:c16="http://schemas.microsoft.com/office/drawing/2014/chart" uri="{C3380CC4-5D6E-409C-BE32-E72D297353CC}">
              <c16:uniqueId val="{00000014-9E16-4EB4-A942-6544AEEEB250}"/>
            </c:ext>
          </c:extLst>
        </c:ser>
        <c:dLbls>
          <c:showLegendKey val="0"/>
          <c:showVal val="0"/>
          <c:showCatName val="0"/>
          <c:showSerName val="0"/>
          <c:showPercent val="0"/>
          <c:showBubbleSize val="0"/>
        </c:dLbls>
        <c:gapWidth val="219"/>
        <c:overlap val="-27"/>
        <c:axId val="422772192"/>
        <c:axId val="426109632"/>
      </c:barChart>
      <c:catAx>
        <c:axId val="422772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6109632"/>
        <c:crosses val="autoZero"/>
        <c:auto val="1"/>
        <c:lblAlgn val="ctr"/>
        <c:lblOffset val="100"/>
        <c:noMultiLvlLbl val="0"/>
      </c:catAx>
      <c:valAx>
        <c:axId val="4261096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2772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73038626901448"/>
          <c:y val="0.22647554806070827"/>
          <c:w val="0.84671261805135778"/>
          <c:h val="0.51453970867469556"/>
        </c:manualLayout>
      </c:layout>
      <c:barChart>
        <c:barDir val="col"/>
        <c:grouping val="clustered"/>
        <c:varyColors val="0"/>
        <c:ser>
          <c:idx val="0"/>
          <c:order val="0"/>
          <c:tx>
            <c:strRef>
              <c:f>pojazdy!$D$105</c:f>
              <c:strCache>
                <c:ptCount val="1"/>
                <c:pt idx="0">
                  <c:v>2013</c:v>
                </c:pt>
              </c:strCache>
            </c:strRef>
          </c:tx>
          <c:spPr>
            <a:solidFill>
              <a:schemeClr val="accent1"/>
            </a:solidFill>
            <a:ln>
              <a:noFill/>
            </a:ln>
            <a:effectLst/>
          </c:spPr>
          <c:invertIfNegative val="0"/>
          <c:dLbls>
            <c:dLbl>
              <c:idx val="0"/>
              <c:layout>
                <c:manualLayout>
                  <c:x val="0"/>
                  <c:y val="0.139216935994299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716-43C2-AA8F-2831919B030E}"/>
                </c:ext>
              </c:extLst>
            </c:dLbl>
            <c:dLbl>
              <c:idx val="1"/>
              <c:layout>
                <c:manualLayout>
                  <c:x val="0"/>
                  <c:y val="0.139216935994299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716-43C2-AA8F-2831919B030E}"/>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pojazdy!$C$106:$C$107</c:f>
              <c:strCache>
                <c:ptCount val="2"/>
                <c:pt idx="0">
                  <c:v>pojazdy samochodowe</c:v>
                </c:pt>
                <c:pt idx="1">
                  <c:v>samochody osobowe</c:v>
                </c:pt>
              </c:strCache>
            </c:strRef>
          </c:cat>
          <c:val>
            <c:numRef>
              <c:f>pojazdy!$D$106:$D$107</c:f>
              <c:numCache>
                <c:formatCode>#,##0</c:formatCode>
                <c:ptCount val="2"/>
                <c:pt idx="0">
                  <c:v>633</c:v>
                </c:pt>
                <c:pt idx="1">
                  <c:v>476.5</c:v>
                </c:pt>
              </c:numCache>
            </c:numRef>
          </c:val>
          <c:extLst>
            <c:ext xmlns:c16="http://schemas.microsoft.com/office/drawing/2014/chart" uri="{C3380CC4-5D6E-409C-BE32-E72D297353CC}">
              <c16:uniqueId val="{00000002-A716-43C2-AA8F-2831919B030E}"/>
            </c:ext>
          </c:extLst>
        </c:ser>
        <c:ser>
          <c:idx val="1"/>
          <c:order val="1"/>
          <c:tx>
            <c:strRef>
              <c:f>pojazdy!$E$105</c:f>
              <c:strCache>
                <c:ptCount val="1"/>
                <c:pt idx="0">
                  <c:v>2014</c:v>
                </c:pt>
              </c:strCache>
            </c:strRef>
          </c:tx>
          <c:spPr>
            <a:solidFill>
              <a:schemeClr val="accent2"/>
            </a:solidFill>
            <a:ln>
              <a:noFill/>
            </a:ln>
            <a:effectLst/>
          </c:spPr>
          <c:invertIfNegative val="0"/>
          <c:dLbls>
            <c:dLbl>
              <c:idx val="0"/>
              <c:layout>
                <c:manualLayout>
                  <c:x val="-3.3233632436025259E-3"/>
                  <c:y val="0.133595800524934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716-43C2-AA8F-2831919B030E}"/>
                </c:ext>
              </c:extLst>
            </c:dLbl>
            <c:dLbl>
              <c:idx val="1"/>
              <c:layout>
                <c:manualLayout>
                  <c:x val="-3.3233632436025259E-3"/>
                  <c:y val="0.124336418318705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716-43C2-AA8F-2831919B030E}"/>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pojazdy!$C$106:$C$107</c:f>
              <c:strCache>
                <c:ptCount val="2"/>
                <c:pt idx="0">
                  <c:v>pojazdy samochodowe</c:v>
                </c:pt>
                <c:pt idx="1">
                  <c:v>samochody osobowe</c:v>
                </c:pt>
              </c:strCache>
            </c:strRef>
          </c:cat>
          <c:val>
            <c:numRef>
              <c:f>pojazdy!$E$106:$E$107</c:f>
              <c:numCache>
                <c:formatCode>#,##0</c:formatCode>
                <c:ptCount val="2"/>
                <c:pt idx="0">
                  <c:v>652</c:v>
                </c:pt>
                <c:pt idx="1">
                  <c:v>492.1</c:v>
                </c:pt>
              </c:numCache>
            </c:numRef>
          </c:val>
          <c:extLst>
            <c:ext xmlns:c16="http://schemas.microsoft.com/office/drawing/2014/chart" uri="{C3380CC4-5D6E-409C-BE32-E72D297353CC}">
              <c16:uniqueId val="{00000005-A716-43C2-AA8F-2831919B030E}"/>
            </c:ext>
          </c:extLst>
        </c:ser>
        <c:ser>
          <c:idx val="2"/>
          <c:order val="2"/>
          <c:tx>
            <c:strRef>
              <c:f>pojazdy!$F$105</c:f>
              <c:strCache>
                <c:ptCount val="1"/>
                <c:pt idx="0">
                  <c:v>2015</c:v>
                </c:pt>
              </c:strCache>
            </c:strRef>
          </c:tx>
          <c:spPr>
            <a:solidFill>
              <a:schemeClr val="accent3"/>
            </a:solidFill>
            <a:ln>
              <a:noFill/>
            </a:ln>
            <a:effectLst/>
          </c:spPr>
          <c:invertIfNegative val="0"/>
          <c:dLbls>
            <c:dLbl>
              <c:idx val="0"/>
              <c:layout>
                <c:manualLayout>
                  <c:x val="-3.0463811145810553E-17"/>
                  <c:y val="0.128966109421819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716-43C2-AA8F-2831919B030E}"/>
                </c:ext>
              </c:extLst>
            </c:dLbl>
            <c:dLbl>
              <c:idx val="1"/>
              <c:layout>
                <c:manualLayout>
                  <c:x val="0"/>
                  <c:y val="0.140208380360549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716-43C2-AA8F-2831919B030E}"/>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pojazdy!$C$106:$C$107</c:f>
              <c:strCache>
                <c:ptCount val="2"/>
                <c:pt idx="0">
                  <c:v>pojazdy samochodowe</c:v>
                </c:pt>
                <c:pt idx="1">
                  <c:v>samochody osobowe</c:v>
                </c:pt>
              </c:strCache>
            </c:strRef>
          </c:cat>
          <c:val>
            <c:numRef>
              <c:f>pojazdy!$F$106:$F$107</c:f>
              <c:numCache>
                <c:formatCode>#,##0</c:formatCode>
                <c:ptCount val="2"/>
                <c:pt idx="0">
                  <c:v>678</c:v>
                </c:pt>
                <c:pt idx="1">
                  <c:v>510.9</c:v>
                </c:pt>
              </c:numCache>
            </c:numRef>
          </c:val>
          <c:extLst>
            <c:ext xmlns:c16="http://schemas.microsoft.com/office/drawing/2014/chart" uri="{C3380CC4-5D6E-409C-BE32-E72D297353CC}">
              <c16:uniqueId val="{00000008-A716-43C2-AA8F-2831919B030E}"/>
            </c:ext>
          </c:extLst>
        </c:ser>
        <c:ser>
          <c:idx val="3"/>
          <c:order val="3"/>
          <c:tx>
            <c:strRef>
              <c:f>pojazdy!$G$105</c:f>
              <c:strCache>
                <c:ptCount val="1"/>
                <c:pt idx="0">
                  <c:v>2016</c:v>
                </c:pt>
              </c:strCache>
            </c:strRef>
          </c:tx>
          <c:spPr>
            <a:solidFill>
              <a:schemeClr val="accent4"/>
            </a:solidFill>
            <a:ln>
              <a:noFill/>
            </a:ln>
            <a:effectLst/>
          </c:spPr>
          <c:invertIfNegative val="0"/>
          <c:dLbls>
            <c:dLbl>
              <c:idx val="0"/>
              <c:layout>
                <c:manualLayout>
                  <c:x val="-6.0927622291621105E-17"/>
                  <c:y val="0.133595800524934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716-43C2-AA8F-2831919B030E}"/>
                </c:ext>
              </c:extLst>
            </c:dLbl>
            <c:dLbl>
              <c:idx val="1"/>
              <c:layout>
                <c:manualLayout>
                  <c:x val="0"/>
                  <c:y val="0.128966109421819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716-43C2-AA8F-2831919B030E}"/>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pojazdy!$C$106:$C$107</c:f>
              <c:strCache>
                <c:ptCount val="2"/>
                <c:pt idx="0">
                  <c:v>pojazdy samochodowe</c:v>
                </c:pt>
                <c:pt idx="1">
                  <c:v>samochody osobowe</c:v>
                </c:pt>
              </c:strCache>
            </c:strRef>
          </c:cat>
          <c:val>
            <c:numRef>
              <c:f>pojazdy!$G$106:$G$107</c:f>
              <c:numCache>
                <c:formatCode>#,##0</c:formatCode>
                <c:ptCount val="2"/>
                <c:pt idx="0">
                  <c:v>706</c:v>
                </c:pt>
                <c:pt idx="1">
                  <c:v>532.70000000000005</c:v>
                </c:pt>
              </c:numCache>
            </c:numRef>
          </c:val>
          <c:extLst>
            <c:ext xmlns:c16="http://schemas.microsoft.com/office/drawing/2014/chart" uri="{C3380CC4-5D6E-409C-BE32-E72D297353CC}">
              <c16:uniqueId val="{0000000B-A716-43C2-AA8F-2831919B030E}"/>
            </c:ext>
          </c:extLst>
        </c:ser>
        <c:ser>
          <c:idx val="4"/>
          <c:order val="4"/>
          <c:tx>
            <c:strRef>
              <c:f>pojazdy!$H$105</c:f>
              <c:strCache>
                <c:ptCount val="1"/>
                <c:pt idx="0">
                  <c:v>2017</c:v>
                </c:pt>
              </c:strCache>
            </c:strRef>
          </c:tx>
          <c:spPr>
            <a:solidFill>
              <a:schemeClr val="accent5"/>
            </a:solidFill>
            <a:ln>
              <a:noFill/>
            </a:ln>
            <a:effectLst/>
          </c:spPr>
          <c:invertIfNegative val="0"/>
          <c:dLbls>
            <c:dLbl>
              <c:idx val="0"/>
              <c:layout>
                <c:manualLayout>
                  <c:x val="-3.3233632436025259E-3"/>
                  <c:y val="0.1223535295862047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716-43C2-AA8F-2831919B030E}"/>
                </c:ext>
              </c:extLst>
            </c:dLbl>
            <c:dLbl>
              <c:idx val="1"/>
              <c:layout>
                <c:manualLayout>
                  <c:x val="0"/>
                  <c:y val="0.133595800524934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716-43C2-AA8F-2831919B030E}"/>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pojazdy!$C$106:$C$107</c:f>
              <c:strCache>
                <c:ptCount val="2"/>
                <c:pt idx="0">
                  <c:v>pojazdy samochodowe</c:v>
                </c:pt>
                <c:pt idx="1">
                  <c:v>samochody osobowe</c:v>
                </c:pt>
              </c:strCache>
            </c:strRef>
          </c:cat>
          <c:val>
            <c:numRef>
              <c:f>pojazdy!$H$106:$H$107</c:f>
              <c:numCache>
                <c:formatCode>#,##0</c:formatCode>
                <c:ptCount val="2"/>
                <c:pt idx="0">
                  <c:v>725</c:v>
                </c:pt>
                <c:pt idx="1">
                  <c:v>547.9</c:v>
                </c:pt>
              </c:numCache>
            </c:numRef>
          </c:val>
          <c:extLst>
            <c:ext xmlns:c16="http://schemas.microsoft.com/office/drawing/2014/chart" uri="{C3380CC4-5D6E-409C-BE32-E72D297353CC}">
              <c16:uniqueId val="{0000000E-A716-43C2-AA8F-2831919B030E}"/>
            </c:ext>
          </c:extLst>
        </c:ser>
        <c:ser>
          <c:idx val="5"/>
          <c:order val="5"/>
          <c:tx>
            <c:strRef>
              <c:f>pojazdy!$I$105</c:f>
              <c:strCache>
                <c:ptCount val="1"/>
                <c:pt idx="0">
                  <c:v>2018</c:v>
                </c:pt>
              </c:strCache>
            </c:strRef>
          </c:tx>
          <c:spPr>
            <a:solidFill>
              <a:schemeClr val="accent6"/>
            </a:solidFill>
            <a:ln>
              <a:noFill/>
            </a:ln>
            <a:effectLst/>
          </c:spPr>
          <c:invertIfNegative val="0"/>
          <c:dLbls>
            <c:dLbl>
              <c:idx val="0"/>
              <c:layout>
                <c:manualLayout>
                  <c:x val="0"/>
                  <c:y val="0.133595800524934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716-43C2-AA8F-2831919B030E}"/>
                </c:ext>
              </c:extLst>
            </c:dLbl>
            <c:dLbl>
              <c:idx val="1"/>
              <c:layout>
                <c:manualLayout>
                  <c:x val="-1.2185524458324221E-16"/>
                  <c:y val="0.133595800524934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716-43C2-AA8F-2831919B030E}"/>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pojazdy!$C$106:$C$107</c:f>
              <c:strCache>
                <c:ptCount val="2"/>
                <c:pt idx="0">
                  <c:v>pojazdy samochodowe</c:v>
                </c:pt>
                <c:pt idx="1">
                  <c:v>samochody osobowe</c:v>
                </c:pt>
              </c:strCache>
            </c:strRef>
          </c:cat>
          <c:val>
            <c:numRef>
              <c:f>pojazdy!$I$106:$I$107</c:f>
              <c:numCache>
                <c:formatCode>#,##0</c:formatCode>
                <c:ptCount val="2"/>
                <c:pt idx="0">
                  <c:v>748</c:v>
                </c:pt>
                <c:pt idx="1">
                  <c:v>567.79999999999995</c:v>
                </c:pt>
              </c:numCache>
            </c:numRef>
          </c:val>
          <c:extLst>
            <c:ext xmlns:c16="http://schemas.microsoft.com/office/drawing/2014/chart" uri="{C3380CC4-5D6E-409C-BE32-E72D297353CC}">
              <c16:uniqueId val="{00000011-A716-43C2-AA8F-2831919B030E}"/>
            </c:ext>
          </c:extLst>
        </c:ser>
        <c:ser>
          <c:idx val="6"/>
          <c:order val="6"/>
          <c:tx>
            <c:strRef>
              <c:f>pojazdy!$J$105</c:f>
              <c:strCache>
                <c:ptCount val="1"/>
                <c:pt idx="0">
                  <c:v>2019</c:v>
                </c:pt>
              </c:strCache>
            </c:strRef>
          </c:tx>
          <c:spPr>
            <a:solidFill>
              <a:schemeClr val="accent1">
                <a:lumMod val="60000"/>
              </a:schemeClr>
            </a:solidFill>
            <a:ln>
              <a:noFill/>
            </a:ln>
            <a:effectLst/>
          </c:spPr>
          <c:invertIfNegative val="0"/>
          <c:dLbls>
            <c:dLbl>
              <c:idx val="0"/>
              <c:layout>
                <c:manualLayout>
                  <c:x val="-6.0927622291621105E-17"/>
                  <c:y val="0.128966109421819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A716-43C2-AA8F-2831919B030E}"/>
                </c:ext>
              </c:extLst>
            </c:dLbl>
            <c:dLbl>
              <c:idx val="1"/>
              <c:layout>
                <c:manualLayout>
                  <c:x val="0"/>
                  <c:y val="0.127974665055569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A716-43C2-AA8F-2831919B030E}"/>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pojazdy!$C$106:$C$107</c:f>
              <c:strCache>
                <c:ptCount val="2"/>
                <c:pt idx="0">
                  <c:v>pojazdy samochodowe</c:v>
                </c:pt>
                <c:pt idx="1">
                  <c:v>samochody osobowe</c:v>
                </c:pt>
              </c:strCache>
            </c:strRef>
          </c:cat>
          <c:val>
            <c:numRef>
              <c:f>pojazdy!$J$106:$J$107</c:f>
              <c:numCache>
                <c:formatCode>#,##0</c:formatCode>
                <c:ptCount val="2"/>
                <c:pt idx="0">
                  <c:v>777</c:v>
                </c:pt>
                <c:pt idx="1">
                  <c:v>591.20000000000005</c:v>
                </c:pt>
              </c:numCache>
            </c:numRef>
          </c:val>
          <c:extLst>
            <c:ext xmlns:c16="http://schemas.microsoft.com/office/drawing/2014/chart" uri="{C3380CC4-5D6E-409C-BE32-E72D297353CC}">
              <c16:uniqueId val="{00000014-A716-43C2-AA8F-2831919B030E}"/>
            </c:ext>
          </c:extLst>
        </c:ser>
        <c:dLbls>
          <c:showLegendKey val="0"/>
          <c:showVal val="0"/>
          <c:showCatName val="0"/>
          <c:showSerName val="0"/>
          <c:showPercent val="0"/>
          <c:showBubbleSize val="0"/>
        </c:dLbls>
        <c:gapWidth val="219"/>
        <c:overlap val="-27"/>
        <c:axId val="208268720"/>
        <c:axId val="208266752"/>
      </c:barChart>
      <c:catAx>
        <c:axId val="20826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08266752"/>
        <c:crosses val="autoZero"/>
        <c:auto val="1"/>
        <c:lblAlgn val="ctr"/>
        <c:lblOffset val="100"/>
        <c:noMultiLvlLbl val="0"/>
      </c:catAx>
      <c:valAx>
        <c:axId val="2082667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08268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TABLICA!$L$19</c:f>
              <c:strCache>
                <c:ptCount val="1"/>
                <c:pt idx="0">
                  <c:v>2014</c:v>
                </c:pt>
              </c:strCache>
            </c:strRef>
          </c:tx>
          <c:spPr>
            <a:solidFill>
              <a:schemeClr val="accent1"/>
            </a:solidFill>
            <a:ln>
              <a:noFill/>
            </a:ln>
            <a:effectLst/>
          </c:spPr>
          <c:invertIfNegative val="0"/>
          <c:dLbls>
            <c:dLbl>
              <c:idx val="0"/>
              <c:layout>
                <c:manualLayout>
                  <c:x val="0"/>
                  <c:y val="0.13920874625533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A96-4789-906A-E57B233B915E}"/>
                </c:ext>
              </c:extLst>
            </c:dLbl>
            <c:dLbl>
              <c:idx val="1"/>
              <c:layout>
                <c:manualLayout>
                  <c:x val="0"/>
                  <c:y val="0.148489329339028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A96-4789-906A-E57B233B915E}"/>
                </c:ext>
              </c:extLst>
            </c:dLbl>
            <c:dLbl>
              <c:idx val="2"/>
              <c:layout>
                <c:manualLayout>
                  <c:x val="0"/>
                  <c:y val="0.148489329339028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A96-4789-906A-E57B233B915E}"/>
                </c:ext>
              </c:extLst>
            </c:dLbl>
            <c:dLbl>
              <c:idx val="3"/>
              <c:layout>
                <c:manualLayout>
                  <c:x val="-2.7792677132907426E-3"/>
                  <c:y val="0.139208746255339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A96-4789-906A-E57B233B915E}"/>
                </c:ext>
              </c:extLst>
            </c:dLbl>
            <c:dLbl>
              <c:idx val="4"/>
              <c:layout>
                <c:manualLayout>
                  <c:x val="-1.0190530560187433E-16"/>
                  <c:y val="0.148489329339028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A96-4789-906A-E57B233B915E}"/>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TABLICA!$K$20:$K$24</c:f>
              <c:strCache>
                <c:ptCount val="5"/>
                <c:pt idx="0">
                  <c:v>Olsztyn</c:v>
                </c:pt>
                <c:pt idx="1">
                  <c:v>Kielce</c:v>
                </c:pt>
                <c:pt idx="2">
                  <c:v>Białystok</c:v>
                </c:pt>
                <c:pt idx="3">
                  <c:v>Rzeszów</c:v>
                </c:pt>
                <c:pt idx="4">
                  <c:v>Lublin</c:v>
                </c:pt>
              </c:strCache>
            </c:strRef>
          </c:cat>
          <c:val>
            <c:numRef>
              <c:f>TABLICA!$L$20:$L$24</c:f>
              <c:numCache>
                <c:formatCode>#,##0</c:formatCode>
                <c:ptCount val="5"/>
                <c:pt idx="0">
                  <c:v>2640</c:v>
                </c:pt>
                <c:pt idx="1">
                  <c:v>5860</c:v>
                </c:pt>
                <c:pt idx="2">
                  <c:v>6486</c:v>
                </c:pt>
                <c:pt idx="3">
                  <c:v>2950</c:v>
                </c:pt>
                <c:pt idx="4">
                  <c:v>6040</c:v>
                </c:pt>
              </c:numCache>
            </c:numRef>
          </c:val>
          <c:extLst>
            <c:ext xmlns:c16="http://schemas.microsoft.com/office/drawing/2014/chart" uri="{C3380CC4-5D6E-409C-BE32-E72D297353CC}">
              <c16:uniqueId val="{00000005-8A96-4789-906A-E57B233B915E}"/>
            </c:ext>
          </c:extLst>
        </c:ser>
        <c:ser>
          <c:idx val="1"/>
          <c:order val="1"/>
          <c:tx>
            <c:strRef>
              <c:f>TABLICA!$M$19</c:f>
              <c:strCache>
                <c:ptCount val="1"/>
                <c:pt idx="0">
                  <c:v>2019</c:v>
                </c:pt>
              </c:strCache>
            </c:strRef>
          </c:tx>
          <c:spPr>
            <a:solidFill>
              <a:schemeClr val="accent2"/>
            </a:solidFill>
            <a:ln>
              <a:noFill/>
            </a:ln>
            <a:effectLst/>
          </c:spPr>
          <c:invertIfNegative val="0"/>
          <c:dLbls>
            <c:dLbl>
              <c:idx val="0"/>
              <c:layout>
                <c:manualLayout>
                  <c:x val="0"/>
                  <c:y val="0.13920874625533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A96-4789-906A-E57B233B915E}"/>
                </c:ext>
              </c:extLst>
            </c:dLbl>
            <c:dLbl>
              <c:idx val="1"/>
              <c:layout>
                <c:manualLayout>
                  <c:x val="-5.0952652800937164E-17"/>
                  <c:y val="0.143849037797184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A96-4789-906A-E57B233B915E}"/>
                </c:ext>
              </c:extLst>
            </c:dLbl>
            <c:dLbl>
              <c:idx val="2"/>
              <c:layout>
                <c:manualLayout>
                  <c:x val="0"/>
                  <c:y val="0.139208746255339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A96-4789-906A-E57B233B915E}"/>
                </c:ext>
              </c:extLst>
            </c:dLbl>
            <c:dLbl>
              <c:idx val="3"/>
              <c:layout>
                <c:manualLayout>
                  <c:x val="0"/>
                  <c:y val="0.139208746255339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A96-4789-906A-E57B233B915E}"/>
                </c:ext>
              </c:extLst>
            </c:dLbl>
            <c:dLbl>
              <c:idx val="4"/>
              <c:layout>
                <c:manualLayout>
                  <c:x val="0"/>
                  <c:y val="0.148489329339028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A96-4789-906A-E57B233B915E}"/>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TABLICA!$K$20:$K$24</c:f>
              <c:strCache>
                <c:ptCount val="5"/>
                <c:pt idx="0">
                  <c:v>Olsztyn</c:v>
                </c:pt>
                <c:pt idx="1">
                  <c:v>Kielce</c:v>
                </c:pt>
                <c:pt idx="2">
                  <c:v>Białystok</c:v>
                </c:pt>
                <c:pt idx="3">
                  <c:v>Rzeszów</c:v>
                </c:pt>
                <c:pt idx="4">
                  <c:v>Lublin</c:v>
                </c:pt>
              </c:strCache>
            </c:strRef>
          </c:cat>
          <c:val>
            <c:numRef>
              <c:f>TABLICA!$M$20:$M$24</c:f>
              <c:numCache>
                <c:formatCode>#,##0</c:formatCode>
                <c:ptCount val="5"/>
                <c:pt idx="0">
                  <c:v>1861</c:v>
                </c:pt>
                <c:pt idx="1">
                  <c:v>3122</c:v>
                </c:pt>
                <c:pt idx="2">
                  <c:v>3780</c:v>
                </c:pt>
                <c:pt idx="3">
                  <c:v>1828</c:v>
                </c:pt>
                <c:pt idx="4">
                  <c:v>3462</c:v>
                </c:pt>
              </c:numCache>
            </c:numRef>
          </c:val>
          <c:extLst>
            <c:ext xmlns:c16="http://schemas.microsoft.com/office/drawing/2014/chart" uri="{C3380CC4-5D6E-409C-BE32-E72D297353CC}">
              <c16:uniqueId val="{0000000B-8A96-4789-906A-E57B233B915E}"/>
            </c:ext>
          </c:extLst>
        </c:ser>
        <c:dLbls>
          <c:showLegendKey val="0"/>
          <c:showVal val="0"/>
          <c:showCatName val="0"/>
          <c:showSerName val="0"/>
          <c:showPercent val="0"/>
          <c:showBubbleSize val="0"/>
        </c:dLbls>
        <c:gapWidth val="219"/>
        <c:overlap val="-27"/>
        <c:axId val="296946264"/>
        <c:axId val="296941672"/>
      </c:barChart>
      <c:catAx>
        <c:axId val="296946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96941672"/>
        <c:crosses val="autoZero"/>
        <c:auto val="1"/>
        <c:lblAlgn val="ctr"/>
        <c:lblOffset val="100"/>
        <c:noMultiLvlLbl val="0"/>
      </c:catAx>
      <c:valAx>
        <c:axId val="2969416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296946264"/>
        <c:crosses val="autoZero"/>
        <c:crossBetween val="between"/>
      </c:valAx>
      <c:spPr>
        <a:noFill/>
        <a:ln>
          <a:noFill/>
        </a:ln>
        <a:effectLst/>
      </c:spPr>
    </c:plotArea>
    <c:legend>
      <c:legendPos val="b"/>
      <c:layout>
        <c:manualLayout>
          <c:xMode val="edge"/>
          <c:yMode val="edge"/>
          <c:x val="0.33671287910469933"/>
          <c:y val="0.89385278291437342"/>
          <c:w val="0.36270450322340347"/>
          <c:h val="7.830546783455862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07268091059156"/>
          <c:y val="7.0930990183604103E-2"/>
          <c:w val="0.86293966400334143"/>
          <c:h val="0.59036677792325143"/>
        </c:manualLayout>
      </c:layout>
      <c:barChart>
        <c:barDir val="col"/>
        <c:grouping val="clustered"/>
        <c:varyColors val="0"/>
        <c:ser>
          <c:idx val="0"/>
          <c:order val="0"/>
          <c:tx>
            <c:strRef>
              <c:f>TABLICA!$O$13</c:f>
              <c:strCache>
                <c:ptCount val="1"/>
                <c:pt idx="0">
                  <c:v>2013</c:v>
                </c:pt>
              </c:strCache>
            </c:strRef>
          </c:tx>
          <c:spPr>
            <a:solidFill>
              <a:schemeClr val="accent1"/>
            </a:solidFill>
            <a:ln>
              <a:noFill/>
            </a:ln>
            <a:effectLst/>
          </c:spPr>
          <c:invertIfNegative val="0"/>
          <c:dLbls>
            <c:dLbl>
              <c:idx val="0"/>
              <c:layout>
                <c:manualLayout>
                  <c:x val="2.1898138494444326E-17"/>
                  <c:y val="0.200316648443175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23E-4F26-93A3-AB68AEB4A654}"/>
                </c:ext>
              </c:extLst>
            </c:dLbl>
            <c:dLbl>
              <c:idx val="1"/>
              <c:layout>
                <c:manualLayout>
                  <c:x val="4.3796276988888653E-17"/>
                  <c:y val="0.193385239706173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23E-4F26-93A3-AB68AEB4A654}"/>
                </c:ext>
              </c:extLst>
            </c:dLbl>
            <c:dLbl>
              <c:idx val="2"/>
              <c:layout>
                <c:manualLayout>
                  <c:x val="-8.7592553977777306E-17"/>
                  <c:y val="0.1948995017281739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23E-4F26-93A3-AB68AEB4A654}"/>
                </c:ext>
              </c:extLst>
            </c:dLbl>
            <c:dLbl>
              <c:idx val="3"/>
              <c:layout>
                <c:manualLayout>
                  <c:x val="-2.6234805933539242E-3"/>
                  <c:y val="0.187968092991171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23E-4F26-93A3-AB68AEB4A654}"/>
                </c:ext>
              </c:extLst>
            </c:dLbl>
            <c:dLbl>
              <c:idx val="4"/>
              <c:layout>
                <c:manualLayout>
                  <c:x val="-2.3889154323936935E-3"/>
                  <c:y val="0.105605374584467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23E-4F26-93A3-AB68AEB4A654}"/>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TABLICA!$N$14:$N$18</c:f>
              <c:strCache>
                <c:ptCount val="5"/>
                <c:pt idx="0">
                  <c:v>WARMIŃSKO-MAZURSKIE</c:v>
                </c:pt>
                <c:pt idx="1">
                  <c:v>ŚWIĘTOKRZYSKIE</c:v>
                </c:pt>
                <c:pt idx="2">
                  <c:v>PODLASKIE</c:v>
                </c:pt>
                <c:pt idx="3">
                  <c:v>PODKARPACKIE</c:v>
                </c:pt>
                <c:pt idx="4">
                  <c:v>LUBELSKIE</c:v>
                </c:pt>
              </c:strCache>
            </c:strRef>
          </c:cat>
          <c:val>
            <c:numRef>
              <c:f>TABLICA!$O$14:$O$18</c:f>
              <c:numCache>
                <c:formatCode>#,##0</c:formatCode>
                <c:ptCount val="5"/>
                <c:pt idx="0">
                  <c:v>287263</c:v>
                </c:pt>
                <c:pt idx="1">
                  <c:v>285753</c:v>
                </c:pt>
                <c:pt idx="2">
                  <c:v>248228</c:v>
                </c:pt>
                <c:pt idx="3">
                  <c:v>422227</c:v>
                </c:pt>
                <c:pt idx="4">
                  <c:v>475981</c:v>
                </c:pt>
              </c:numCache>
            </c:numRef>
          </c:val>
          <c:extLst>
            <c:ext xmlns:c16="http://schemas.microsoft.com/office/drawing/2014/chart" uri="{C3380CC4-5D6E-409C-BE32-E72D297353CC}">
              <c16:uniqueId val="{00000005-723E-4F26-93A3-AB68AEB4A654}"/>
            </c:ext>
          </c:extLst>
        </c:ser>
        <c:ser>
          <c:idx val="1"/>
          <c:order val="1"/>
          <c:tx>
            <c:strRef>
              <c:f>TABLICA!$P$13</c:f>
              <c:strCache>
                <c:ptCount val="1"/>
                <c:pt idx="0">
                  <c:v>2019</c:v>
                </c:pt>
              </c:strCache>
            </c:strRef>
          </c:tx>
          <c:spPr>
            <a:solidFill>
              <a:schemeClr val="accent2"/>
            </a:solidFill>
            <a:ln>
              <a:noFill/>
            </a:ln>
            <a:effectLst/>
          </c:spPr>
          <c:invertIfNegative val="0"/>
          <c:dLbls>
            <c:dLbl>
              <c:idx val="0"/>
              <c:layout>
                <c:manualLayout>
                  <c:x val="-2.6234805933539242E-3"/>
                  <c:y val="0.19099698395109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23E-4F26-93A3-AB68AEB4A654}"/>
                </c:ext>
              </c:extLst>
            </c:dLbl>
            <c:dLbl>
              <c:idx val="1"/>
              <c:layout>
                <c:manualLayout>
                  <c:x val="-4.3796276988888653E-17"/>
                  <c:y val="0.1855798372360957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23E-4F26-93A3-AB68AEB4A654}"/>
                </c:ext>
              </c:extLst>
            </c:dLbl>
            <c:dLbl>
              <c:idx val="2"/>
              <c:layout>
                <c:manualLayout>
                  <c:x val="0"/>
                  <c:y val="0.1902396694821348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23E-4F26-93A3-AB68AEB4A654}"/>
                </c:ext>
              </c:extLst>
            </c:dLbl>
            <c:dLbl>
              <c:idx val="3"/>
              <c:layout>
                <c:manualLayout>
                  <c:x val="-2.6234568857583683E-3"/>
                  <c:y val="0.15610648305921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23E-4F26-93A3-AB68AEB4A654}"/>
                </c:ext>
              </c:extLst>
            </c:dLbl>
            <c:dLbl>
              <c:idx val="4"/>
              <c:layout>
                <c:manualLayout>
                  <c:x val="0"/>
                  <c:y val="0.127390273792663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23E-4F26-93A3-AB68AEB4A654}"/>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TABLICA!$N$14:$N$18</c:f>
              <c:strCache>
                <c:ptCount val="5"/>
                <c:pt idx="0">
                  <c:v>WARMIŃSKO-MAZURSKIE</c:v>
                </c:pt>
                <c:pt idx="1">
                  <c:v>ŚWIĘTOKRZYSKIE</c:v>
                </c:pt>
                <c:pt idx="2">
                  <c:v>PODLASKIE</c:v>
                </c:pt>
                <c:pt idx="3">
                  <c:v>PODKARPACKIE</c:v>
                </c:pt>
                <c:pt idx="4">
                  <c:v>LUBELSKIE</c:v>
                </c:pt>
              </c:strCache>
            </c:strRef>
          </c:cat>
          <c:val>
            <c:numRef>
              <c:f>TABLICA!$P$14:$P$18</c:f>
              <c:numCache>
                <c:formatCode>#,##0</c:formatCode>
                <c:ptCount val="5"/>
                <c:pt idx="0">
                  <c:v>285526</c:v>
                </c:pt>
                <c:pt idx="1">
                  <c:v>264492</c:v>
                </c:pt>
                <c:pt idx="2">
                  <c:v>232761</c:v>
                </c:pt>
                <c:pt idx="3">
                  <c:v>427620</c:v>
                </c:pt>
                <c:pt idx="4">
                  <c:v>454578</c:v>
                </c:pt>
              </c:numCache>
            </c:numRef>
          </c:val>
          <c:extLst>
            <c:ext xmlns:c16="http://schemas.microsoft.com/office/drawing/2014/chart" uri="{C3380CC4-5D6E-409C-BE32-E72D297353CC}">
              <c16:uniqueId val="{0000000B-723E-4F26-93A3-AB68AEB4A654}"/>
            </c:ext>
          </c:extLst>
        </c:ser>
        <c:dLbls>
          <c:showLegendKey val="0"/>
          <c:showVal val="0"/>
          <c:showCatName val="0"/>
          <c:showSerName val="0"/>
          <c:showPercent val="0"/>
          <c:showBubbleSize val="0"/>
        </c:dLbls>
        <c:gapWidth val="219"/>
        <c:overlap val="-27"/>
        <c:axId val="321551552"/>
        <c:axId val="321545648"/>
      </c:barChart>
      <c:catAx>
        <c:axId val="321551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21545648"/>
        <c:crosses val="autoZero"/>
        <c:auto val="1"/>
        <c:lblAlgn val="ctr"/>
        <c:lblOffset val="100"/>
        <c:noMultiLvlLbl val="0"/>
      </c:catAx>
      <c:valAx>
        <c:axId val="3215456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21551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TABLICA!$M$19</c:f>
              <c:strCache>
                <c:ptCount val="1"/>
                <c:pt idx="0">
                  <c:v>2013</c:v>
                </c:pt>
              </c:strCache>
            </c:strRef>
          </c:tx>
          <c:spPr>
            <a:solidFill>
              <a:schemeClr val="accent1"/>
            </a:solidFill>
            <a:ln>
              <a:noFill/>
            </a:ln>
            <a:effectLst/>
          </c:spPr>
          <c:invertIfNegative val="0"/>
          <c:dLbls>
            <c:dLbl>
              <c:idx val="0"/>
              <c:layout>
                <c:manualLayout>
                  <c:x val="-2.5462668816039986E-17"/>
                  <c:y val="0.194444444444444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33A-4988-9623-4E3F9E7ABC74}"/>
                </c:ext>
              </c:extLst>
            </c:dLbl>
            <c:dLbl>
              <c:idx val="1"/>
              <c:layout>
                <c:manualLayout>
                  <c:x val="-5.0925337632079971E-17"/>
                  <c:y val="0.203703703703703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33A-4988-9623-4E3F9E7ABC74}"/>
                </c:ext>
              </c:extLst>
            </c:dLbl>
            <c:dLbl>
              <c:idx val="2"/>
              <c:layout>
                <c:manualLayout>
                  <c:x val="-1.0185067526415994E-16"/>
                  <c:y val="0.208333333333333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33A-4988-9623-4E3F9E7ABC74}"/>
                </c:ext>
              </c:extLst>
            </c:dLbl>
            <c:dLbl>
              <c:idx val="3"/>
              <c:layout>
                <c:manualLayout>
                  <c:x val="-1.0185067526415994E-16"/>
                  <c:y val="0.208333333333333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33A-4988-9623-4E3F9E7ABC74}"/>
                </c:ext>
              </c:extLst>
            </c:dLbl>
            <c:dLbl>
              <c:idx val="4"/>
              <c:layout>
                <c:manualLayout>
                  <c:x val="-1.0185067526415994E-16"/>
                  <c:y val="0.203703703703703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33A-4988-9623-4E3F9E7ABC74}"/>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TABLICA!$L$20:$L$24</c:f>
              <c:strCache>
                <c:ptCount val="5"/>
                <c:pt idx="0">
                  <c:v>Olsztyn</c:v>
                </c:pt>
                <c:pt idx="1">
                  <c:v>Kielce</c:v>
                </c:pt>
                <c:pt idx="2">
                  <c:v>Białystok</c:v>
                </c:pt>
                <c:pt idx="3">
                  <c:v>Rzeszów</c:v>
                </c:pt>
                <c:pt idx="4">
                  <c:v>Lublin</c:v>
                </c:pt>
              </c:strCache>
            </c:strRef>
          </c:cat>
          <c:val>
            <c:numRef>
              <c:f>TABLICA!$M$20:$M$24</c:f>
              <c:numCache>
                <c:formatCode>#,##0</c:formatCode>
                <c:ptCount val="5"/>
                <c:pt idx="0">
                  <c:v>1857333</c:v>
                </c:pt>
                <c:pt idx="1">
                  <c:v>2218800</c:v>
                </c:pt>
                <c:pt idx="2">
                  <c:v>3466118</c:v>
                </c:pt>
                <c:pt idx="3">
                  <c:v>2664352</c:v>
                </c:pt>
                <c:pt idx="4">
                  <c:v>4212202</c:v>
                </c:pt>
              </c:numCache>
            </c:numRef>
          </c:val>
          <c:extLst>
            <c:ext xmlns:c16="http://schemas.microsoft.com/office/drawing/2014/chart" uri="{C3380CC4-5D6E-409C-BE32-E72D297353CC}">
              <c16:uniqueId val="{00000005-533A-4988-9623-4E3F9E7ABC74}"/>
            </c:ext>
          </c:extLst>
        </c:ser>
        <c:ser>
          <c:idx val="1"/>
          <c:order val="1"/>
          <c:tx>
            <c:strRef>
              <c:f>TABLICA!$N$19</c:f>
              <c:strCache>
                <c:ptCount val="1"/>
                <c:pt idx="0">
                  <c:v>2019</c:v>
                </c:pt>
              </c:strCache>
            </c:strRef>
          </c:tx>
          <c:spPr>
            <a:solidFill>
              <a:schemeClr val="accent2"/>
            </a:solidFill>
            <a:ln>
              <a:noFill/>
            </a:ln>
            <a:effectLst/>
          </c:spPr>
          <c:invertIfNegative val="0"/>
          <c:dLbls>
            <c:dLbl>
              <c:idx val="0"/>
              <c:layout>
                <c:manualLayout>
                  <c:x val="0"/>
                  <c:y val="0.208333333333333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33A-4988-9623-4E3F9E7ABC74}"/>
                </c:ext>
              </c:extLst>
            </c:dLbl>
            <c:dLbl>
              <c:idx val="1"/>
              <c:layout>
                <c:manualLayout>
                  <c:x val="0"/>
                  <c:y val="0.208333333333333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33A-4988-9623-4E3F9E7ABC74}"/>
                </c:ext>
              </c:extLst>
            </c:dLbl>
            <c:dLbl>
              <c:idx val="2"/>
              <c:layout>
                <c:manualLayout>
                  <c:x val="0"/>
                  <c:y val="0.2083333333333332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33A-4988-9623-4E3F9E7ABC74}"/>
                </c:ext>
              </c:extLst>
            </c:dLbl>
            <c:dLbl>
              <c:idx val="3"/>
              <c:layout>
                <c:manualLayout>
                  <c:x val="0"/>
                  <c:y val="0.208333333333333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33A-4988-9623-4E3F9E7ABC74}"/>
                </c:ext>
              </c:extLst>
            </c:dLbl>
            <c:dLbl>
              <c:idx val="4"/>
              <c:layout>
                <c:manualLayout>
                  <c:x val="-2.7777777777777779E-3"/>
                  <c:y val="0.2083333333333333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33A-4988-9623-4E3F9E7ABC74}"/>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TABLICA!$L$20:$L$24</c:f>
              <c:strCache>
                <c:ptCount val="5"/>
                <c:pt idx="0">
                  <c:v>Olsztyn</c:v>
                </c:pt>
                <c:pt idx="1">
                  <c:v>Kielce</c:v>
                </c:pt>
                <c:pt idx="2">
                  <c:v>Białystok</c:v>
                </c:pt>
                <c:pt idx="3">
                  <c:v>Rzeszów</c:v>
                </c:pt>
                <c:pt idx="4">
                  <c:v>Lublin</c:v>
                </c:pt>
              </c:strCache>
            </c:strRef>
          </c:cat>
          <c:val>
            <c:numRef>
              <c:f>TABLICA!$N$20:$N$24</c:f>
              <c:numCache>
                <c:formatCode>#,##0</c:formatCode>
                <c:ptCount val="5"/>
                <c:pt idx="0">
                  <c:v>2038222</c:v>
                </c:pt>
                <c:pt idx="1">
                  <c:v>2511917</c:v>
                </c:pt>
                <c:pt idx="2">
                  <c:v>3617543</c:v>
                </c:pt>
                <c:pt idx="3">
                  <c:v>2739099</c:v>
                </c:pt>
                <c:pt idx="4">
                  <c:v>4481942</c:v>
                </c:pt>
              </c:numCache>
            </c:numRef>
          </c:val>
          <c:extLst>
            <c:ext xmlns:c16="http://schemas.microsoft.com/office/drawing/2014/chart" uri="{C3380CC4-5D6E-409C-BE32-E72D297353CC}">
              <c16:uniqueId val="{0000000B-533A-4988-9623-4E3F9E7ABC74}"/>
            </c:ext>
          </c:extLst>
        </c:ser>
        <c:dLbls>
          <c:showLegendKey val="0"/>
          <c:showVal val="0"/>
          <c:showCatName val="0"/>
          <c:showSerName val="0"/>
          <c:showPercent val="0"/>
          <c:showBubbleSize val="0"/>
        </c:dLbls>
        <c:gapWidth val="219"/>
        <c:overlap val="-27"/>
        <c:axId val="210452080"/>
        <c:axId val="329623200"/>
      </c:barChart>
      <c:catAx>
        <c:axId val="210452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29623200"/>
        <c:crosses val="autoZero"/>
        <c:auto val="1"/>
        <c:lblAlgn val="ctr"/>
        <c:lblOffset val="100"/>
        <c:noMultiLvlLbl val="0"/>
      </c:catAx>
      <c:valAx>
        <c:axId val="3296232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10452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TABLICA!$Y$3</c:f>
              <c:strCache>
                <c:ptCount val="1"/>
                <c:pt idx="0">
                  <c:v>Olsztyn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7.7777777777777779E-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484-44EC-8E2E-E33A20CC60B3}"/>
                </c:ext>
              </c:extLst>
            </c:dLbl>
            <c:dLbl>
              <c:idx val="1"/>
              <c:delete val="1"/>
              <c:extLst>
                <c:ext xmlns:c15="http://schemas.microsoft.com/office/drawing/2012/chart" uri="{CE6537A1-D6FC-4f65-9D91-7224C49458BB}"/>
                <c:ext xmlns:c16="http://schemas.microsoft.com/office/drawing/2014/chart" uri="{C3380CC4-5D6E-409C-BE32-E72D297353CC}">
                  <c16:uniqueId val="{00000001-C484-44EC-8E2E-E33A20CC60B3}"/>
                </c:ext>
              </c:extLst>
            </c:dLbl>
            <c:dLbl>
              <c:idx val="2"/>
              <c:delete val="1"/>
              <c:extLst>
                <c:ext xmlns:c15="http://schemas.microsoft.com/office/drawing/2012/chart" uri="{CE6537A1-D6FC-4f65-9D91-7224C49458BB}"/>
                <c:ext xmlns:c16="http://schemas.microsoft.com/office/drawing/2014/chart" uri="{C3380CC4-5D6E-409C-BE32-E72D297353CC}">
                  <c16:uniqueId val="{00000002-C484-44EC-8E2E-E33A20CC60B3}"/>
                </c:ext>
              </c:extLst>
            </c:dLbl>
            <c:dLbl>
              <c:idx val="3"/>
              <c:delete val="1"/>
              <c:extLst>
                <c:ext xmlns:c15="http://schemas.microsoft.com/office/drawing/2012/chart" uri="{CE6537A1-D6FC-4f65-9D91-7224C49458BB}"/>
                <c:ext xmlns:c16="http://schemas.microsoft.com/office/drawing/2014/chart" uri="{C3380CC4-5D6E-409C-BE32-E72D297353CC}">
                  <c16:uniqueId val="{00000003-C484-44EC-8E2E-E33A20CC60B3}"/>
                </c:ext>
              </c:extLst>
            </c:dLbl>
            <c:dLbl>
              <c:idx val="4"/>
              <c:delete val="1"/>
              <c:extLst>
                <c:ext xmlns:c15="http://schemas.microsoft.com/office/drawing/2012/chart" uri="{CE6537A1-D6FC-4f65-9D91-7224C49458BB}"/>
                <c:ext xmlns:c16="http://schemas.microsoft.com/office/drawing/2014/chart" uri="{C3380CC4-5D6E-409C-BE32-E72D297353CC}">
                  <c16:uniqueId val="{00000004-C484-44EC-8E2E-E33A20CC60B3}"/>
                </c:ext>
              </c:extLst>
            </c:dLbl>
            <c:dLbl>
              <c:idx val="5"/>
              <c:delete val="1"/>
              <c:extLst>
                <c:ext xmlns:c15="http://schemas.microsoft.com/office/drawing/2012/chart" uri="{CE6537A1-D6FC-4f65-9D91-7224C49458BB}"/>
                <c:ext xmlns:c16="http://schemas.microsoft.com/office/drawing/2014/chart" uri="{C3380CC4-5D6E-409C-BE32-E72D297353CC}">
                  <c16:uniqueId val="{00000005-C484-44EC-8E2E-E33A20CC60B3}"/>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TABLICA!$Z$2:$AF$2</c:f>
              <c:strCache>
                <c:ptCount val="7"/>
                <c:pt idx="0">
                  <c:v>2013</c:v>
                </c:pt>
                <c:pt idx="1">
                  <c:v>2014</c:v>
                </c:pt>
                <c:pt idx="2">
                  <c:v>2015</c:v>
                </c:pt>
                <c:pt idx="3">
                  <c:v>2016</c:v>
                </c:pt>
                <c:pt idx="4">
                  <c:v>2017</c:v>
                </c:pt>
                <c:pt idx="5">
                  <c:v>2018</c:v>
                </c:pt>
                <c:pt idx="6">
                  <c:v>2019</c:v>
                </c:pt>
              </c:strCache>
            </c:strRef>
          </c:cat>
          <c:val>
            <c:numRef>
              <c:f>TABLICA!$Z$3:$AF$3</c:f>
              <c:numCache>
                <c:formatCode>0.0%</c:formatCode>
                <c:ptCount val="7"/>
                <c:pt idx="0">
                  <c:v>1.2999999999999999E-2</c:v>
                </c:pt>
                <c:pt idx="1">
                  <c:v>0.01</c:v>
                </c:pt>
                <c:pt idx="2">
                  <c:v>7.0000000000000001E-3</c:v>
                </c:pt>
                <c:pt idx="3">
                  <c:v>8.9999999999999993E-3</c:v>
                </c:pt>
                <c:pt idx="4">
                  <c:v>8.0000000000000002E-3</c:v>
                </c:pt>
                <c:pt idx="5">
                  <c:v>7.0000000000000001E-3</c:v>
                </c:pt>
                <c:pt idx="6">
                  <c:v>7.0000000000000001E-3</c:v>
                </c:pt>
              </c:numCache>
            </c:numRef>
          </c:val>
          <c:smooth val="0"/>
          <c:extLst>
            <c:ext xmlns:c16="http://schemas.microsoft.com/office/drawing/2014/chart" uri="{C3380CC4-5D6E-409C-BE32-E72D297353CC}">
              <c16:uniqueId val="{00000006-C484-44EC-8E2E-E33A20CC60B3}"/>
            </c:ext>
          </c:extLst>
        </c:ser>
        <c:ser>
          <c:idx val="1"/>
          <c:order val="1"/>
          <c:tx>
            <c:strRef>
              <c:f>TABLICA!$Y$4</c:f>
              <c:strCache>
                <c:ptCount val="1"/>
                <c:pt idx="0">
                  <c:v>Kielce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6.9444444444444461E-2"/>
                  <c:y val="-4.629629629629671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484-44EC-8E2E-E33A20CC60B3}"/>
                </c:ext>
              </c:extLst>
            </c:dLbl>
            <c:dLbl>
              <c:idx val="1"/>
              <c:delete val="1"/>
              <c:extLst>
                <c:ext xmlns:c15="http://schemas.microsoft.com/office/drawing/2012/chart" uri="{CE6537A1-D6FC-4f65-9D91-7224C49458BB}"/>
                <c:ext xmlns:c16="http://schemas.microsoft.com/office/drawing/2014/chart" uri="{C3380CC4-5D6E-409C-BE32-E72D297353CC}">
                  <c16:uniqueId val="{00000008-C484-44EC-8E2E-E33A20CC60B3}"/>
                </c:ext>
              </c:extLst>
            </c:dLbl>
            <c:dLbl>
              <c:idx val="2"/>
              <c:delete val="1"/>
              <c:extLst>
                <c:ext xmlns:c15="http://schemas.microsoft.com/office/drawing/2012/chart" uri="{CE6537A1-D6FC-4f65-9D91-7224C49458BB}"/>
                <c:ext xmlns:c16="http://schemas.microsoft.com/office/drawing/2014/chart" uri="{C3380CC4-5D6E-409C-BE32-E72D297353CC}">
                  <c16:uniqueId val="{00000009-C484-44EC-8E2E-E33A20CC60B3}"/>
                </c:ext>
              </c:extLst>
            </c:dLbl>
            <c:dLbl>
              <c:idx val="3"/>
              <c:delete val="1"/>
              <c:extLst>
                <c:ext xmlns:c15="http://schemas.microsoft.com/office/drawing/2012/chart" uri="{CE6537A1-D6FC-4f65-9D91-7224C49458BB}"/>
                <c:ext xmlns:c16="http://schemas.microsoft.com/office/drawing/2014/chart" uri="{C3380CC4-5D6E-409C-BE32-E72D297353CC}">
                  <c16:uniqueId val="{0000000A-C484-44EC-8E2E-E33A20CC60B3}"/>
                </c:ext>
              </c:extLst>
            </c:dLbl>
            <c:dLbl>
              <c:idx val="4"/>
              <c:delete val="1"/>
              <c:extLst>
                <c:ext xmlns:c15="http://schemas.microsoft.com/office/drawing/2012/chart" uri="{CE6537A1-D6FC-4f65-9D91-7224C49458BB}"/>
                <c:ext xmlns:c16="http://schemas.microsoft.com/office/drawing/2014/chart" uri="{C3380CC4-5D6E-409C-BE32-E72D297353CC}">
                  <c16:uniqueId val="{0000000B-C484-44EC-8E2E-E33A20CC60B3}"/>
                </c:ext>
              </c:extLst>
            </c:dLbl>
            <c:dLbl>
              <c:idx val="5"/>
              <c:delete val="1"/>
              <c:extLst>
                <c:ext xmlns:c15="http://schemas.microsoft.com/office/drawing/2012/chart" uri="{CE6537A1-D6FC-4f65-9D91-7224C49458BB}"/>
                <c:ext xmlns:c16="http://schemas.microsoft.com/office/drawing/2014/chart" uri="{C3380CC4-5D6E-409C-BE32-E72D297353CC}">
                  <c16:uniqueId val="{0000000C-C484-44EC-8E2E-E33A20CC60B3}"/>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TABLICA!$Z$2:$AF$2</c:f>
              <c:strCache>
                <c:ptCount val="7"/>
                <c:pt idx="0">
                  <c:v>2013</c:v>
                </c:pt>
                <c:pt idx="1">
                  <c:v>2014</c:v>
                </c:pt>
                <c:pt idx="2">
                  <c:v>2015</c:v>
                </c:pt>
                <c:pt idx="3">
                  <c:v>2016</c:v>
                </c:pt>
                <c:pt idx="4">
                  <c:v>2017</c:v>
                </c:pt>
                <c:pt idx="5">
                  <c:v>2018</c:v>
                </c:pt>
                <c:pt idx="6">
                  <c:v>2019</c:v>
                </c:pt>
              </c:strCache>
            </c:strRef>
          </c:cat>
          <c:val>
            <c:numRef>
              <c:f>TABLICA!$Z$4:$AF$4</c:f>
              <c:numCache>
                <c:formatCode>0.0%</c:formatCode>
                <c:ptCount val="7"/>
                <c:pt idx="0">
                  <c:v>1.4999999999999999E-2</c:v>
                </c:pt>
                <c:pt idx="1">
                  <c:v>1.4999999999999999E-2</c:v>
                </c:pt>
                <c:pt idx="2">
                  <c:v>1.2E-2</c:v>
                </c:pt>
                <c:pt idx="3">
                  <c:v>1.2999999999999999E-2</c:v>
                </c:pt>
                <c:pt idx="4">
                  <c:v>1.0999999999999999E-2</c:v>
                </c:pt>
                <c:pt idx="5">
                  <c:v>1.0999999999999999E-2</c:v>
                </c:pt>
                <c:pt idx="6">
                  <c:v>8.9999999999999993E-3</c:v>
                </c:pt>
              </c:numCache>
            </c:numRef>
          </c:val>
          <c:smooth val="0"/>
          <c:extLst>
            <c:ext xmlns:c16="http://schemas.microsoft.com/office/drawing/2014/chart" uri="{C3380CC4-5D6E-409C-BE32-E72D297353CC}">
              <c16:uniqueId val="{0000000D-C484-44EC-8E2E-E33A20CC60B3}"/>
            </c:ext>
          </c:extLst>
        </c:ser>
        <c:ser>
          <c:idx val="2"/>
          <c:order val="2"/>
          <c:tx>
            <c:strRef>
              <c:f>TABLICA!$Y$5</c:f>
              <c:strCache>
                <c:ptCount val="1"/>
                <c:pt idx="0">
                  <c:v>Białystok</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7.7777777777777779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484-44EC-8E2E-E33A20CC60B3}"/>
                </c:ext>
              </c:extLst>
            </c:dLbl>
            <c:dLbl>
              <c:idx val="1"/>
              <c:delete val="1"/>
              <c:extLst>
                <c:ext xmlns:c15="http://schemas.microsoft.com/office/drawing/2012/chart" uri="{CE6537A1-D6FC-4f65-9D91-7224C49458BB}"/>
                <c:ext xmlns:c16="http://schemas.microsoft.com/office/drawing/2014/chart" uri="{C3380CC4-5D6E-409C-BE32-E72D297353CC}">
                  <c16:uniqueId val="{0000000F-C484-44EC-8E2E-E33A20CC60B3}"/>
                </c:ext>
              </c:extLst>
            </c:dLbl>
            <c:dLbl>
              <c:idx val="2"/>
              <c:delete val="1"/>
              <c:extLst>
                <c:ext xmlns:c15="http://schemas.microsoft.com/office/drawing/2012/chart" uri="{CE6537A1-D6FC-4f65-9D91-7224C49458BB}"/>
                <c:ext xmlns:c16="http://schemas.microsoft.com/office/drawing/2014/chart" uri="{C3380CC4-5D6E-409C-BE32-E72D297353CC}">
                  <c16:uniqueId val="{00000010-C484-44EC-8E2E-E33A20CC60B3}"/>
                </c:ext>
              </c:extLst>
            </c:dLbl>
            <c:dLbl>
              <c:idx val="3"/>
              <c:delete val="1"/>
              <c:extLst>
                <c:ext xmlns:c15="http://schemas.microsoft.com/office/drawing/2012/chart" uri="{CE6537A1-D6FC-4f65-9D91-7224C49458BB}"/>
                <c:ext xmlns:c16="http://schemas.microsoft.com/office/drawing/2014/chart" uri="{C3380CC4-5D6E-409C-BE32-E72D297353CC}">
                  <c16:uniqueId val="{00000011-C484-44EC-8E2E-E33A20CC60B3}"/>
                </c:ext>
              </c:extLst>
            </c:dLbl>
            <c:dLbl>
              <c:idx val="4"/>
              <c:delete val="1"/>
              <c:extLst>
                <c:ext xmlns:c15="http://schemas.microsoft.com/office/drawing/2012/chart" uri="{CE6537A1-D6FC-4f65-9D91-7224C49458BB}"/>
                <c:ext xmlns:c16="http://schemas.microsoft.com/office/drawing/2014/chart" uri="{C3380CC4-5D6E-409C-BE32-E72D297353CC}">
                  <c16:uniqueId val="{00000012-C484-44EC-8E2E-E33A20CC60B3}"/>
                </c:ext>
              </c:extLst>
            </c:dLbl>
            <c:dLbl>
              <c:idx val="5"/>
              <c:delete val="1"/>
              <c:extLst>
                <c:ext xmlns:c15="http://schemas.microsoft.com/office/drawing/2012/chart" uri="{CE6537A1-D6FC-4f65-9D91-7224C49458BB}"/>
                <c:ext xmlns:c16="http://schemas.microsoft.com/office/drawing/2014/chart" uri="{C3380CC4-5D6E-409C-BE32-E72D297353CC}">
                  <c16:uniqueId val="{00000013-C484-44EC-8E2E-E33A20CC60B3}"/>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TABLICA!$Z$2:$AF$2</c:f>
              <c:strCache>
                <c:ptCount val="7"/>
                <c:pt idx="0">
                  <c:v>2013</c:v>
                </c:pt>
                <c:pt idx="1">
                  <c:v>2014</c:v>
                </c:pt>
                <c:pt idx="2">
                  <c:v>2015</c:v>
                </c:pt>
                <c:pt idx="3">
                  <c:v>2016</c:v>
                </c:pt>
                <c:pt idx="4">
                  <c:v>2017</c:v>
                </c:pt>
                <c:pt idx="5">
                  <c:v>2018</c:v>
                </c:pt>
                <c:pt idx="6">
                  <c:v>2019</c:v>
                </c:pt>
              </c:strCache>
            </c:strRef>
          </c:cat>
          <c:val>
            <c:numRef>
              <c:f>TABLICA!$Z$5:$AF$5</c:f>
              <c:numCache>
                <c:formatCode>0.0%</c:formatCode>
                <c:ptCount val="7"/>
                <c:pt idx="0">
                  <c:v>7.0000000000000001E-3</c:v>
                </c:pt>
                <c:pt idx="1">
                  <c:v>7.0000000000000001E-3</c:v>
                </c:pt>
                <c:pt idx="2">
                  <c:v>0.01</c:v>
                </c:pt>
                <c:pt idx="3">
                  <c:v>8.0000000000000002E-3</c:v>
                </c:pt>
                <c:pt idx="4">
                  <c:v>8.0000000000000002E-3</c:v>
                </c:pt>
                <c:pt idx="5">
                  <c:v>8.9999999999999993E-3</c:v>
                </c:pt>
                <c:pt idx="6">
                  <c:v>8.9999999999999993E-3</c:v>
                </c:pt>
              </c:numCache>
            </c:numRef>
          </c:val>
          <c:smooth val="0"/>
          <c:extLst>
            <c:ext xmlns:c16="http://schemas.microsoft.com/office/drawing/2014/chart" uri="{C3380CC4-5D6E-409C-BE32-E72D297353CC}">
              <c16:uniqueId val="{00000014-C484-44EC-8E2E-E33A20CC60B3}"/>
            </c:ext>
          </c:extLst>
        </c:ser>
        <c:ser>
          <c:idx val="3"/>
          <c:order val="3"/>
          <c:tx>
            <c:strRef>
              <c:f>TABLICA!$Y$6</c:f>
              <c:strCache>
                <c:ptCount val="1"/>
                <c:pt idx="0">
                  <c:v>Rzeszów</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15-C484-44EC-8E2E-E33A20CC60B3}"/>
                </c:ext>
              </c:extLst>
            </c:dLbl>
            <c:dLbl>
              <c:idx val="1"/>
              <c:delete val="1"/>
              <c:extLst>
                <c:ext xmlns:c15="http://schemas.microsoft.com/office/drawing/2012/chart" uri="{CE6537A1-D6FC-4f65-9D91-7224C49458BB}"/>
                <c:ext xmlns:c16="http://schemas.microsoft.com/office/drawing/2014/chart" uri="{C3380CC4-5D6E-409C-BE32-E72D297353CC}">
                  <c16:uniqueId val="{00000016-C484-44EC-8E2E-E33A20CC60B3}"/>
                </c:ext>
              </c:extLst>
            </c:dLbl>
            <c:dLbl>
              <c:idx val="2"/>
              <c:delete val="1"/>
              <c:extLst>
                <c:ext xmlns:c15="http://schemas.microsoft.com/office/drawing/2012/chart" uri="{CE6537A1-D6FC-4f65-9D91-7224C49458BB}"/>
                <c:ext xmlns:c16="http://schemas.microsoft.com/office/drawing/2014/chart" uri="{C3380CC4-5D6E-409C-BE32-E72D297353CC}">
                  <c16:uniqueId val="{00000017-C484-44EC-8E2E-E33A20CC60B3}"/>
                </c:ext>
              </c:extLst>
            </c:dLbl>
            <c:dLbl>
              <c:idx val="3"/>
              <c:delete val="1"/>
              <c:extLst>
                <c:ext xmlns:c15="http://schemas.microsoft.com/office/drawing/2012/chart" uri="{CE6537A1-D6FC-4f65-9D91-7224C49458BB}"/>
                <c:ext xmlns:c16="http://schemas.microsoft.com/office/drawing/2014/chart" uri="{C3380CC4-5D6E-409C-BE32-E72D297353CC}">
                  <c16:uniqueId val="{00000018-C484-44EC-8E2E-E33A20CC60B3}"/>
                </c:ext>
              </c:extLst>
            </c:dLbl>
            <c:dLbl>
              <c:idx val="4"/>
              <c:delete val="1"/>
              <c:extLst>
                <c:ext xmlns:c15="http://schemas.microsoft.com/office/drawing/2012/chart" uri="{CE6537A1-D6FC-4f65-9D91-7224C49458BB}"/>
                <c:ext xmlns:c16="http://schemas.microsoft.com/office/drawing/2014/chart" uri="{C3380CC4-5D6E-409C-BE32-E72D297353CC}">
                  <c16:uniqueId val="{00000019-C484-44EC-8E2E-E33A20CC60B3}"/>
                </c:ext>
              </c:extLst>
            </c:dLbl>
            <c:dLbl>
              <c:idx val="5"/>
              <c:delete val="1"/>
              <c:extLst>
                <c:ext xmlns:c15="http://schemas.microsoft.com/office/drawing/2012/chart" uri="{CE6537A1-D6FC-4f65-9D91-7224C49458BB}"/>
                <c:ext xmlns:c16="http://schemas.microsoft.com/office/drawing/2014/chart" uri="{C3380CC4-5D6E-409C-BE32-E72D297353CC}">
                  <c16:uniqueId val="{0000001A-C484-44EC-8E2E-E33A20CC60B3}"/>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TABLICA!$Z$2:$AF$2</c:f>
              <c:strCache>
                <c:ptCount val="7"/>
                <c:pt idx="0">
                  <c:v>2013</c:v>
                </c:pt>
                <c:pt idx="1">
                  <c:v>2014</c:v>
                </c:pt>
                <c:pt idx="2">
                  <c:v>2015</c:v>
                </c:pt>
                <c:pt idx="3">
                  <c:v>2016</c:v>
                </c:pt>
                <c:pt idx="4">
                  <c:v>2017</c:v>
                </c:pt>
                <c:pt idx="5">
                  <c:v>2018</c:v>
                </c:pt>
                <c:pt idx="6">
                  <c:v>2019</c:v>
                </c:pt>
              </c:strCache>
            </c:strRef>
          </c:cat>
          <c:val>
            <c:numRef>
              <c:f>TABLICA!$Z$6:$AF$6</c:f>
              <c:numCache>
                <c:formatCode>0.0%</c:formatCode>
                <c:ptCount val="7"/>
                <c:pt idx="0">
                  <c:v>8.9999999999999993E-3</c:v>
                </c:pt>
                <c:pt idx="1">
                  <c:v>8.9999999999999993E-3</c:v>
                </c:pt>
                <c:pt idx="2">
                  <c:v>7.0000000000000001E-3</c:v>
                </c:pt>
                <c:pt idx="3">
                  <c:v>8.9999999999999993E-3</c:v>
                </c:pt>
                <c:pt idx="4">
                  <c:v>1.0999999999999999E-2</c:v>
                </c:pt>
                <c:pt idx="5">
                  <c:v>1.4999999999999999E-2</c:v>
                </c:pt>
                <c:pt idx="6">
                  <c:v>1.6E-2</c:v>
                </c:pt>
              </c:numCache>
            </c:numRef>
          </c:val>
          <c:smooth val="0"/>
          <c:extLst>
            <c:ext xmlns:c16="http://schemas.microsoft.com/office/drawing/2014/chart" uri="{C3380CC4-5D6E-409C-BE32-E72D297353CC}">
              <c16:uniqueId val="{0000001B-C484-44EC-8E2E-E33A20CC60B3}"/>
            </c:ext>
          </c:extLst>
        </c:ser>
        <c:ser>
          <c:idx val="4"/>
          <c:order val="4"/>
          <c:tx>
            <c:strRef>
              <c:f>TABLICA!$Y$7</c:f>
              <c:strCache>
                <c:ptCount val="1"/>
                <c:pt idx="0">
                  <c:v>Lublin</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0"/>
              <c:layout>
                <c:manualLayout>
                  <c:x val="-7.5000000000000011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C484-44EC-8E2E-E33A20CC60B3}"/>
                </c:ext>
              </c:extLst>
            </c:dLbl>
            <c:dLbl>
              <c:idx val="1"/>
              <c:delete val="1"/>
              <c:extLst>
                <c:ext xmlns:c15="http://schemas.microsoft.com/office/drawing/2012/chart" uri="{CE6537A1-D6FC-4f65-9D91-7224C49458BB}"/>
                <c:ext xmlns:c16="http://schemas.microsoft.com/office/drawing/2014/chart" uri="{C3380CC4-5D6E-409C-BE32-E72D297353CC}">
                  <c16:uniqueId val="{0000001D-C484-44EC-8E2E-E33A20CC60B3}"/>
                </c:ext>
              </c:extLst>
            </c:dLbl>
            <c:dLbl>
              <c:idx val="2"/>
              <c:delete val="1"/>
              <c:extLst>
                <c:ext xmlns:c15="http://schemas.microsoft.com/office/drawing/2012/chart" uri="{CE6537A1-D6FC-4f65-9D91-7224C49458BB}"/>
                <c:ext xmlns:c16="http://schemas.microsoft.com/office/drawing/2014/chart" uri="{C3380CC4-5D6E-409C-BE32-E72D297353CC}">
                  <c16:uniqueId val="{0000001E-C484-44EC-8E2E-E33A20CC60B3}"/>
                </c:ext>
              </c:extLst>
            </c:dLbl>
            <c:dLbl>
              <c:idx val="3"/>
              <c:delete val="1"/>
              <c:extLst>
                <c:ext xmlns:c15="http://schemas.microsoft.com/office/drawing/2012/chart" uri="{CE6537A1-D6FC-4f65-9D91-7224C49458BB}"/>
                <c:ext xmlns:c16="http://schemas.microsoft.com/office/drawing/2014/chart" uri="{C3380CC4-5D6E-409C-BE32-E72D297353CC}">
                  <c16:uniqueId val="{0000001F-C484-44EC-8E2E-E33A20CC60B3}"/>
                </c:ext>
              </c:extLst>
            </c:dLbl>
            <c:dLbl>
              <c:idx val="4"/>
              <c:delete val="1"/>
              <c:extLst>
                <c:ext xmlns:c15="http://schemas.microsoft.com/office/drawing/2012/chart" uri="{CE6537A1-D6FC-4f65-9D91-7224C49458BB}"/>
                <c:ext xmlns:c16="http://schemas.microsoft.com/office/drawing/2014/chart" uri="{C3380CC4-5D6E-409C-BE32-E72D297353CC}">
                  <c16:uniqueId val="{00000020-C484-44EC-8E2E-E33A20CC60B3}"/>
                </c:ext>
              </c:extLst>
            </c:dLbl>
            <c:dLbl>
              <c:idx val="5"/>
              <c:delete val="1"/>
              <c:extLst>
                <c:ext xmlns:c15="http://schemas.microsoft.com/office/drawing/2012/chart" uri="{CE6537A1-D6FC-4f65-9D91-7224C49458BB}"/>
                <c:ext xmlns:c16="http://schemas.microsoft.com/office/drawing/2014/chart" uri="{C3380CC4-5D6E-409C-BE32-E72D297353CC}">
                  <c16:uniqueId val="{00000021-C484-44EC-8E2E-E33A20CC60B3}"/>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TABLICA!$Z$2:$AF$2</c:f>
              <c:strCache>
                <c:ptCount val="7"/>
                <c:pt idx="0">
                  <c:v>2013</c:v>
                </c:pt>
                <c:pt idx="1">
                  <c:v>2014</c:v>
                </c:pt>
                <c:pt idx="2">
                  <c:v>2015</c:v>
                </c:pt>
                <c:pt idx="3">
                  <c:v>2016</c:v>
                </c:pt>
                <c:pt idx="4">
                  <c:v>2017</c:v>
                </c:pt>
                <c:pt idx="5">
                  <c:v>2018</c:v>
                </c:pt>
                <c:pt idx="6">
                  <c:v>2019</c:v>
                </c:pt>
              </c:strCache>
            </c:strRef>
          </c:cat>
          <c:val>
            <c:numRef>
              <c:f>TABLICA!$Z$7:$AF$7</c:f>
              <c:numCache>
                <c:formatCode>0.0%</c:formatCode>
                <c:ptCount val="7"/>
                <c:pt idx="0">
                  <c:v>8.9999999999999993E-3</c:v>
                </c:pt>
                <c:pt idx="1">
                  <c:v>0.01</c:v>
                </c:pt>
                <c:pt idx="2">
                  <c:v>0.01</c:v>
                </c:pt>
                <c:pt idx="3">
                  <c:v>8.9999999999999993E-3</c:v>
                </c:pt>
                <c:pt idx="4">
                  <c:v>8.0000000000000002E-3</c:v>
                </c:pt>
                <c:pt idx="5">
                  <c:v>7.0000000000000001E-3</c:v>
                </c:pt>
                <c:pt idx="6">
                  <c:v>7.0000000000000001E-3</c:v>
                </c:pt>
              </c:numCache>
            </c:numRef>
          </c:val>
          <c:smooth val="0"/>
          <c:extLst>
            <c:ext xmlns:c16="http://schemas.microsoft.com/office/drawing/2014/chart" uri="{C3380CC4-5D6E-409C-BE32-E72D297353CC}">
              <c16:uniqueId val="{00000022-C484-44EC-8E2E-E33A20CC60B3}"/>
            </c:ext>
          </c:extLst>
        </c:ser>
        <c:dLbls>
          <c:showLegendKey val="0"/>
          <c:showVal val="0"/>
          <c:showCatName val="0"/>
          <c:showSerName val="0"/>
          <c:showPercent val="0"/>
          <c:showBubbleSize val="0"/>
        </c:dLbls>
        <c:marker val="1"/>
        <c:smooth val="0"/>
        <c:axId val="311710920"/>
        <c:axId val="311711248"/>
      </c:lineChart>
      <c:catAx>
        <c:axId val="311710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11711248"/>
        <c:crosses val="autoZero"/>
        <c:auto val="1"/>
        <c:lblAlgn val="ctr"/>
        <c:lblOffset val="100"/>
        <c:noMultiLvlLbl val="0"/>
      </c:catAx>
      <c:valAx>
        <c:axId val="3117112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11710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TABLICA!$L$28</c:f>
              <c:strCache>
                <c:ptCount val="1"/>
                <c:pt idx="0">
                  <c:v>Olsztyn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TABLICA!$M$27:$T$27</c:f>
              <c:strCache>
                <c:ptCount val="8"/>
                <c:pt idx="0">
                  <c:v>2013</c:v>
                </c:pt>
                <c:pt idx="1">
                  <c:v>2014</c:v>
                </c:pt>
                <c:pt idx="2">
                  <c:v>2015</c:v>
                </c:pt>
                <c:pt idx="3">
                  <c:v>2016</c:v>
                </c:pt>
                <c:pt idx="4">
                  <c:v>2017</c:v>
                </c:pt>
                <c:pt idx="5">
                  <c:v>2018</c:v>
                </c:pt>
                <c:pt idx="6">
                  <c:v>2019</c:v>
                </c:pt>
                <c:pt idx="7">
                  <c:v>2020</c:v>
                </c:pt>
              </c:strCache>
            </c:strRef>
          </c:cat>
          <c:val>
            <c:numRef>
              <c:f>TABLICA!$M$28:$T$28</c:f>
              <c:numCache>
                <c:formatCode>#\ ##0.0</c:formatCode>
                <c:ptCount val="8"/>
                <c:pt idx="0">
                  <c:v>8.4</c:v>
                </c:pt>
                <c:pt idx="1">
                  <c:v>6.8</c:v>
                </c:pt>
                <c:pt idx="2">
                  <c:v>5.8</c:v>
                </c:pt>
                <c:pt idx="3">
                  <c:v>5.0999999999999996</c:v>
                </c:pt>
                <c:pt idx="4">
                  <c:v>4.5</c:v>
                </c:pt>
                <c:pt idx="5">
                  <c:v>3.5</c:v>
                </c:pt>
                <c:pt idx="6">
                  <c:v>2.7</c:v>
                </c:pt>
                <c:pt idx="7">
                  <c:v>3.4</c:v>
                </c:pt>
              </c:numCache>
            </c:numRef>
          </c:val>
          <c:extLst>
            <c:ext xmlns:c16="http://schemas.microsoft.com/office/drawing/2014/chart" uri="{C3380CC4-5D6E-409C-BE32-E72D297353CC}">
              <c16:uniqueId val="{00000000-F48E-49F9-9DAB-59DD38B20609}"/>
            </c:ext>
          </c:extLst>
        </c:ser>
        <c:ser>
          <c:idx val="1"/>
          <c:order val="1"/>
          <c:tx>
            <c:strRef>
              <c:f>TABLICA!$L$29</c:f>
              <c:strCache>
                <c:ptCount val="1"/>
                <c:pt idx="0">
                  <c:v>Kielce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TABLICA!$M$27:$T$27</c:f>
              <c:strCache>
                <c:ptCount val="8"/>
                <c:pt idx="0">
                  <c:v>2013</c:v>
                </c:pt>
                <c:pt idx="1">
                  <c:v>2014</c:v>
                </c:pt>
                <c:pt idx="2">
                  <c:v>2015</c:v>
                </c:pt>
                <c:pt idx="3">
                  <c:v>2016</c:v>
                </c:pt>
                <c:pt idx="4">
                  <c:v>2017</c:v>
                </c:pt>
                <c:pt idx="5">
                  <c:v>2018</c:v>
                </c:pt>
                <c:pt idx="6">
                  <c:v>2019</c:v>
                </c:pt>
                <c:pt idx="7">
                  <c:v>2020</c:v>
                </c:pt>
              </c:strCache>
            </c:strRef>
          </c:cat>
          <c:val>
            <c:numRef>
              <c:f>TABLICA!$M$29:$T$29</c:f>
              <c:numCache>
                <c:formatCode>#\ ##0.0</c:formatCode>
                <c:ptCount val="8"/>
                <c:pt idx="0">
                  <c:v>11.3</c:v>
                </c:pt>
                <c:pt idx="1">
                  <c:v>9.8000000000000007</c:v>
                </c:pt>
                <c:pt idx="2">
                  <c:v>8.8000000000000007</c:v>
                </c:pt>
                <c:pt idx="3">
                  <c:v>7.6</c:v>
                </c:pt>
                <c:pt idx="4">
                  <c:v>5.8</c:v>
                </c:pt>
                <c:pt idx="5">
                  <c:v>5.5</c:v>
                </c:pt>
                <c:pt idx="6">
                  <c:v>4.8</c:v>
                </c:pt>
                <c:pt idx="7">
                  <c:v>5.6</c:v>
                </c:pt>
              </c:numCache>
            </c:numRef>
          </c:val>
          <c:extLst>
            <c:ext xmlns:c16="http://schemas.microsoft.com/office/drawing/2014/chart" uri="{C3380CC4-5D6E-409C-BE32-E72D297353CC}">
              <c16:uniqueId val="{00000001-F48E-49F9-9DAB-59DD38B20609}"/>
            </c:ext>
          </c:extLst>
        </c:ser>
        <c:ser>
          <c:idx val="2"/>
          <c:order val="2"/>
          <c:tx>
            <c:strRef>
              <c:f>TABLICA!$L$30</c:f>
              <c:strCache>
                <c:ptCount val="1"/>
                <c:pt idx="0">
                  <c:v>Białystok</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TABLICA!$M$27:$T$27</c:f>
              <c:strCache>
                <c:ptCount val="8"/>
                <c:pt idx="0">
                  <c:v>2013</c:v>
                </c:pt>
                <c:pt idx="1">
                  <c:v>2014</c:v>
                </c:pt>
                <c:pt idx="2">
                  <c:v>2015</c:v>
                </c:pt>
                <c:pt idx="3">
                  <c:v>2016</c:v>
                </c:pt>
                <c:pt idx="4">
                  <c:v>2017</c:v>
                </c:pt>
                <c:pt idx="5">
                  <c:v>2018</c:v>
                </c:pt>
                <c:pt idx="6">
                  <c:v>2019</c:v>
                </c:pt>
                <c:pt idx="7">
                  <c:v>2020</c:v>
                </c:pt>
              </c:strCache>
            </c:strRef>
          </c:cat>
          <c:val>
            <c:numRef>
              <c:f>TABLICA!$M$30:$T$30</c:f>
              <c:numCache>
                <c:formatCode>#\ ##0.0</c:formatCode>
                <c:ptCount val="8"/>
                <c:pt idx="0">
                  <c:v>13.7</c:v>
                </c:pt>
                <c:pt idx="1">
                  <c:v>11.9</c:v>
                </c:pt>
                <c:pt idx="2">
                  <c:v>10.5</c:v>
                </c:pt>
                <c:pt idx="3">
                  <c:v>8.9</c:v>
                </c:pt>
                <c:pt idx="4">
                  <c:v>7</c:v>
                </c:pt>
                <c:pt idx="5">
                  <c:v>6.2</c:v>
                </c:pt>
                <c:pt idx="6">
                  <c:v>5.4</c:v>
                </c:pt>
                <c:pt idx="7">
                  <c:v>6.9</c:v>
                </c:pt>
              </c:numCache>
            </c:numRef>
          </c:val>
          <c:extLst>
            <c:ext xmlns:c16="http://schemas.microsoft.com/office/drawing/2014/chart" uri="{C3380CC4-5D6E-409C-BE32-E72D297353CC}">
              <c16:uniqueId val="{00000002-F48E-49F9-9DAB-59DD38B20609}"/>
            </c:ext>
          </c:extLst>
        </c:ser>
        <c:ser>
          <c:idx val="3"/>
          <c:order val="3"/>
          <c:tx>
            <c:strRef>
              <c:f>TABLICA!$L$31</c:f>
              <c:strCache>
                <c:ptCount val="1"/>
                <c:pt idx="0">
                  <c:v>Rzeszów</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TABLICA!$M$27:$T$27</c:f>
              <c:strCache>
                <c:ptCount val="8"/>
                <c:pt idx="0">
                  <c:v>2013</c:v>
                </c:pt>
                <c:pt idx="1">
                  <c:v>2014</c:v>
                </c:pt>
                <c:pt idx="2">
                  <c:v>2015</c:v>
                </c:pt>
                <c:pt idx="3">
                  <c:v>2016</c:v>
                </c:pt>
                <c:pt idx="4">
                  <c:v>2017</c:v>
                </c:pt>
                <c:pt idx="5">
                  <c:v>2018</c:v>
                </c:pt>
                <c:pt idx="6">
                  <c:v>2019</c:v>
                </c:pt>
                <c:pt idx="7">
                  <c:v>2020</c:v>
                </c:pt>
              </c:strCache>
            </c:strRef>
          </c:cat>
          <c:val>
            <c:numRef>
              <c:f>TABLICA!$M$31:$T$31</c:f>
              <c:numCache>
                <c:formatCode>#\ ##0.0</c:formatCode>
                <c:ptCount val="8"/>
                <c:pt idx="0">
                  <c:v>8.4</c:v>
                </c:pt>
                <c:pt idx="1">
                  <c:v>7.5</c:v>
                </c:pt>
                <c:pt idx="2">
                  <c:v>7.3</c:v>
                </c:pt>
                <c:pt idx="3">
                  <c:v>6.6</c:v>
                </c:pt>
                <c:pt idx="4">
                  <c:v>5.4</c:v>
                </c:pt>
                <c:pt idx="5">
                  <c:v>5.2</c:v>
                </c:pt>
                <c:pt idx="6">
                  <c:v>4.8</c:v>
                </c:pt>
                <c:pt idx="7">
                  <c:v>5.7</c:v>
                </c:pt>
              </c:numCache>
            </c:numRef>
          </c:val>
          <c:extLst>
            <c:ext xmlns:c16="http://schemas.microsoft.com/office/drawing/2014/chart" uri="{C3380CC4-5D6E-409C-BE32-E72D297353CC}">
              <c16:uniqueId val="{00000003-F48E-49F9-9DAB-59DD38B20609}"/>
            </c:ext>
          </c:extLst>
        </c:ser>
        <c:ser>
          <c:idx val="4"/>
          <c:order val="4"/>
          <c:tx>
            <c:strRef>
              <c:f>TABLICA!$L$32</c:f>
              <c:strCache>
                <c:ptCount val="1"/>
                <c:pt idx="0">
                  <c:v>Lublin</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20000"/>
                        <a:lumOff val="80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TABLICA!$M$27:$T$27</c:f>
              <c:strCache>
                <c:ptCount val="8"/>
                <c:pt idx="0">
                  <c:v>2013</c:v>
                </c:pt>
                <c:pt idx="1">
                  <c:v>2014</c:v>
                </c:pt>
                <c:pt idx="2">
                  <c:v>2015</c:v>
                </c:pt>
                <c:pt idx="3">
                  <c:v>2016</c:v>
                </c:pt>
                <c:pt idx="4">
                  <c:v>2017</c:v>
                </c:pt>
                <c:pt idx="5">
                  <c:v>2018</c:v>
                </c:pt>
                <c:pt idx="6">
                  <c:v>2019</c:v>
                </c:pt>
                <c:pt idx="7">
                  <c:v>2020</c:v>
                </c:pt>
              </c:strCache>
            </c:strRef>
          </c:cat>
          <c:val>
            <c:numRef>
              <c:f>TABLICA!$M$32:$T$32</c:f>
              <c:numCache>
                <c:formatCode>#\ ##0.0</c:formatCode>
                <c:ptCount val="8"/>
                <c:pt idx="0">
                  <c:v>10</c:v>
                </c:pt>
                <c:pt idx="1">
                  <c:v>8.6</c:v>
                </c:pt>
                <c:pt idx="2">
                  <c:v>7.9</c:v>
                </c:pt>
                <c:pt idx="3">
                  <c:v>7.2</c:v>
                </c:pt>
                <c:pt idx="4">
                  <c:v>6.2</c:v>
                </c:pt>
                <c:pt idx="5">
                  <c:v>5.5</c:v>
                </c:pt>
                <c:pt idx="6">
                  <c:v>4.9000000000000004</c:v>
                </c:pt>
                <c:pt idx="7">
                  <c:v>5.6</c:v>
                </c:pt>
              </c:numCache>
            </c:numRef>
          </c:val>
          <c:extLst>
            <c:ext xmlns:c16="http://schemas.microsoft.com/office/drawing/2014/chart" uri="{C3380CC4-5D6E-409C-BE32-E72D297353CC}">
              <c16:uniqueId val="{00000004-F48E-49F9-9DAB-59DD38B20609}"/>
            </c:ext>
          </c:extLst>
        </c:ser>
        <c:dLbls>
          <c:showLegendKey val="0"/>
          <c:showVal val="0"/>
          <c:showCatName val="0"/>
          <c:showSerName val="0"/>
          <c:showPercent val="0"/>
          <c:showBubbleSize val="0"/>
        </c:dLbls>
        <c:gapWidth val="150"/>
        <c:overlap val="100"/>
        <c:axId val="451002384"/>
        <c:axId val="451001728"/>
      </c:barChart>
      <c:catAx>
        <c:axId val="451002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51001728"/>
        <c:crosses val="autoZero"/>
        <c:auto val="1"/>
        <c:lblAlgn val="ctr"/>
        <c:lblOffset val="100"/>
        <c:noMultiLvlLbl val="0"/>
      </c:catAx>
      <c:valAx>
        <c:axId val="451001728"/>
        <c:scaling>
          <c:orientation val="minMax"/>
        </c:scaling>
        <c:delete val="0"/>
        <c:axPos val="b"/>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51002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578089259973289E-2"/>
          <c:y val="4.946736650170222E-2"/>
          <c:w val="0.87612755654083241"/>
          <c:h val="0.74656163330480307"/>
        </c:manualLayout>
      </c:layout>
      <c:barChart>
        <c:barDir val="bar"/>
        <c:grouping val="stacked"/>
        <c:varyColors val="0"/>
        <c:ser>
          <c:idx val="0"/>
          <c:order val="0"/>
          <c:tx>
            <c:strRef>
              <c:f>TABLICA!$L$37</c:f>
              <c:strCache>
                <c:ptCount val="1"/>
                <c:pt idx="0">
                  <c:v>powiat olsztyński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TABLICA!$M$36:$T$36</c:f>
              <c:strCache>
                <c:ptCount val="8"/>
                <c:pt idx="0">
                  <c:v>2013</c:v>
                </c:pt>
                <c:pt idx="1">
                  <c:v>2014</c:v>
                </c:pt>
                <c:pt idx="2">
                  <c:v>2015</c:v>
                </c:pt>
                <c:pt idx="3">
                  <c:v>2016</c:v>
                </c:pt>
                <c:pt idx="4">
                  <c:v>2017</c:v>
                </c:pt>
                <c:pt idx="5">
                  <c:v>2018</c:v>
                </c:pt>
                <c:pt idx="6">
                  <c:v>2019</c:v>
                </c:pt>
                <c:pt idx="7">
                  <c:v>2020</c:v>
                </c:pt>
              </c:strCache>
            </c:strRef>
          </c:cat>
          <c:val>
            <c:numRef>
              <c:f>TABLICA!$M$37:$T$37</c:f>
              <c:numCache>
                <c:formatCode>#\ ##0.0</c:formatCode>
                <c:ptCount val="8"/>
                <c:pt idx="0">
                  <c:v>22.8</c:v>
                </c:pt>
                <c:pt idx="1">
                  <c:v>19.899999999999999</c:v>
                </c:pt>
                <c:pt idx="2">
                  <c:v>17.5</c:v>
                </c:pt>
                <c:pt idx="3">
                  <c:v>15.3</c:v>
                </c:pt>
                <c:pt idx="4">
                  <c:v>13.1</c:v>
                </c:pt>
                <c:pt idx="5">
                  <c:v>10.7</c:v>
                </c:pt>
                <c:pt idx="6">
                  <c:v>8.8000000000000007</c:v>
                </c:pt>
                <c:pt idx="7">
                  <c:v>10.4</c:v>
                </c:pt>
              </c:numCache>
            </c:numRef>
          </c:val>
          <c:extLst>
            <c:ext xmlns:c16="http://schemas.microsoft.com/office/drawing/2014/chart" uri="{C3380CC4-5D6E-409C-BE32-E72D297353CC}">
              <c16:uniqueId val="{00000000-CF98-47DD-8563-010E9F8C9A6F}"/>
            </c:ext>
          </c:extLst>
        </c:ser>
        <c:ser>
          <c:idx val="1"/>
          <c:order val="1"/>
          <c:tx>
            <c:strRef>
              <c:f>TABLICA!$L$38</c:f>
              <c:strCache>
                <c:ptCount val="1"/>
                <c:pt idx="0">
                  <c:v>powiat kielecki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TABLICA!$M$36:$T$36</c:f>
              <c:strCache>
                <c:ptCount val="8"/>
                <c:pt idx="0">
                  <c:v>2013</c:v>
                </c:pt>
                <c:pt idx="1">
                  <c:v>2014</c:v>
                </c:pt>
                <c:pt idx="2">
                  <c:v>2015</c:v>
                </c:pt>
                <c:pt idx="3">
                  <c:v>2016</c:v>
                </c:pt>
                <c:pt idx="4">
                  <c:v>2017</c:v>
                </c:pt>
                <c:pt idx="5">
                  <c:v>2018</c:v>
                </c:pt>
                <c:pt idx="6">
                  <c:v>2019</c:v>
                </c:pt>
                <c:pt idx="7">
                  <c:v>2020</c:v>
                </c:pt>
              </c:strCache>
            </c:strRef>
          </c:cat>
          <c:val>
            <c:numRef>
              <c:f>TABLICA!$M$38:$T$38</c:f>
              <c:numCache>
                <c:formatCode>#\ ##0.0</c:formatCode>
                <c:ptCount val="8"/>
                <c:pt idx="0">
                  <c:v>20.399999999999999</c:v>
                </c:pt>
                <c:pt idx="1">
                  <c:v>16.600000000000001</c:v>
                </c:pt>
                <c:pt idx="2">
                  <c:v>15.3</c:v>
                </c:pt>
                <c:pt idx="3">
                  <c:v>13.6</c:v>
                </c:pt>
                <c:pt idx="4">
                  <c:v>11.3</c:v>
                </c:pt>
                <c:pt idx="5">
                  <c:v>10.7</c:v>
                </c:pt>
                <c:pt idx="6">
                  <c:v>10.4</c:v>
                </c:pt>
                <c:pt idx="7">
                  <c:v>9.5</c:v>
                </c:pt>
              </c:numCache>
            </c:numRef>
          </c:val>
          <c:extLst>
            <c:ext xmlns:c16="http://schemas.microsoft.com/office/drawing/2014/chart" uri="{C3380CC4-5D6E-409C-BE32-E72D297353CC}">
              <c16:uniqueId val="{00000001-CF98-47DD-8563-010E9F8C9A6F}"/>
            </c:ext>
          </c:extLst>
        </c:ser>
        <c:ser>
          <c:idx val="2"/>
          <c:order val="2"/>
          <c:tx>
            <c:strRef>
              <c:f>TABLICA!$L$39</c:f>
              <c:strCache>
                <c:ptCount val="1"/>
                <c:pt idx="0">
                  <c:v>powiat białostocki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TABLICA!$M$36:$T$36</c:f>
              <c:strCache>
                <c:ptCount val="8"/>
                <c:pt idx="0">
                  <c:v>2013</c:v>
                </c:pt>
                <c:pt idx="1">
                  <c:v>2014</c:v>
                </c:pt>
                <c:pt idx="2">
                  <c:v>2015</c:v>
                </c:pt>
                <c:pt idx="3">
                  <c:v>2016</c:v>
                </c:pt>
                <c:pt idx="4">
                  <c:v>2017</c:v>
                </c:pt>
                <c:pt idx="5">
                  <c:v>2018</c:v>
                </c:pt>
                <c:pt idx="6">
                  <c:v>2019</c:v>
                </c:pt>
                <c:pt idx="7">
                  <c:v>2020</c:v>
                </c:pt>
              </c:strCache>
            </c:strRef>
          </c:cat>
          <c:val>
            <c:numRef>
              <c:f>TABLICA!$M$39:$T$39</c:f>
              <c:numCache>
                <c:formatCode>#\ ##0.0</c:formatCode>
                <c:ptCount val="8"/>
                <c:pt idx="0">
                  <c:v>18.3</c:v>
                </c:pt>
                <c:pt idx="1">
                  <c:v>15.7</c:v>
                </c:pt>
                <c:pt idx="2">
                  <c:v>14.3</c:v>
                </c:pt>
                <c:pt idx="3">
                  <c:v>12.1</c:v>
                </c:pt>
                <c:pt idx="4">
                  <c:v>10.1</c:v>
                </c:pt>
                <c:pt idx="5">
                  <c:v>8.6</c:v>
                </c:pt>
                <c:pt idx="6">
                  <c:v>7.7</c:v>
                </c:pt>
                <c:pt idx="7">
                  <c:v>9.4</c:v>
                </c:pt>
              </c:numCache>
            </c:numRef>
          </c:val>
          <c:extLst>
            <c:ext xmlns:c16="http://schemas.microsoft.com/office/drawing/2014/chart" uri="{C3380CC4-5D6E-409C-BE32-E72D297353CC}">
              <c16:uniqueId val="{00000002-CF98-47DD-8563-010E9F8C9A6F}"/>
            </c:ext>
          </c:extLst>
        </c:ser>
        <c:ser>
          <c:idx val="3"/>
          <c:order val="3"/>
          <c:tx>
            <c:strRef>
              <c:f>TABLICA!$L$40</c:f>
              <c:strCache>
                <c:ptCount val="1"/>
                <c:pt idx="0">
                  <c:v>powiat rzeszowski</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TABLICA!$M$36:$T$36</c:f>
              <c:strCache>
                <c:ptCount val="8"/>
                <c:pt idx="0">
                  <c:v>2013</c:v>
                </c:pt>
                <c:pt idx="1">
                  <c:v>2014</c:v>
                </c:pt>
                <c:pt idx="2">
                  <c:v>2015</c:v>
                </c:pt>
                <c:pt idx="3">
                  <c:v>2016</c:v>
                </c:pt>
                <c:pt idx="4">
                  <c:v>2017</c:v>
                </c:pt>
                <c:pt idx="5">
                  <c:v>2018</c:v>
                </c:pt>
                <c:pt idx="6">
                  <c:v>2019</c:v>
                </c:pt>
                <c:pt idx="7">
                  <c:v>2020</c:v>
                </c:pt>
              </c:strCache>
            </c:strRef>
          </c:cat>
          <c:val>
            <c:numRef>
              <c:f>TABLICA!$M$40:$T$40</c:f>
              <c:numCache>
                <c:formatCode>#\ ##0.0</c:formatCode>
                <c:ptCount val="8"/>
                <c:pt idx="0">
                  <c:v>14.8</c:v>
                </c:pt>
                <c:pt idx="1">
                  <c:v>13.9</c:v>
                </c:pt>
                <c:pt idx="2">
                  <c:v>12.8</c:v>
                </c:pt>
                <c:pt idx="3">
                  <c:v>10.9</c:v>
                </c:pt>
                <c:pt idx="4">
                  <c:v>9.3000000000000007</c:v>
                </c:pt>
                <c:pt idx="5">
                  <c:v>8.6999999999999993</c:v>
                </c:pt>
                <c:pt idx="6">
                  <c:v>7.8</c:v>
                </c:pt>
                <c:pt idx="7">
                  <c:v>8.9</c:v>
                </c:pt>
              </c:numCache>
            </c:numRef>
          </c:val>
          <c:extLst>
            <c:ext xmlns:c16="http://schemas.microsoft.com/office/drawing/2014/chart" uri="{C3380CC4-5D6E-409C-BE32-E72D297353CC}">
              <c16:uniqueId val="{00000003-CF98-47DD-8563-010E9F8C9A6F}"/>
            </c:ext>
          </c:extLst>
        </c:ser>
        <c:ser>
          <c:idx val="4"/>
          <c:order val="4"/>
          <c:tx>
            <c:strRef>
              <c:f>TABLICA!$L$41</c:f>
              <c:strCache>
                <c:ptCount val="1"/>
                <c:pt idx="0">
                  <c:v>powiat lubelski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20000"/>
                        <a:lumOff val="80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TABLICA!$M$36:$T$36</c:f>
              <c:strCache>
                <c:ptCount val="8"/>
                <c:pt idx="0">
                  <c:v>2013</c:v>
                </c:pt>
                <c:pt idx="1">
                  <c:v>2014</c:v>
                </c:pt>
                <c:pt idx="2">
                  <c:v>2015</c:v>
                </c:pt>
                <c:pt idx="3">
                  <c:v>2016</c:v>
                </c:pt>
                <c:pt idx="4">
                  <c:v>2017</c:v>
                </c:pt>
                <c:pt idx="5">
                  <c:v>2018</c:v>
                </c:pt>
                <c:pt idx="6">
                  <c:v>2019</c:v>
                </c:pt>
                <c:pt idx="7">
                  <c:v>2020</c:v>
                </c:pt>
              </c:strCache>
            </c:strRef>
          </c:cat>
          <c:val>
            <c:numRef>
              <c:f>TABLICA!$M$41:$T$41</c:f>
              <c:numCache>
                <c:formatCode>#\ ##0.0</c:formatCode>
                <c:ptCount val="8"/>
                <c:pt idx="0">
                  <c:v>12.9</c:v>
                </c:pt>
                <c:pt idx="1">
                  <c:v>11</c:v>
                </c:pt>
                <c:pt idx="2">
                  <c:v>10</c:v>
                </c:pt>
                <c:pt idx="3">
                  <c:v>8.5</c:v>
                </c:pt>
                <c:pt idx="4">
                  <c:v>7.3</c:v>
                </c:pt>
                <c:pt idx="5">
                  <c:v>6.3</c:v>
                </c:pt>
                <c:pt idx="6">
                  <c:v>5.7</c:v>
                </c:pt>
                <c:pt idx="7">
                  <c:v>5.9</c:v>
                </c:pt>
              </c:numCache>
            </c:numRef>
          </c:val>
          <c:extLst>
            <c:ext xmlns:c16="http://schemas.microsoft.com/office/drawing/2014/chart" uri="{C3380CC4-5D6E-409C-BE32-E72D297353CC}">
              <c16:uniqueId val="{00000004-CF98-47DD-8563-010E9F8C9A6F}"/>
            </c:ext>
          </c:extLst>
        </c:ser>
        <c:dLbls>
          <c:showLegendKey val="0"/>
          <c:showVal val="0"/>
          <c:showCatName val="0"/>
          <c:showSerName val="0"/>
          <c:showPercent val="0"/>
          <c:showBubbleSize val="0"/>
        </c:dLbls>
        <c:gapWidth val="150"/>
        <c:overlap val="100"/>
        <c:axId val="435697664"/>
        <c:axId val="435697992"/>
      </c:barChart>
      <c:catAx>
        <c:axId val="4356976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35697992"/>
        <c:crosses val="autoZero"/>
        <c:auto val="1"/>
        <c:lblAlgn val="ctr"/>
        <c:lblOffset val="100"/>
        <c:noMultiLvlLbl val="0"/>
      </c:catAx>
      <c:valAx>
        <c:axId val="435697992"/>
        <c:scaling>
          <c:orientation val="minMax"/>
        </c:scaling>
        <c:delete val="0"/>
        <c:axPos val="b"/>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35697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TABLICA!$M$73</c:f>
              <c:strCache>
                <c:ptCount val="1"/>
                <c:pt idx="0">
                  <c:v>Olsztyn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6.7864272168149511E-2"/>
                  <c:y val="-2.24867713157328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B74-49AB-8B31-5C2139E48A2E}"/>
                </c:ext>
              </c:extLst>
            </c:dLbl>
            <c:dLbl>
              <c:idx val="1"/>
              <c:delete val="1"/>
              <c:extLst>
                <c:ext xmlns:c15="http://schemas.microsoft.com/office/drawing/2012/chart" uri="{CE6537A1-D6FC-4f65-9D91-7224C49458BB}"/>
                <c:ext xmlns:c16="http://schemas.microsoft.com/office/drawing/2014/chart" uri="{C3380CC4-5D6E-409C-BE32-E72D297353CC}">
                  <c16:uniqueId val="{00000001-CB74-49AB-8B31-5C2139E48A2E}"/>
                </c:ext>
              </c:extLst>
            </c:dLbl>
            <c:dLbl>
              <c:idx val="2"/>
              <c:delete val="1"/>
              <c:extLst>
                <c:ext xmlns:c15="http://schemas.microsoft.com/office/drawing/2012/chart" uri="{CE6537A1-D6FC-4f65-9D91-7224C49458BB}"/>
                <c:ext xmlns:c16="http://schemas.microsoft.com/office/drawing/2014/chart" uri="{C3380CC4-5D6E-409C-BE32-E72D297353CC}">
                  <c16:uniqueId val="{00000002-CB74-49AB-8B31-5C2139E48A2E}"/>
                </c:ext>
              </c:extLst>
            </c:dLbl>
            <c:dLbl>
              <c:idx val="3"/>
              <c:delete val="1"/>
              <c:extLst>
                <c:ext xmlns:c15="http://schemas.microsoft.com/office/drawing/2012/chart" uri="{CE6537A1-D6FC-4f65-9D91-7224C49458BB}"/>
                <c:ext xmlns:c16="http://schemas.microsoft.com/office/drawing/2014/chart" uri="{C3380CC4-5D6E-409C-BE32-E72D297353CC}">
                  <c16:uniqueId val="{00000003-CB74-49AB-8B31-5C2139E48A2E}"/>
                </c:ext>
              </c:extLst>
            </c:dLbl>
            <c:dLbl>
              <c:idx val="4"/>
              <c:delete val="1"/>
              <c:extLst>
                <c:ext xmlns:c15="http://schemas.microsoft.com/office/drawing/2012/chart" uri="{CE6537A1-D6FC-4f65-9D91-7224C49458BB}"/>
                <c:ext xmlns:c16="http://schemas.microsoft.com/office/drawing/2014/chart" uri="{C3380CC4-5D6E-409C-BE32-E72D297353CC}">
                  <c16:uniqueId val="{00000004-CB74-49AB-8B31-5C2139E48A2E}"/>
                </c:ext>
              </c:extLst>
            </c:dLbl>
            <c:dLbl>
              <c:idx val="5"/>
              <c:delete val="1"/>
              <c:extLst>
                <c:ext xmlns:c15="http://schemas.microsoft.com/office/drawing/2012/chart" uri="{CE6537A1-D6FC-4f65-9D91-7224C49458BB}"/>
                <c:ext xmlns:c16="http://schemas.microsoft.com/office/drawing/2014/chart" uri="{C3380CC4-5D6E-409C-BE32-E72D297353CC}">
                  <c16:uniqueId val="{00000005-CB74-49AB-8B31-5C2139E48A2E}"/>
                </c:ext>
              </c:extLst>
            </c:dLbl>
            <c:dLbl>
              <c:idx val="6"/>
              <c:layout>
                <c:manualLayout>
                  <c:x val="-3.8456420895284713E-2"/>
                  <c:y val="-2.99823617543105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B74-49AB-8B31-5C2139E48A2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TABLICA!$N$72:$U$72</c:f>
              <c:strCache>
                <c:ptCount val="8"/>
                <c:pt idx="0">
                  <c:v>2013</c:v>
                </c:pt>
                <c:pt idx="1">
                  <c:v>2014</c:v>
                </c:pt>
                <c:pt idx="2">
                  <c:v>2015</c:v>
                </c:pt>
                <c:pt idx="3">
                  <c:v>2016</c:v>
                </c:pt>
                <c:pt idx="4">
                  <c:v>2017</c:v>
                </c:pt>
                <c:pt idx="5">
                  <c:v>2018</c:v>
                </c:pt>
                <c:pt idx="6">
                  <c:v>2019</c:v>
                </c:pt>
                <c:pt idx="7">
                  <c:v>2020</c:v>
                </c:pt>
              </c:strCache>
            </c:strRef>
          </c:cat>
          <c:val>
            <c:numRef>
              <c:f>TABLICA!$N$73:$U$73</c:f>
              <c:numCache>
                <c:formatCode>0.0%</c:formatCode>
                <c:ptCount val="8"/>
                <c:pt idx="0">
                  <c:v>9.1999999999999998E-2</c:v>
                </c:pt>
                <c:pt idx="1">
                  <c:v>0.106</c:v>
                </c:pt>
                <c:pt idx="2">
                  <c:v>0.113</c:v>
                </c:pt>
                <c:pt idx="3">
                  <c:v>0.114</c:v>
                </c:pt>
                <c:pt idx="4">
                  <c:v>0.114</c:v>
                </c:pt>
                <c:pt idx="5">
                  <c:v>0.125</c:v>
                </c:pt>
                <c:pt idx="6">
                  <c:v>0.14099999999999999</c:v>
                </c:pt>
                <c:pt idx="7">
                  <c:v>9.4E-2</c:v>
                </c:pt>
              </c:numCache>
            </c:numRef>
          </c:val>
          <c:smooth val="0"/>
          <c:extLst>
            <c:ext xmlns:c16="http://schemas.microsoft.com/office/drawing/2014/chart" uri="{C3380CC4-5D6E-409C-BE32-E72D297353CC}">
              <c16:uniqueId val="{00000007-CB74-49AB-8B31-5C2139E48A2E}"/>
            </c:ext>
          </c:extLst>
        </c:ser>
        <c:ser>
          <c:idx val="1"/>
          <c:order val="1"/>
          <c:tx>
            <c:strRef>
              <c:f>TABLICA!$M$74</c:f>
              <c:strCache>
                <c:ptCount val="1"/>
                <c:pt idx="0">
                  <c:v>Kielce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6.868685571213852E-2"/>
                  <c:y val="0"/>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B74-49AB-8B31-5C2139E48A2E}"/>
                </c:ext>
              </c:extLst>
            </c:dLbl>
            <c:dLbl>
              <c:idx val="1"/>
              <c:delete val="1"/>
              <c:extLst>
                <c:ext xmlns:c15="http://schemas.microsoft.com/office/drawing/2012/chart" uri="{CE6537A1-D6FC-4f65-9D91-7224C49458BB}"/>
                <c:ext xmlns:c16="http://schemas.microsoft.com/office/drawing/2014/chart" uri="{C3380CC4-5D6E-409C-BE32-E72D297353CC}">
                  <c16:uniqueId val="{00000009-CB74-49AB-8B31-5C2139E48A2E}"/>
                </c:ext>
              </c:extLst>
            </c:dLbl>
            <c:dLbl>
              <c:idx val="2"/>
              <c:delete val="1"/>
              <c:extLst>
                <c:ext xmlns:c15="http://schemas.microsoft.com/office/drawing/2012/chart" uri="{CE6537A1-D6FC-4f65-9D91-7224C49458BB}"/>
                <c:ext xmlns:c16="http://schemas.microsoft.com/office/drawing/2014/chart" uri="{C3380CC4-5D6E-409C-BE32-E72D297353CC}">
                  <c16:uniqueId val="{0000000A-CB74-49AB-8B31-5C2139E48A2E}"/>
                </c:ext>
              </c:extLst>
            </c:dLbl>
            <c:dLbl>
              <c:idx val="3"/>
              <c:delete val="1"/>
              <c:extLst>
                <c:ext xmlns:c15="http://schemas.microsoft.com/office/drawing/2012/chart" uri="{CE6537A1-D6FC-4f65-9D91-7224C49458BB}"/>
                <c:ext xmlns:c16="http://schemas.microsoft.com/office/drawing/2014/chart" uri="{C3380CC4-5D6E-409C-BE32-E72D297353CC}">
                  <c16:uniqueId val="{0000000B-CB74-49AB-8B31-5C2139E48A2E}"/>
                </c:ext>
              </c:extLst>
            </c:dLbl>
            <c:dLbl>
              <c:idx val="4"/>
              <c:delete val="1"/>
              <c:extLst>
                <c:ext xmlns:c15="http://schemas.microsoft.com/office/drawing/2012/chart" uri="{CE6537A1-D6FC-4f65-9D91-7224C49458BB}"/>
                <c:ext xmlns:c16="http://schemas.microsoft.com/office/drawing/2014/chart" uri="{C3380CC4-5D6E-409C-BE32-E72D297353CC}">
                  <c16:uniqueId val="{0000000C-CB74-49AB-8B31-5C2139E48A2E}"/>
                </c:ext>
              </c:extLst>
            </c:dLbl>
            <c:dLbl>
              <c:idx val="5"/>
              <c:delete val="1"/>
              <c:extLst>
                <c:ext xmlns:c15="http://schemas.microsoft.com/office/drawing/2012/chart" uri="{CE6537A1-D6FC-4f65-9D91-7224C49458BB}"/>
                <c:ext xmlns:c16="http://schemas.microsoft.com/office/drawing/2014/chart" uri="{C3380CC4-5D6E-409C-BE32-E72D297353CC}">
                  <c16:uniqueId val="{0000000D-CB74-49AB-8B31-5C2139E48A2E}"/>
                </c:ext>
              </c:extLst>
            </c:dLbl>
            <c:dLbl>
              <c:idx val="6"/>
              <c:layout>
                <c:manualLayout>
                  <c:x val="-6.4393927230129867E-3"/>
                  <c:y val="-1.4589769010641395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B74-49AB-8B31-5C2139E48A2E}"/>
                </c:ext>
              </c:extLst>
            </c:dLbl>
            <c:dLbl>
              <c:idx val="7"/>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28-CB74-49AB-8B31-5C2139E48A2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TABLICA!$N$72:$U$72</c:f>
              <c:strCache>
                <c:ptCount val="8"/>
                <c:pt idx="0">
                  <c:v>2013</c:v>
                </c:pt>
                <c:pt idx="1">
                  <c:v>2014</c:v>
                </c:pt>
                <c:pt idx="2">
                  <c:v>2015</c:v>
                </c:pt>
                <c:pt idx="3">
                  <c:v>2016</c:v>
                </c:pt>
                <c:pt idx="4">
                  <c:v>2017</c:v>
                </c:pt>
                <c:pt idx="5">
                  <c:v>2018</c:v>
                </c:pt>
                <c:pt idx="6">
                  <c:v>2019</c:v>
                </c:pt>
                <c:pt idx="7">
                  <c:v>2020</c:v>
                </c:pt>
              </c:strCache>
            </c:strRef>
          </c:cat>
          <c:val>
            <c:numRef>
              <c:f>TABLICA!$N$74:$U$74</c:f>
              <c:numCache>
                <c:formatCode>0.0%</c:formatCode>
                <c:ptCount val="8"/>
                <c:pt idx="0">
                  <c:v>7.4999999999999997E-2</c:v>
                </c:pt>
                <c:pt idx="1">
                  <c:v>8.5999999999999993E-2</c:v>
                </c:pt>
                <c:pt idx="2">
                  <c:v>8.8999999999999996E-2</c:v>
                </c:pt>
                <c:pt idx="3">
                  <c:v>0.09</c:v>
                </c:pt>
                <c:pt idx="4">
                  <c:v>8.6999999999999994E-2</c:v>
                </c:pt>
                <c:pt idx="5">
                  <c:v>0.09</c:v>
                </c:pt>
                <c:pt idx="6">
                  <c:v>9.8000000000000004E-2</c:v>
                </c:pt>
                <c:pt idx="7">
                  <c:v>8.4000000000000005E-2</c:v>
                </c:pt>
              </c:numCache>
            </c:numRef>
          </c:val>
          <c:smooth val="0"/>
          <c:extLst>
            <c:ext xmlns:c16="http://schemas.microsoft.com/office/drawing/2014/chart" uri="{C3380CC4-5D6E-409C-BE32-E72D297353CC}">
              <c16:uniqueId val="{0000000F-CB74-49AB-8B31-5C2139E48A2E}"/>
            </c:ext>
          </c:extLst>
        </c:ser>
        <c:ser>
          <c:idx val="2"/>
          <c:order val="2"/>
          <c:tx>
            <c:strRef>
              <c:f>TABLICA!$M$75</c:f>
              <c:strCache>
                <c:ptCount val="1"/>
                <c:pt idx="0">
                  <c:v>Białystok</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6.7864272168149484E-2"/>
                  <c:y val="-3.74779521928881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CB74-49AB-8B31-5C2139E48A2E}"/>
                </c:ext>
              </c:extLst>
            </c:dLbl>
            <c:dLbl>
              <c:idx val="1"/>
              <c:delete val="1"/>
              <c:extLst>
                <c:ext xmlns:c15="http://schemas.microsoft.com/office/drawing/2012/chart" uri="{CE6537A1-D6FC-4f65-9D91-7224C49458BB}"/>
                <c:ext xmlns:c16="http://schemas.microsoft.com/office/drawing/2014/chart" uri="{C3380CC4-5D6E-409C-BE32-E72D297353CC}">
                  <c16:uniqueId val="{00000011-CB74-49AB-8B31-5C2139E48A2E}"/>
                </c:ext>
              </c:extLst>
            </c:dLbl>
            <c:dLbl>
              <c:idx val="2"/>
              <c:delete val="1"/>
              <c:extLst>
                <c:ext xmlns:c15="http://schemas.microsoft.com/office/drawing/2012/chart" uri="{CE6537A1-D6FC-4f65-9D91-7224C49458BB}"/>
                <c:ext xmlns:c16="http://schemas.microsoft.com/office/drawing/2014/chart" uri="{C3380CC4-5D6E-409C-BE32-E72D297353CC}">
                  <c16:uniqueId val="{00000012-CB74-49AB-8B31-5C2139E48A2E}"/>
                </c:ext>
              </c:extLst>
            </c:dLbl>
            <c:dLbl>
              <c:idx val="3"/>
              <c:delete val="1"/>
              <c:extLst>
                <c:ext xmlns:c15="http://schemas.microsoft.com/office/drawing/2012/chart" uri="{CE6537A1-D6FC-4f65-9D91-7224C49458BB}"/>
                <c:ext xmlns:c16="http://schemas.microsoft.com/office/drawing/2014/chart" uri="{C3380CC4-5D6E-409C-BE32-E72D297353CC}">
                  <c16:uniqueId val="{00000013-CB74-49AB-8B31-5C2139E48A2E}"/>
                </c:ext>
              </c:extLst>
            </c:dLbl>
            <c:dLbl>
              <c:idx val="4"/>
              <c:delete val="1"/>
              <c:extLst>
                <c:ext xmlns:c15="http://schemas.microsoft.com/office/drawing/2012/chart" uri="{CE6537A1-D6FC-4f65-9D91-7224C49458BB}"/>
                <c:ext xmlns:c16="http://schemas.microsoft.com/office/drawing/2014/chart" uri="{C3380CC4-5D6E-409C-BE32-E72D297353CC}">
                  <c16:uniqueId val="{00000014-CB74-49AB-8B31-5C2139E48A2E}"/>
                </c:ext>
              </c:extLst>
            </c:dLbl>
            <c:dLbl>
              <c:idx val="5"/>
              <c:delete val="1"/>
              <c:extLst>
                <c:ext xmlns:c15="http://schemas.microsoft.com/office/drawing/2012/chart" uri="{CE6537A1-D6FC-4f65-9D91-7224C49458BB}"/>
                <c:ext xmlns:c16="http://schemas.microsoft.com/office/drawing/2014/chart" uri="{C3380CC4-5D6E-409C-BE32-E72D297353CC}">
                  <c16:uniqueId val="{00000015-CB74-49AB-8B31-5C2139E48A2E}"/>
                </c:ext>
              </c:extLst>
            </c:dLbl>
            <c:dLbl>
              <c:idx val="6"/>
              <c:layout>
                <c:manualLayout>
                  <c:x val="-8.5858569640174728E-3"/>
                  <c:y val="-2.33436304170261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CB74-49AB-8B31-5C2139E48A2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TABLICA!$N$72:$U$72</c:f>
              <c:strCache>
                <c:ptCount val="8"/>
                <c:pt idx="0">
                  <c:v>2013</c:v>
                </c:pt>
                <c:pt idx="1">
                  <c:v>2014</c:v>
                </c:pt>
                <c:pt idx="2">
                  <c:v>2015</c:v>
                </c:pt>
                <c:pt idx="3">
                  <c:v>2016</c:v>
                </c:pt>
                <c:pt idx="4">
                  <c:v>2017</c:v>
                </c:pt>
                <c:pt idx="5">
                  <c:v>2018</c:v>
                </c:pt>
                <c:pt idx="6">
                  <c:v>2019</c:v>
                </c:pt>
                <c:pt idx="7">
                  <c:v>2020</c:v>
                </c:pt>
              </c:strCache>
            </c:strRef>
          </c:cat>
          <c:val>
            <c:numRef>
              <c:f>TABLICA!$N$75:$U$75</c:f>
              <c:numCache>
                <c:formatCode>0.0%</c:formatCode>
                <c:ptCount val="8"/>
                <c:pt idx="0">
                  <c:v>8.3000000000000004E-2</c:v>
                </c:pt>
                <c:pt idx="1">
                  <c:v>8.5000000000000006E-2</c:v>
                </c:pt>
                <c:pt idx="2">
                  <c:v>0.09</c:v>
                </c:pt>
                <c:pt idx="3">
                  <c:v>9.1999999999999998E-2</c:v>
                </c:pt>
                <c:pt idx="4">
                  <c:v>9.8000000000000004E-2</c:v>
                </c:pt>
                <c:pt idx="5">
                  <c:v>0.109</c:v>
                </c:pt>
                <c:pt idx="6">
                  <c:v>0.111</c:v>
                </c:pt>
                <c:pt idx="7">
                  <c:v>7.4999999999999997E-2</c:v>
                </c:pt>
              </c:numCache>
            </c:numRef>
          </c:val>
          <c:smooth val="0"/>
          <c:extLst>
            <c:ext xmlns:c16="http://schemas.microsoft.com/office/drawing/2014/chart" uri="{C3380CC4-5D6E-409C-BE32-E72D297353CC}">
              <c16:uniqueId val="{00000017-CB74-49AB-8B31-5C2139E48A2E}"/>
            </c:ext>
          </c:extLst>
        </c:ser>
        <c:ser>
          <c:idx val="3"/>
          <c:order val="3"/>
          <c:tx>
            <c:strRef>
              <c:f>TABLICA!$M$76</c:f>
              <c:strCache>
                <c:ptCount val="1"/>
                <c:pt idx="0">
                  <c:v>Rzeszów</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6.7864272168149484E-2"/>
                  <c:y val="-6.8708785290544024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CB74-49AB-8B31-5C2139E48A2E}"/>
                </c:ext>
              </c:extLst>
            </c:dLbl>
            <c:dLbl>
              <c:idx val="1"/>
              <c:delete val="1"/>
              <c:extLst>
                <c:ext xmlns:c15="http://schemas.microsoft.com/office/drawing/2012/chart" uri="{CE6537A1-D6FC-4f65-9D91-7224C49458BB}"/>
                <c:ext xmlns:c16="http://schemas.microsoft.com/office/drawing/2014/chart" uri="{C3380CC4-5D6E-409C-BE32-E72D297353CC}">
                  <c16:uniqueId val="{00000019-CB74-49AB-8B31-5C2139E48A2E}"/>
                </c:ext>
              </c:extLst>
            </c:dLbl>
            <c:dLbl>
              <c:idx val="2"/>
              <c:delete val="1"/>
              <c:extLst>
                <c:ext xmlns:c15="http://schemas.microsoft.com/office/drawing/2012/chart" uri="{CE6537A1-D6FC-4f65-9D91-7224C49458BB}"/>
                <c:ext xmlns:c16="http://schemas.microsoft.com/office/drawing/2014/chart" uri="{C3380CC4-5D6E-409C-BE32-E72D297353CC}">
                  <c16:uniqueId val="{0000001A-CB74-49AB-8B31-5C2139E48A2E}"/>
                </c:ext>
              </c:extLst>
            </c:dLbl>
            <c:dLbl>
              <c:idx val="3"/>
              <c:delete val="1"/>
              <c:extLst>
                <c:ext xmlns:c15="http://schemas.microsoft.com/office/drawing/2012/chart" uri="{CE6537A1-D6FC-4f65-9D91-7224C49458BB}"/>
                <c:ext xmlns:c16="http://schemas.microsoft.com/office/drawing/2014/chart" uri="{C3380CC4-5D6E-409C-BE32-E72D297353CC}">
                  <c16:uniqueId val="{0000001B-CB74-49AB-8B31-5C2139E48A2E}"/>
                </c:ext>
              </c:extLst>
            </c:dLbl>
            <c:dLbl>
              <c:idx val="4"/>
              <c:delete val="1"/>
              <c:extLst>
                <c:ext xmlns:c15="http://schemas.microsoft.com/office/drawing/2012/chart" uri="{CE6537A1-D6FC-4f65-9D91-7224C49458BB}"/>
                <c:ext xmlns:c16="http://schemas.microsoft.com/office/drawing/2014/chart" uri="{C3380CC4-5D6E-409C-BE32-E72D297353CC}">
                  <c16:uniqueId val="{0000001C-CB74-49AB-8B31-5C2139E48A2E}"/>
                </c:ext>
              </c:extLst>
            </c:dLbl>
            <c:dLbl>
              <c:idx val="5"/>
              <c:delete val="1"/>
              <c:extLst>
                <c:ext xmlns:c15="http://schemas.microsoft.com/office/drawing/2012/chart" uri="{CE6537A1-D6FC-4f65-9D91-7224C49458BB}"/>
                <c:ext xmlns:c16="http://schemas.microsoft.com/office/drawing/2014/chart" uri="{C3380CC4-5D6E-409C-BE32-E72D297353CC}">
                  <c16:uniqueId val="{0000001D-CB74-49AB-8B31-5C2139E48A2E}"/>
                </c:ext>
              </c:extLst>
            </c:dLbl>
            <c:dLbl>
              <c:idx val="6"/>
              <c:layout>
                <c:manualLayout>
                  <c:x val="-1.0732321205021645E-2"/>
                  <c:y val="-1.75077228127696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CB74-49AB-8B31-5C2139E48A2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TABLICA!$N$72:$U$72</c:f>
              <c:strCache>
                <c:ptCount val="8"/>
                <c:pt idx="0">
                  <c:v>2013</c:v>
                </c:pt>
                <c:pt idx="1">
                  <c:v>2014</c:v>
                </c:pt>
                <c:pt idx="2">
                  <c:v>2015</c:v>
                </c:pt>
                <c:pt idx="3">
                  <c:v>2016</c:v>
                </c:pt>
                <c:pt idx="4">
                  <c:v>2017</c:v>
                </c:pt>
                <c:pt idx="5">
                  <c:v>2018</c:v>
                </c:pt>
                <c:pt idx="6">
                  <c:v>2019</c:v>
                </c:pt>
                <c:pt idx="7">
                  <c:v>2020</c:v>
                </c:pt>
              </c:strCache>
            </c:strRef>
          </c:cat>
          <c:val>
            <c:numRef>
              <c:f>TABLICA!$N$76:$U$76</c:f>
              <c:numCache>
                <c:formatCode>0.0%</c:formatCode>
                <c:ptCount val="8"/>
                <c:pt idx="0">
                  <c:v>6.8000000000000005E-2</c:v>
                </c:pt>
                <c:pt idx="1">
                  <c:v>7.0000000000000007E-2</c:v>
                </c:pt>
                <c:pt idx="2">
                  <c:v>6.6000000000000003E-2</c:v>
                </c:pt>
                <c:pt idx="3">
                  <c:v>5.6000000000000001E-2</c:v>
                </c:pt>
                <c:pt idx="4">
                  <c:v>5.3999999999999999E-2</c:v>
                </c:pt>
                <c:pt idx="5">
                  <c:v>5.3999999999999999E-2</c:v>
                </c:pt>
                <c:pt idx="6">
                  <c:v>5.5E-2</c:v>
                </c:pt>
                <c:pt idx="7">
                  <c:v>4.2000000000000003E-2</c:v>
                </c:pt>
              </c:numCache>
            </c:numRef>
          </c:val>
          <c:smooth val="0"/>
          <c:extLst>
            <c:ext xmlns:c16="http://schemas.microsoft.com/office/drawing/2014/chart" uri="{C3380CC4-5D6E-409C-BE32-E72D297353CC}">
              <c16:uniqueId val="{0000001F-CB74-49AB-8B31-5C2139E48A2E}"/>
            </c:ext>
          </c:extLst>
        </c:ser>
        <c:ser>
          <c:idx val="4"/>
          <c:order val="4"/>
          <c:tx>
            <c:strRef>
              <c:f>TABLICA!$M$77</c:f>
              <c:strCache>
                <c:ptCount val="1"/>
                <c:pt idx="0">
                  <c:v>Lublin</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0"/>
              <c:layout>
                <c:manualLayout>
                  <c:x val="-6.5602129762544537E-2"/>
                  <c:y val="2.99823617543104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CB74-49AB-8B31-5C2139E48A2E}"/>
                </c:ext>
              </c:extLst>
            </c:dLbl>
            <c:dLbl>
              <c:idx val="1"/>
              <c:delete val="1"/>
              <c:extLst>
                <c:ext xmlns:c15="http://schemas.microsoft.com/office/drawing/2012/chart" uri="{CE6537A1-D6FC-4f65-9D91-7224C49458BB}"/>
                <c:ext xmlns:c16="http://schemas.microsoft.com/office/drawing/2014/chart" uri="{C3380CC4-5D6E-409C-BE32-E72D297353CC}">
                  <c16:uniqueId val="{00000021-CB74-49AB-8B31-5C2139E48A2E}"/>
                </c:ext>
              </c:extLst>
            </c:dLbl>
            <c:dLbl>
              <c:idx val="2"/>
              <c:delete val="1"/>
              <c:extLst>
                <c:ext xmlns:c15="http://schemas.microsoft.com/office/drawing/2012/chart" uri="{CE6537A1-D6FC-4f65-9D91-7224C49458BB}"/>
                <c:ext xmlns:c16="http://schemas.microsoft.com/office/drawing/2014/chart" uri="{C3380CC4-5D6E-409C-BE32-E72D297353CC}">
                  <c16:uniqueId val="{00000022-CB74-49AB-8B31-5C2139E48A2E}"/>
                </c:ext>
              </c:extLst>
            </c:dLbl>
            <c:dLbl>
              <c:idx val="3"/>
              <c:delete val="1"/>
              <c:extLst>
                <c:ext xmlns:c15="http://schemas.microsoft.com/office/drawing/2012/chart" uri="{CE6537A1-D6FC-4f65-9D91-7224C49458BB}"/>
                <c:ext xmlns:c16="http://schemas.microsoft.com/office/drawing/2014/chart" uri="{C3380CC4-5D6E-409C-BE32-E72D297353CC}">
                  <c16:uniqueId val="{00000023-CB74-49AB-8B31-5C2139E48A2E}"/>
                </c:ext>
              </c:extLst>
            </c:dLbl>
            <c:dLbl>
              <c:idx val="4"/>
              <c:delete val="1"/>
              <c:extLst>
                <c:ext xmlns:c15="http://schemas.microsoft.com/office/drawing/2012/chart" uri="{CE6537A1-D6FC-4f65-9D91-7224C49458BB}"/>
                <c:ext xmlns:c16="http://schemas.microsoft.com/office/drawing/2014/chart" uri="{C3380CC4-5D6E-409C-BE32-E72D297353CC}">
                  <c16:uniqueId val="{00000024-CB74-49AB-8B31-5C2139E48A2E}"/>
                </c:ext>
              </c:extLst>
            </c:dLbl>
            <c:dLbl>
              <c:idx val="5"/>
              <c:delete val="1"/>
              <c:extLst>
                <c:ext xmlns:c15="http://schemas.microsoft.com/office/drawing/2012/chart" uri="{CE6537A1-D6FC-4f65-9D91-7224C49458BB}"/>
                <c:ext xmlns:c16="http://schemas.microsoft.com/office/drawing/2014/chart" uri="{C3380CC4-5D6E-409C-BE32-E72D297353CC}">
                  <c16:uniqueId val="{00000025-CB74-49AB-8B31-5C2139E48A2E}"/>
                </c:ext>
              </c:extLst>
            </c:dLbl>
            <c:dLbl>
              <c:idx val="6"/>
              <c:layout>
                <c:manualLayout>
                  <c:x val="-1.2878785446025973E-2"/>
                  <c:y val="-2.3343630417026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CB74-49AB-8B31-5C2139E48A2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TABLICA!$N$72:$U$72</c:f>
              <c:strCache>
                <c:ptCount val="8"/>
                <c:pt idx="0">
                  <c:v>2013</c:v>
                </c:pt>
                <c:pt idx="1">
                  <c:v>2014</c:v>
                </c:pt>
                <c:pt idx="2">
                  <c:v>2015</c:v>
                </c:pt>
                <c:pt idx="3">
                  <c:v>2016</c:v>
                </c:pt>
                <c:pt idx="4">
                  <c:v>2017</c:v>
                </c:pt>
                <c:pt idx="5">
                  <c:v>2018</c:v>
                </c:pt>
                <c:pt idx="6">
                  <c:v>2019</c:v>
                </c:pt>
                <c:pt idx="7">
                  <c:v>2020</c:v>
                </c:pt>
              </c:strCache>
            </c:strRef>
          </c:cat>
          <c:val>
            <c:numRef>
              <c:f>TABLICA!$N$77:$U$77</c:f>
              <c:numCache>
                <c:formatCode>0.0%</c:formatCode>
                <c:ptCount val="8"/>
                <c:pt idx="0">
                  <c:v>6.0999999999999999E-2</c:v>
                </c:pt>
                <c:pt idx="1">
                  <c:v>6.9000000000000006E-2</c:v>
                </c:pt>
                <c:pt idx="2">
                  <c:v>6.8000000000000005E-2</c:v>
                </c:pt>
                <c:pt idx="3">
                  <c:v>7.0000000000000007E-2</c:v>
                </c:pt>
                <c:pt idx="4">
                  <c:v>6.4000000000000001E-2</c:v>
                </c:pt>
                <c:pt idx="5">
                  <c:v>0.06</c:v>
                </c:pt>
                <c:pt idx="6">
                  <c:v>7.0000000000000007E-2</c:v>
                </c:pt>
                <c:pt idx="7">
                  <c:v>0.05</c:v>
                </c:pt>
              </c:numCache>
            </c:numRef>
          </c:val>
          <c:smooth val="0"/>
          <c:extLst>
            <c:ext xmlns:c16="http://schemas.microsoft.com/office/drawing/2014/chart" uri="{C3380CC4-5D6E-409C-BE32-E72D297353CC}">
              <c16:uniqueId val="{00000027-CB74-49AB-8B31-5C2139E48A2E}"/>
            </c:ext>
          </c:extLst>
        </c:ser>
        <c:dLbls>
          <c:showLegendKey val="0"/>
          <c:showVal val="0"/>
          <c:showCatName val="0"/>
          <c:showSerName val="0"/>
          <c:showPercent val="0"/>
          <c:showBubbleSize val="0"/>
        </c:dLbls>
        <c:marker val="1"/>
        <c:smooth val="0"/>
        <c:axId val="423106472"/>
        <c:axId val="423108768"/>
      </c:lineChart>
      <c:catAx>
        <c:axId val="423106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23108768"/>
        <c:crosses val="autoZero"/>
        <c:auto val="1"/>
        <c:lblAlgn val="ctr"/>
        <c:lblOffset val="100"/>
        <c:noMultiLvlLbl val="0"/>
      </c:catAx>
      <c:valAx>
        <c:axId val="42310876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23106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567193360324458E-2"/>
          <c:y val="5.489688536577611E-2"/>
          <c:w val="0.88623083216578169"/>
          <c:h val="0.67187980203685849"/>
        </c:manualLayout>
      </c:layout>
      <c:lineChart>
        <c:grouping val="standard"/>
        <c:varyColors val="0"/>
        <c:ser>
          <c:idx val="0"/>
          <c:order val="0"/>
          <c:tx>
            <c:strRef>
              <c:f>TABLICA!$B$16</c:f>
              <c:strCache>
                <c:ptCount val="1"/>
                <c:pt idx="0">
                  <c:v>WARMIŃSKO-MAZURSKIE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multiLvlStrRef>
              <c:f>TABLICA!$C$14:$P$15</c:f>
              <c:multiLvlStrCache>
                <c:ptCount val="14"/>
                <c:lvl>
                  <c:pt idx="0">
                    <c:v>2013</c:v>
                  </c:pt>
                  <c:pt idx="1">
                    <c:v>2014</c:v>
                  </c:pt>
                  <c:pt idx="2">
                    <c:v>2015</c:v>
                  </c:pt>
                  <c:pt idx="3">
                    <c:v>2016</c:v>
                  </c:pt>
                  <c:pt idx="4">
                    <c:v>2017</c:v>
                  </c:pt>
                  <c:pt idx="5">
                    <c:v>2018</c:v>
                  </c:pt>
                  <c:pt idx="6">
                    <c:v>2019</c:v>
                  </c:pt>
                  <c:pt idx="7">
                    <c:v>2013</c:v>
                  </c:pt>
                  <c:pt idx="8">
                    <c:v>2014</c:v>
                  </c:pt>
                  <c:pt idx="9">
                    <c:v>2015</c:v>
                  </c:pt>
                  <c:pt idx="10">
                    <c:v>2016</c:v>
                  </c:pt>
                  <c:pt idx="11">
                    <c:v>2017</c:v>
                  </c:pt>
                  <c:pt idx="12">
                    <c:v>2018</c:v>
                  </c:pt>
                  <c:pt idx="13">
                    <c:v>2019</c:v>
                  </c:pt>
                </c:lvl>
                <c:lvl>
                  <c:pt idx="0">
                    <c:v>alkohol</c:v>
                  </c:pt>
                  <c:pt idx="7">
                    <c:v>środki psychoaktywne</c:v>
                  </c:pt>
                </c:lvl>
              </c:multiLvlStrCache>
            </c:multiLvlStrRef>
          </c:cat>
          <c:val>
            <c:numRef>
              <c:f>TABLICA!$C$16:$P$16</c:f>
              <c:numCache>
                <c:formatCode>#,##0</c:formatCode>
                <c:ptCount val="14"/>
                <c:pt idx="0">
                  <c:v>7571</c:v>
                </c:pt>
                <c:pt idx="1">
                  <c:v>6928</c:v>
                </c:pt>
                <c:pt idx="2">
                  <c:v>6776</c:v>
                </c:pt>
                <c:pt idx="3">
                  <c:v>7184</c:v>
                </c:pt>
                <c:pt idx="4">
                  <c:v>7340</c:v>
                </c:pt>
                <c:pt idx="5">
                  <c:v>6262</c:v>
                </c:pt>
                <c:pt idx="6">
                  <c:v>6110</c:v>
                </c:pt>
                <c:pt idx="7">
                  <c:v>819</c:v>
                </c:pt>
                <c:pt idx="8">
                  <c:v>1100</c:v>
                </c:pt>
                <c:pt idx="9">
                  <c:v>1178</c:v>
                </c:pt>
                <c:pt idx="10">
                  <c:v>1268</c:v>
                </c:pt>
                <c:pt idx="11">
                  <c:v>1143</c:v>
                </c:pt>
                <c:pt idx="12">
                  <c:v>1040</c:v>
                </c:pt>
                <c:pt idx="13">
                  <c:v>1164</c:v>
                </c:pt>
              </c:numCache>
            </c:numRef>
          </c:val>
          <c:smooth val="0"/>
          <c:extLst>
            <c:ext xmlns:c16="http://schemas.microsoft.com/office/drawing/2014/chart" uri="{C3380CC4-5D6E-409C-BE32-E72D297353CC}">
              <c16:uniqueId val="{00000000-0E4C-4BD5-B4D6-617D1C58F1AF}"/>
            </c:ext>
          </c:extLst>
        </c:ser>
        <c:ser>
          <c:idx val="1"/>
          <c:order val="1"/>
          <c:tx>
            <c:strRef>
              <c:f>TABLICA!$B$17</c:f>
              <c:strCache>
                <c:ptCount val="1"/>
                <c:pt idx="0">
                  <c:v>ŚWIĘTOKRZYSKIE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multiLvlStrRef>
              <c:f>TABLICA!$C$14:$P$15</c:f>
              <c:multiLvlStrCache>
                <c:ptCount val="14"/>
                <c:lvl>
                  <c:pt idx="0">
                    <c:v>2013</c:v>
                  </c:pt>
                  <c:pt idx="1">
                    <c:v>2014</c:v>
                  </c:pt>
                  <c:pt idx="2">
                    <c:v>2015</c:v>
                  </c:pt>
                  <c:pt idx="3">
                    <c:v>2016</c:v>
                  </c:pt>
                  <c:pt idx="4">
                    <c:v>2017</c:v>
                  </c:pt>
                  <c:pt idx="5">
                    <c:v>2018</c:v>
                  </c:pt>
                  <c:pt idx="6">
                    <c:v>2019</c:v>
                  </c:pt>
                  <c:pt idx="7">
                    <c:v>2013</c:v>
                  </c:pt>
                  <c:pt idx="8">
                    <c:v>2014</c:v>
                  </c:pt>
                  <c:pt idx="9">
                    <c:v>2015</c:v>
                  </c:pt>
                  <c:pt idx="10">
                    <c:v>2016</c:v>
                  </c:pt>
                  <c:pt idx="11">
                    <c:v>2017</c:v>
                  </c:pt>
                  <c:pt idx="12">
                    <c:v>2018</c:v>
                  </c:pt>
                  <c:pt idx="13">
                    <c:v>2019</c:v>
                  </c:pt>
                </c:lvl>
                <c:lvl>
                  <c:pt idx="0">
                    <c:v>alkohol</c:v>
                  </c:pt>
                  <c:pt idx="7">
                    <c:v>środki psychoaktywne</c:v>
                  </c:pt>
                </c:lvl>
              </c:multiLvlStrCache>
            </c:multiLvlStrRef>
          </c:cat>
          <c:val>
            <c:numRef>
              <c:f>TABLICA!$C$17:$P$17</c:f>
              <c:numCache>
                <c:formatCode>#,##0</c:formatCode>
                <c:ptCount val="14"/>
                <c:pt idx="0">
                  <c:v>6821</c:v>
                </c:pt>
                <c:pt idx="1">
                  <c:v>6285</c:v>
                </c:pt>
                <c:pt idx="2">
                  <c:v>6187</c:v>
                </c:pt>
                <c:pt idx="3">
                  <c:v>6053</c:v>
                </c:pt>
                <c:pt idx="4">
                  <c:v>5945</c:v>
                </c:pt>
                <c:pt idx="5">
                  <c:v>5939</c:v>
                </c:pt>
                <c:pt idx="6">
                  <c:v>5910</c:v>
                </c:pt>
                <c:pt idx="7">
                  <c:v>722</c:v>
                </c:pt>
                <c:pt idx="8">
                  <c:v>965</c:v>
                </c:pt>
                <c:pt idx="9">
                  <c:v>1209</c:v>
                </c:pt>
                <c:pt idx="10">
                  <c:v>915</c:v>
                </c:pt>
                <c:pt idx="11">
                  <c:v>979</c:v>
                </c:pt>
                <c:pt idx="12">
                  <c:v>1132</c:v>
                </c:pt>
                <c:pt idx="13">
                  <c:v>1356</c:v>
                </c:pt>
              </c:numCache>
            </c:numRef>
          </c:val>
          <c:smooth val="0"/>
          <c:extLst>
            <c:ext xmlns:c16="http://schemas.microsoft.com/office/drawing/2014/chart" uri="{C3380CC4-5D6E-409C-BE32-E72D297353CC}">
              <c16:uniqueId val="{00000001-0E4C-4BD5-B4D6-617D1C58F1AF}"/>
            </c:ext>
          </c:extLst>
        </c:ser>
        <c:ser>
          <c:idx val="2"/>
          <c:order val="2"/>
          <c:tx>
            <c:strRef>
              <c:f>TABLICA!$B$18</c:f>
              <c:strCache>
                <c:ptCount val="1"/>
                <c:pt idx="0">
                  <c:v>PODKARPACKIE</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multiLvlStrRef>
              <c:f>TABLICA!$C$14:$P$15</c:f>
              <c:multiLvlStrCache>
                <c:ptCount val="14"/>
                <c:lvl>
                  <c:pt idx="0">
                    <c:v>2013</c:v>
                  </c:pt>
                  <c:pt idx="1">
                    <c:v>2014</c:v>
                  </c:pt>
                  <c:pt idx="2">
                    <c:v>2015</c:v>
                  </c:pt>
                  <c:pt idx="3">
                    <c:v>2016</c:v>
                  </c:pt>
                  <c:pt idx="4">
                    <c:v>2017</c:v>
                  </c:pt>
                  <c:pt idx="5">
                    <c:v>2018</c:v>
                  </c:pt>
                  <c:pt idx="6">
                    <c:v>2019</c:v>
                  </c:pt>
                  <c:pt idx="7">
                    <c:v>2013</c:v>
                  </c:pt>
                  <c:pt idx="8">
                    <c:v>2014</c:v>
                  </c:pt>
                  <c:pt idx="9">
                    <c:v>2015</c:v>
                  </c:pt>
                  <c:pt idx="10">
                    <c:v>2016</c:v>
                  </c:pt>
                  <c:pt idx="11">
                    <c:v>2017</c:v>
                  </c:pt>
                  <c:pt idx="12">
                    <c:v>2018</c:v>
                  </c:pt>
                  <c:pt idx="13">
                    <c:v>2019</c:v>
                  </c:pt>
                </c:lvl>
                <c:lvl>
                  <c:pt idx="0">
                    <c:v>alkohol</c:v>
                  </c:pt>
                  <c:pt idx="7">
                    <c:v>środki psychoaktywne</c:v>
                  </c:pt>
                </c:lvl>
              </c:multiLvlStrCache>
            </c:multiLvlStrRef>
          </c:cat>
          <c:val>
            <c:numRef>
              <c:f>TABLICA!$C$18:$P$18</c:f>
              <c:numCache>
                <c:formatCode>#,##0</c:formatCode>
                <c:ptCount val="14"/>
                <c:pt idx="0">
                  <c:v>10408</c:v>
                </c:pt>
                <c:pt idx="1">
                  <c:v>9623</c:v>
                </c:pt>
                <c:pt idx="2">
                  <c:v>9835</c:v>
                </c:pt>
                <c:pt idx="3">
                  <c:v>10016</c:v>
                </c:pt>
                <c:pt idx="4">
                  <c:v>9120</c:v>
                </c:pt>
                <c:pt idx="5">
                  <c:v>8890</c:v>
                </c:pt>
                <c:pt idx="6">
                  <c:v>3795</c:v>
                </c:pt>
                <c:pt idx="7">
                  <c:v>784</c:v>
                </c:pt>
                <c:pt idx="8">
                  <c:v>736</c:v>
                </c:pt>
                <c:pt idx="9">
                  <c:v>955</c:v>
                </c:pt>
                <c:pt idx="10">
                  <c:v>954</c:v>
                </c:pt>
                <c:pt idx="11">
                  <c:v>979</c:v>
                </c:pt>
                <c:pt idx="12">
                  <c:v>762</c:v>
                </c:pt>
                <c:pt idx="13">
                  <c:v>875</c:v>
                </c:pt>
              </c:numCache>
            </c:numRef>
          </c:val>
          <c:smooth val="0"/>
          <c:extLst>
            <c:ext xmlns:c16="http://schemas.microsoft.com/office/drawing/2014/chart" uri="{C3380CC4-5D6E-409C-BE32-E72D297353CC}">
              <c16:uniqueId val="{00000002-0E4C-4BD5-B4D6-617D1C58F1AF}"/>
            </c:ext>
          </c:extLst>
        </c:ser>
        <c:ser>
          <c:idx val="3"/>
          <c:order val="3"/>
          <c:tx>
            <c:strRef>
              <c:f>TABLICA!$B$19</c:f>
              <c:strCache>
                <c:ptCount val="1"/>
                <c:pt idx="0">
                  <c:v>PODLASKIE</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multiLvlStrRef>
              <c:f>TABLICA!$C$14:$P$15</c:f>
              <c:multiLvlStrCache>
                <c:ptCount val="14"/>
                <c:lvl>
                  <c:pt idx="0">
                    <c:v>2013</c:v>
                  </c:pt>
                  <c:pt idx="1">
                    <c:v>2014</c:v>
                  </c:pt>
                  <c:pt idx="2">
                    <c:v>2015</c:v>
                  </c:pt>
                  <c:pt idx="3">
                    <c:v>2016</c:v>
                  </c:pt>
                  <c:pt idx="4">
                    <c:v>2017</c:v>
                  </c:pt>
                  <c:pt idx="5">
                    <c:v>2018</c:v>
                  </c:pt>
                  <c:pt idx="6">
                    <c:v>2019</c:v>
                  </c:pt>
                  <c:pt idx="7">
                    <c:v>2013</c:v>
                  </c:pt>
                  <c:pt idx="8">
                    <c:v>2014</c:v>
                  </c:pt>
                  <c:pt idx="9">
                    <c:v>2015</c:v>
                  </c:pt>
                  <c:pt idx="10">
                    <c:v>2016</c:v>
                  </c:pt>
                  <c:pt idx="11">
                    <c:v>2017</c:v>
                  </c:pt>
                  <c:pt idx="12">
                    <c:v>2018</c:v>
                  </c:pt>
                  <c:pt idx="13">
                    <c:v>2019</c:v>
                  </c:pt>
                </c:lvl>
                <c:lvl>
                  <c:pt idx="0">
                    <c:v>alkohol</c:v>
                  </c:pt>
                  <c:pt idx="7">
                    <c:v>środki psychoaktywne</c:v>
                  </c:pt>
                </c:lvl>
              </c:multiLvlStrCache>
            </c:multiLvlStrRef>
          </c:cat>
          <c:val>
            <c:numRef>
              <c:f>TABLICA!$C$19:$P$19</c:f>
              <c:numCache>
                <c:formatCode>#,##0</c:formatCode>
                <c:ptCount val="14"/>
                <c:pt idx="0">
                  <c:v>6262</c:v>
                </c:pt>
                <c:pt idx="1">
                  <c:v>7075</c:v>
                </c:pt>
                <c:pt idx="2">
                  <c:v>6187</c:v>
                </c:pt>
                <c:pt idx="3">
                  <c:v>5118</c:v>
                </c:pt>
                <c:pt idx="4">
                  <c:v>4628</c:v>
                </c:pt>
                <c:pt idx="5">
                  <c:v>4215</c:v>
                </c:pt>
                <c:pt idx="6">
                  <c:v>8253</c:v>
                </c:pt>
                <c:pt idx="7">
                  <c:v>711</c:v>
                </c:pt>
                <c:pt idx="8">
                  <c:v>912</c:v>
                </c:pt>
                <c:pt idx="9">
                  <c:v>991</c:v>
                </c:pt>
                <c:pt idx="10">
                  <c:v>944</c:v>
                </c:pt>
                <c:pt idx="11">
                  <c:v>963</c:v>
                </c:pt>
                <c:pt idx="12">
                  <c:v>895</c:v>
                </c:pt>
                <c:pt idx="13">
                  <c:v>772</c:v>
                </c:pt>
              </c:numCache>
            </c:numRef>
          </c:val>
          <c:smooth val="0"/>
          <c:extLst>
            <c:ext xmlns:c16="http://schemas.microsoft.com/office/drawing/2014/chart" uri="{C3380CC4-5D6E-409C-BE32-E72D297353CC}">
              <c16:uniqueId val="{00000003-0E4C-4BD5-B4D6-617D1C58F1AF}"/>
            </c:ext>
          </c:extLst>
        </c:ser>
        <c:ser>
          <c:idx val="4"/>
          <c:order val="4"/>
          <c:tx>
            <c:strRef>
              <c:f>TABLICA!$B$20</c:f>
              <c:strCache>
                <c:ptCount val="1"/>
                <c:pt idx="0">
                  <c:v>LUBELSKIE</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multiLvlStrRef>
              <c:f>TABLICA!$C$14:$P$15</c:f>
              <c:multiLvlStrCache>
                <c:ptCount val="14"/>
                <c:lvl>
                  <c:pt idx="0">
                    <c:v>2013</c:v>
                  </c:pt>
                  <c:pt idx="1">
                    <c:v>2014</c:v>
                  </c:pt>
                  <c:pt idx="2">
                    <c:v>2015</c:v>
                  </c:pt>
                  <c:pt idx="3">
                    <c:v>2016</c:v>
                  </c:pt>
                  <c:pt idx="4">
                    <c:v>2017</c:v>
                  </c:pt>
                  <c:pt idx="5">
                    <c:v>2018</c:v>
                  </c:pt>
                  <c:pt idx="6">
                    <c:v>2019</c:v>
                  </c:pt>
                  <c:pt idx="7">
                    <c:v>2013</c:v>
                  </c:pt>
                  <c:pt idx="8">
                    <c:v>2014</c:v>
                  </c:pt>
                  <c:pt idx="9">
                    <c:v>2015</c:v>
                  </c:pt>
                  <c:pt idx="10">
                    <c:v>2016</c:v>
                  </c:pt>
                  <c:pt idx="11">
                    <c:v>2017</c:v>
                  </c:pt>
                  <c:pt idx="12">
                    <c:v>2018</c:v>
                  </c:pt>
                  <c:pt idx="13">
                    <c:v>2019</c:v>
                  </c:pt>
                </c:lvl>
                <c:lvl>
                  <c:pt idx="0">
                    <c:v>alkohol</c:v>
                  </c:pt>
                  <c:pt idx="7">
                    <c:v>środki psychoaktywne</c:v>
                  </c:pt>
                </c:lvl>
              </c:multiLvlStrCache>
            </c:multiLvlStrRef>
          </c:cat>
          <c:val>
            <c:numRef>
              <c:f>TABLICA!$C$20:$P$20</c:f>
              <c:numCache>
                <c:formatCode>#,##0</c:formatCode>
                <c:ptCount val="14"/>
                <c:pt idx="0">
                  <c:v>9068</c:v>
                </c:pt>
                <c:pt idx="1">
                  <c:v>9622</c:v>
                </c:pt>
                <c:pt idx="2">
                  <c:v>8713</c:v>
                </c:pt>
                <c:pt idx="3">
                  <c:v>8552</c:v>
                </c:pt>
                <c:pt idx="4">
                  <c:v>8687</c:v>
                </c:pt>
                <c:pt idx="5">
                  <c:v>8000</c:v>
                </c:pt>
                <c:pt idx="6">
                  <c:v>8160</c:v>
                </c:pt>
                <c:pt idx="7">
                  <c:v>1255</c:v>
                </c:pt>
                <c:pt idx="8">
                  <c:v>2576</c:v>
                </c:pt>
                <c:pt idx="9">
                  <c:v>3456</c:v>
                </c:pt>
                <c:pt idx="10">
                  <c:v>2123</c:v>
                </c:pt>
                <c:pt idx="11">
                  <c:v>3594</c:v>
                </c:pt>
                <c:pt idx="12">
                  <c:v>3236</c:v>
                </c:pt>
                <c:pt idx="13">
                  <c:v>1848</c:v>
                </c:pt>
              </c:numCache>
            </c:numRef>
          </c:val>
          <c:smooth val="0"/>
          <c:extLst>
            <c:ext xmlns:c16="http://schemas.microsoft.com/office/drawing/2014/chart" uri="{C3380CC4-5D6E-409C-BE32-E72D297353CC}">
              <c16:uniqueId val="{00000004-0E4C-4BD5-B4D6-617D1C58F1AF}"/>
            </c:ext>
          </c:extLst>
        </c:ser>
        <c:dLbls>
          <c:showLegendKey val="0"/>
          <c:showVal val="0"/>
          <c:showCatName val="0"/>
          <c:showSerName val="0"/>
          <c:showPercent val="0"/>
          <c:showBubbleSize val="0"/>
        </c:dLbls>
        <c:marker val="1"/>
        <c:smooth val="0"/>
        <c:axId val="306291976"/>
        <c:axId val="306292304"/>
      </c:lineChart>
      <c:catAx>
        <c:axId val="306291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06292304"/>
        <c:crosses val="autoZero"/>
        <c:auto val="1"/>
        <c:lblAlgn val="ctr"/>
        <c:lblOffset val="100"/>
        <c:noMultiLvlLbl val="0"/>
      </c:catAx>
      <c:valAx>
        <c:axId val="3062923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06291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TABLICA!$A$32</c:f>
              <c:strCache>
                <c:ptCount val="1"/>
                <c:pt idx="0">
                  <c:v>Olsztyn</c:v>
                </c:pt>
              </c:strCache>
            </c:strRef>
          </c:tx>
          <c:spPr>
            <a:solidFill>
              <a:schemeClr val="accent1"/>
            </a:solidFill>
            <a:ln>
              <a:noFill/>
            </a:ln>
            <a:effectLst/>
          </c:spPr>
          <c:invertIfNegative val="0"/>
          <c:dLbls>
            <c:dLbl>
              <c:idx val="0"/>
              <c:layout>
                <c:manualLayout>
                  <c:x val="2.8878144091336782E-3"/>
                  <c:y val="0.237471679256359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539-44C5-96E6-21F6E426D12C}"/>
                </c:ext>
              </c:extLst>
            </c:dLbl>
            <c:dLbl>
              <c:idx val="1"/>
              <c:layout>
                <c:manualLayout>
                  <c:x val="-2.71381171693161E-3"/>
                  <c:y val="0.214358071230005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539-44C5-96E6-21F6E426D12C}"/>
                </c:ext>
              </c:extLst>
            </c:dLbl>
            <c:dLbl>
              <c:idx val="2"/>
              <c:layout>
                <c:manualLayout>
                  <c:x val="2.8646290568738941E-3"/>
                  <c:y val="0.200503102546562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539-44C5-96E6-21F6E426D12C}"/>
                </c:ext>
              </c:extLst>
            </c:dLbl>
            <c:dLbl>
              <c:idx val="3"/>
              <c:layout>
                <c:manualLayout>
                  <c:x val="-2.679146238795727E-3"/>
                  <c:y val="0.200503102546562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539-44C5-96E6-21F6E426D12C}"/>
                </c:ext>
              </c:extLst>
            </c:dLbl>
            <c:dLbl>
              <c:idx val="4"/>
              <c:layout>
                <c:manualLayout>
                  <c:x val="-2.7369970691913941E-3"/>
                  <c:y val="0.212825961449828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539-44C5-96E6-21F6E426D12C}"/>
                </c:ext>
              </c:extLst>
            </c:dLbl>
            <c:dLbl>
              <c:idx val="5"/>
              <c:layout>
                <c:manualLayout>
                  <c:x val="1.7377759169469168E-4"/>
                  <c:y val="0.217455766273208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539-44C5-96E6-21F6E426D12C}"/>
                </c:ext>
              </c:extLst>
            </c:dLbl>
            <c:dLbl>
              <c:idx val="6"/>
              <c:layout>
                <c:manualLayout>
                  <c:x val="1.1592676129891997E-4"/>
                  <c:y val="0.212825961449827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539-44C5-96E6-21F6E426D12C}"/>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TABLICA!$B$31:$H$31</c:f>
              <c:numCache>
                <c:formatCode>General</c:formatCode>
                <c:ptCount val="7"/>
                <c:pt idx="0">
                  <c:v>2013</c:v>
                </c:pt>
                <c:pt idx="1">
                  <c:v>2014</c:v>
                </c:pt>
                <c:pt idx="2">
                  <c:v>2015</c:v>
                </c:pt>
                <c:pt idx="3">
                  <c:v>2016</c:v>
                </c:pt>
                <c:pt idx="4">
                  <c:v>2017</c:v>
                </c:pt>
                <c:pt idx="5">
                  <c:v>2018</c:v>
                </c:pt>
                <c:pt idx="6">
                  <c:v>2019</c:v>
                </c:pt>
              </c:numCache>
            </c:numRef>
          </c:cat>
          <c:val>
            <c:numRef>
              <c:f>TABLICA!$B$32:$H$32</c:f>
              <c:numCache>
                <c:formatCode>#,##0</c:formatCode>
                <c:ptCount val="7"/>
                <c:pt idx="0">
                  <c:v>5013</c:v>
                </c:pt>
                <c:pt idx="1">
                  <c:v>4829</c:v>
                </c:pt>
                <c:pt idx="2">
                  <c:v>4011</c:v>
                </c:pt>
                <c:pt idx="3">
                  <c:v>3781</c:v>
                </c:pt>
                <c:pt idx="4">
                  <c:v>4668</c:v>
                </c:pt>
                <c:pt idx="5">
                  <c:v>4798</c:v>
                </c:pt>
                <c:pt idx="6">
                  <c:v>4606</c:v>
                </c:pt>
              </c:numCache>
            </c:numRef>
          </c:val>
          <c:extLst>
            <c:ext xmlns:c16="http://schemas.microsoft.com/office/drawing/2014/chart" uri="{C3380CC4-5D6E-409C-BE32-E72D297353CC}">
              <c16:uniqueId val="{00000007-8539-44C5-96E6-21F6E426D12C}"/>
            </c:ext>
          </c:extLst>
        </c:ser>
        <c:dLbls>
          <c:showLegendKey val="0"/>
          <c:showVal val="0"/>
          <c:showCatName val="0"/>
          <c:showSerName val="0"/>
          <c:showPercent val="0"/>
          <c:showBubbleSize val="0"/>
        </c:dLbls>
        <c:gapWidth val="219"/>
        <c:axId val="320463424"/>
        <c:axId val="320464080"/>
      </c:barChart>
      <c:catAx>
        <c:axId val="320463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20464080"/>
        <c:crosses val="autoZero"/>
        <c:auto val="1"/>
        <c:lblAlgn val="ctr"/>
        <c:lblOffset val="100"/>
        <c:noMultiLvlLbl val="0"/>
      </c:catAx>
      <c:valAx>
        <c:axId val="3204640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204634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ludność!$C$32</c:f>
              <c:strCache>
                <c:ptCount val="1"/>
                <c:pt idx="0">
                  <c:v>Zmiana liczby ludności 2019 do 2013 (os.)</c:v>
                </c:pt>
              </c:strCache>
            </c:strRef>
          </c:tx>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658B-4A9B-A330-3FF2CF0751DD}"/>
              </c:ext>
            </c:extLst>
          </c:dPt>
          <c:dPt>
            <c:idx val="2"/>
            <c:invertIfNegative val="0"/>
            <c:bubble3D val="0"/>
            <c:spPr>
              <a:solidFill>
                <a:srgbClr val="FF0000"/>
              </a:solidFill>
              <a:ln>
                <a:noFill/>
              </a:ln>
              <a:effectLst/>
            </c:spPr>
            <c:extLst>
              <c:ext xmlns:c16="http://schemas.microsoft.com/office/drawing/2014/chart" uri="{C3380CC4-5D6E-409C-BE32-E72D297353CC}">
                <c16:uniqueId val="{00000003-658B-4A9B-A330-3FF2CF0751DD}"/>
              </c:ext>
            </c:extLst>
          </c:dPt>
          <c:dPt>
            <c:idx val="8"/>
            <c:invertIfNegative val="0"/>
            <c:bubble3D val="0"/>
            <c:spPr>
              <a:solidFill>
                <a:srgbClr val="FF0000"/>
              </a:solidFill>
              <a:ln>
                <a:noFill/>
              </a:ln>
              <a:effectLst/>
            </c:spPr>
            <c:extLst>
              <c:ext xmlns:c16="http://schemas.microsoft.com/office/drawing/2014/chart" uri="{C3380CC4-5D6E-409C-BE32-E72D297353CC}">
                <c16:uniqueId val="{00000005-658B-4A9B-A330-3FF2CF0751DD}"/>
              </c:ext>
            </c:extLst>
          </c:dPt>
          <c:dLbls>
            <c:dLbl>
              <c:idx val="0"/>
              <c:layout>
                <c:manualLayout>
                  <c:x val="-2.7777777777777779E-3"/>
                  <c:y val="-2.3148148148148147E-2"/>
                </c:manualLayout>
              </c:layout>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58B-4A9B-A330-3FF2CF0751DD}"/>
                </c:ext>
              </c:extLst>
            </c:dLbl>
            <c:dLbl>
              <c:idx val="1"/>
              <c:layout>
                <c:manualLayout>
                  <c:x val="0"/>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58B-4A9B-A330-3FF2CF0751DD}"/>
                </c:ext>
              </c:extLst>
            </c:dLbl>
            <c:dLbl>
              <c:idx val="2"/>
              <c:layout>
                <c:manualLayout>
                  <c:x val="-2.7777777777777779E-3"/>
                  <c:y val="1.8518518518518687E-2"/>
                </c:manualLayout>
              </c:layout>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58B-4A9B-A330-3FF2CF0751DD}"/>
                </c:ext>
              </c:extLst>
            </c:dLbl>
            <c:dLbl>
              <c:idx val="3"/>
              <c:layout>
                <c:manualLayout>
                  <c:x val="-2.7777777777777779E-3"/>
                  <c:y val="0.157407407407407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58B-4A9B-A330-3FF2CF0751DD}"/>
                </c:ext>
              </c:extLst>
            </c:dLbl>
            <c:dLbl>
              <c:idx val="4"/>
              <c:layout>
                <c:manualLayout>
                  <c:x val="0"/>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58B-4A9B-A330-3FF2CF0751DD}"/>
                </c:ext>
              </c:extLst>
            </c:dLbl>
            <c:dLbl>
              <c:idx val="5"/>
              <c:layout>
                <c:manualLayout>
                  <c:x val="-1.0185067526415994E-16"/>
                  <c:y val="0.134259259259259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58B-4A9B-A330-3FF2CF0751DD}"/>
                </c:ext>
              </c:extLst>
            </c:dLbl>
            <c:dLbl>
              <c:idx val="6"/>
              <c:layout>
                <c:manualLayout>
                  <c:x val="-1.0185067526415994E-16"/>
                  <c:y val="0.152777777777777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58B-4A9B-A330-3FF2CF0751DD}"/>
                </c:ext>
              </c:extLst>
            </c:dLbl>
            <c:dLbl>
              <c:idx val="7"/>
              <c:layout>
                <c:manualLayout>
                  <c:x val="-1.0185067526415994E-16"/>
                  <c:y val="0.166666666666666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58B-4A9B-A330-3FF2CF0751DD}"/>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ludność!$B$33:$B$42</c:f>
              <c:strCache>
                <c:ptCount val="10"/>
                <c:pt idx="0">
                  <c:v>Olsztyn</c:v>
                </c:pt>
                <c:pt idx="1">
                  <c:v>MOF Olsztyna</c:v>
                </c:pt>
                <c:pt idx="2">
                  <c:v>Kielce</c:v>
                </c:pt>
                <c:pt idx="3">
                  <c:v>KOF</c:v>
                </c:pt>
                <c:pt idx="4">
                  <c:v>Białystok</c:v>
                </c:pt>
                <c:pt idx="5">
                  <c:v>BOF</c:v>
                </c:pt>
                <c:pt idx="6">
                  <c:v>Rzeszów</c:v>
                </c:pt>
                <c:pt idx="7">
                  <c:v>ROF</c:v>
                </c:pt>
                <c:pt idx="8">
                  <c:v>Lublin</c:v>
                </c:pt>
                <c:pt idx="9">
                  <c:v>LOF</c:v>
                </c:pt>
              </c:strCache>
            </c:strRef>
          </c:cat>
          <c:val>
            <c:numRef>
              <c:f>ludność!$C$33:$C$42</c:f>
              <c:numCache>
                <c:formatCode>#,##0</c:formatCode>
                <c:ptCount val="10"/>
                <c:pt idx="0">
                  <c:v>-2696</c:v>
                </c:pt>
                <c:pt idx="1">
                  <c:v>3106</c:v>
                </c:pt>
                <c:pt idx="2">
                  <c:v>-5018</c:v>
                </c:pt>
                <c:pt idx="3">
                  <c:v>14761</c:v>
                </c:pt>
                <c:pt idx="4">
                  <c:v>2272</c:v>
                </c:pt>
                <c:pt idx="5">
                  <c:v>8520</c:v>
                </c:pt>
                <c:pt idx="6">
                  <c:v>13100</c:v>
                </c:pt>
                <c:pt idx="7">
                  <c:v>17559</c:v>
                </c:pt>
                <c:pt idx="8" formatCode="#\ ##0.0">
                  <c:v>-3814</c:v>
                </c:pt>
                <c:pt idx="9">
                  <c:v>2766</c:v>
                </c:pt>
              </c:numCache>
            </c:numRef>
          </c:val>
          <c:extLst>
            <c:ext xmlns:c16="http://schemas.microsoft.com/office/drawing/2014/chart" uri="{C3380CC4-5D6E-409C-BE32-E72D297353CC}">
              <c16:uniqueId val="{0000000C-658B-4A9B-A330-3FF2CF0751DD}"/>
            </c:ext>
          </c:extLst>
        </c:ser>
        <c:dLbls>
          <c:showLegendKey val="0"/>
          <c:showVal val="0"/>
          <c:showCatName val="0"/>
          <c:showSerName val="0"/>
          <c:showPercent val="0"/>
          <c:showBubbleSize val="0"/>
        </c:dLbls>
        <c:gapWidth val="219"/>
        <c:overlap val="-27"/>
        <c:axId val="433386240"/>
        <c:axId val="433388536"/>
      </c:barChart>
      <c:catAx>
        <c:axId val="433386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33388536"/>
        <c:crosses val="autoZero"/>
        <c:auto val="1"/>
        <c:lblAlgn val="ctr"/>
        <c:lblOffset val="100"/>
        <c:noMultiLvlLbl val="0"/>
      </c:catAx>
      <c:valAx>
        <c:axId val="4333885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33386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TABLICA!$A$52</c:f>
              <c:strCache>
                <c:ptCount val="1"/>
                <c:pt idx="0">
                  <c:v>Olsztyn</c:v>
                </c:pt>
              </c:strCache>
            </c:strRef>
          </c:tx>
          <c:spPr>
            <a:solidFill>
              <a:schemeClr val="accent1"/>
            </a:solidFill>
            <a:ln>
              <a:noFill/>
            </a:ln>
            <a:effectLst/>
          </c:spPr>
          <c:invertIfNegative val="0"/>
          <c:dLbls>
            <c:dLbl>
              <c:idx val="0"/>
              <c:layout>
                <c:manualLayout>
                  <c:x val="0"/>
                  <c:y val="0.148148148148148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37B-4502-945F-3466A82B1827}"/>
                </c:ext>
              </c:extLst>
            </c:dLbl>
            <c:dLbl>
              <c:idx val="1"/>
              <c:layout>
                <c:manualLayout>
                  <c:x val="-5.1810432520980045E-17"/>
                  <c:y val="0.1588011781686752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37B-4502-945F-3466A82B1827}"/>
                </c:ext>
              </c:extLst>
            </c:dLbl>
            <c:dLbl>
              <c:idx val="2"/>
              <c:layout>
                <c:manualLayout>
                  <c:x val="-5.1810432520980045E-17"/>
                  <c:y val="0.1634307708555804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37B-4502-945F-3466A82B1827}"/>
                </c:ext>
              </c:extLst>
            </c:dLbl>
            <c:dLbl>
              <c:idx val="3"/>
              <c:layout>
                <c:manualLayout>
                  <c:x val="-1.0362086504196009E-16"/>
                  <c:y val="0.162099111679594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37B-4502-945F-3466A82B1827}"/>
                </c:ext>
              </c:extLst>
            </c:dLbl>
            <c:dLbl>
              <c:idx val="4"/>
              <c:layout>
                <c:manualLayout>
                  <c:x val="0"/>
                  <c:y val="0.1588011781686752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37B-4502-945F-3466A82B1827}"/>
                </c:ext>
              </c:extLst>
            </c:dLbl>
            <c:dLbl>
              <c:idx val="5"/>
              <c:layout>
                <c:manualLayout>
                  <c:x val="-2.771092782541648E-3"/>
                  <c:y val="0.1634307708555804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37B-4502-945F-3466A82B1827}"/>
                </c:ext>
              </c:extLst>
            </c:dLbl>
            <c:dLbl>
              <c:idx val="6"/>
              <c:layout>
                <c:manualLayout>
                  <c:x val="1.0362086504196009E-16"/>
                  <c:y val="0.163430770855580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37B-4502-945F-3466A82B1827}"/>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TABLICA!$B$51:$H$51</c:f>
              <c:numCache>
                <c:formatCode>General</c:formatCode>
                <c:ptCount val="7"/>
                <c:pt idx="0">
                  <c:v>2013</c:v>
                </c:pt>
                <c:pt idx="1">
                  <c:v>2014</c:v>
                </c:pt>
                <c:pt idx="2">
                  <c:v>2015</c:v>
                </c:pt>
                <c:pt idx="3">
                  <c:v>2016</c:v>
                </c:pt>
                <c:pt idx="4">
                  <c:v>2017</c:v>
                </c:pt>
                <c:pt idx="5">
                  <c:v>2018</c:v>
                </c:pt>
                <c:pt idx="6">
                  <c:v>2019</c:v>
                </c:pt>
              </c:numCache>
            </c:numRef>
          </c:cat>
          <c:val>
            <c:numRef>
              <c:f>TABLICA!$B$52:$H$52</c:f>
              <c:numCache>
                <c:formatCode>#,##0</c:formatCode>
                <c:ptCount val="7"/>
                <c:pt idx="0">
                  <c:v>1090</c:v>
                </c:pt>
                <c:pt idx="1">
                  <c:v>758</c:v>
                </c:pt>
                <c:pt idx="2">
                  <c:v>984</c:v>
                </c:pt>
                <c:pt idx="3">
                  <c:v>763</c:v>
                </c:pt>
                <c:pt idx="4">
                  <c:v>755</c:v>
                </c:pt>
                <c:pt idx="5">
                  <c:v>812</c:v>
                </c:pt>
                <c:pt idx="6">
                  <c:v>790</c:v>
                </c:pt>
              </c:numCache>
            </c:numRef>
          </c:val>
          <c:extLst>
            <c:ext xmlns:c16="http://schemas.microsoft.com/office/drawing/2014/chart" uri="{C3380CC4-5D6E-409C-BE32-E72D297353CC}">
              <c16:uniqueId val="{00000007-D37B-4502-945F-3466A82B1827}"/>
            </c:ext>
          </c:extLst>
        </c:ser>
        <c:dLbls>
          <c:showLegendKey val="0"/>
          <c:showVal val="0"/>
          <c:showCatName val="0"/>
          <c:showSerName val="0"/>
          <c:showPercent val="0"/>
          <c:showBubbleSize val="0"/>
        </c:dLbls>
        <c:gapWidth val="219"/>
        <c:overlap val="-27"/>
        <c:axId val="406588368"/>
        <c:axId val="406594600"/>
      </c:barChart>
      <c:catAx>
        <c:axId val="406588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06594600"/>
        <c:crosses val="autoZero"/>
        <c:auto val="1"/>
        <c:lblAlgn val="ctr"/>
        <c:lblOffset val="100"/>
        <c:noMultiLvlLbl val="0"/>
      </c:catAx>
      <c:valAx>
        <c:axId val="4065946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06588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3406593406593505E-2"/>
          <c:y val="0.10561533974919804"/>
          <c:w val="0.95421245421245426"/>
          <c:h val="0.69507144940215793"/>
        </c:manualLayout>
      </c:layout>
      <c:lineChart>
        <c:grouping val="standard"/>
        <c:varyColors val="0"/>
        <c:ser>
          <c:idx val="0"/>
          <c:order val="0"/>
          <c:tx>
            <c:strRef>
              <c:f>Arkusz1!$B$2:$B$11</c:f>
              <c:strCache>
                <c:ptCount val="10"/>
                <c:pt idx="0">
                  <c:v>13773</c:v>
                </c:pt>
                <c:pt idx="1">
                  <c:v>14999</c:v>
                </c:pt>
                <c:pt idx="2">
                  <c:v>15996</c:v>
                </c:pt>
                <c:pt idx="3">
                  <c:v>13741</c:v>
                </c:pt>
                <c:pt idx="4">
                  <c:v>12111</c:v>
                </c:pt>
                <c:pt idx="5">
                  <c:v>12902</c:v>
                </c:pt>
                <c:pt idx="6">
                  <c:v>15778</c:v>
                </c:pt>
                <c:pt idx="7">
                  <c:v>16686</c:v>
                </c:pt>
                <c:pt idx="8">
                  <c:v>17028</c:v>
                </c:pt>
                <c:pt idx="9">
                  <c:v>17561</c:v>
                </c:pt>
              </c:strCache>
            </c:strRef>
          </c:tx>
          <c:dLbls>
            <c:dLbl>
              <c:idx val="0"/>
              <c:layout>
                <c:manualLayout>
                  <c:x val="-5.7801073222964287E-2"/>
                  <c:y val="5.5555555555555552E-2"/>
                </c:manualLayout>
              </c:layout>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956-4157-963A-4229E91D27C8}"/>
                </c:ext>
              </c:extLst>
            </c:dLbl>
            <c:dLbl>
              <c:idx val="1"/>
              <c:layout>
                <c:manualLayout>
                  <c:x val="-5.0066427270401011E-2"/>
                  <c:y val="-5.0387503645377661E-2"/>
                </c:manualLayout>
              </c:layout>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956-4157-963A-4229E91D27C8}"/>
                </c:ext>
              </c:extLst>
            </c:dLbl>
            <c:dLbl>
              <c:idx val="2"/>
              <c:layout>
                <c:manualLayout>
                  <c:x val="-4.3051103202578198E-2"/>
                  <c:y val="-5.9108705161854812E-2"/>
                </c:manualLayout>
              </c:layout>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956-4157-963A-4229E91D27C8}"/>
                </c:ext>
              </c:extLst>
            </c:dLbl>
            <c:dLbl>
              <c:idx val="3"/>
              <c:layout>
                <c:manualLayout>
                  <c:x val="-7.866707331927679E-2"/>
                  <c:y val="3.7037037037036952E-2"/>
                </c:manualLayout>
              </c:layout>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956-4157-963A-4229E91D27C8}"/>
                </c:ext>
              </c:extLst>
            </c:dLbl>
            <c:dLbl>
              <c:idx val="4"/>
              <c:layout>
                <c:manualLayout>
                  <c:x val="-5.2105041013056005E-2"/>
                  <c:y val="5.092592592592584E-2"/>
                </c:manualLayout>
              </c:layout>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956-4157-963A-4229E91D27C8}"/>
                </c:ext>
              </c:extLst>
            </c:dLbl>
            <c:dLbl>
              <c:idx val="5"/>
              <c:layout>
                <c:manualLayout>
                  <c:x val="-1.888762885332471E-2"/>
                  <c:y val="4.1666666666666664E-2"/>
                </c:manualLayout>
              </c:layout>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956-4157-963A-4229E91D27C8}"/>
                </c:ext>
              </c:extLst>
            </c:dLbl>
            <c:dLbl>
              <c:idx val="6"/>
              <c:layout>
                <c:manualLayout>
                  <c:x val="-7.1471965992259121E-2"/>
                  <c:y val="-4.1128244386118402E-2"/>
                </c:manualLayout>
              </c:layout>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956-4157-963A-4229E91D27C8}"/>
                </c:ext>
              </c:extLst>
            </c:dLbl>
            <c:dLbl>
              <c:idx val="7"/>
              <c:layout>
                <c:manualLayout>
                  <c:x val="-5.2824551745757856E-2"/>
                  <c:y val="-4.1666666666666706E-2"/>
                </c:manualLayout>
              </c:layout>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956-4157-963A-4229E91D27C8}"/>
                </c:ext>
              </c:extLst>
            </c:dLbl>
            <c:dLbl>
              <c:idx val="8"/>
              <c:layout>
                <c:manualLayout>
                  <c:x val="-5.2464796379406882E-2"/>
                  <c:y val="-3.8651939340915764E-2"/>
                </c:manualLayout>
              </c:layout>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956-4157-963A-4229E91D27C8}"/>
                </c:ext>
              </c:extLst>
            </c:dLbl>
            <c:dLbl>
              <c:idx val="9"/>
              <c:layout>
                <c:manualLayout>
                  <c:x val="-5.7441317856613411E-2"/>
                  <c:y val="-3.7037037037037035E-2"/>
                </c:manualLayout>
              </c:layout>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956-4157-963A-4229E91D27C8}"/>
                </c:ext>
              </c:extLst>
            </c:dLbl>
            <c:dLbl>
              <c:idx val="10"/>
              <c:layout>
                <c:manualLayout>
                  <c:x val="0"/>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F956-4157-963A-4229E91D27C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Arkusz1!$A$2:$A$12</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Arkusz1!$B$2:$B$12</c:f>
              <c:numCache>
                <c:formatCode>General</c:formatCode>
                <c:ptCount val="11"/>
                <c:pt idx="0">
                  <c:v>13773</c:v>
                </c:pt>
                <c:pt idx="1">
                  <c:v>14999</c:v>
                </c:pt>
                <c:pt idx="2">
                  <c:v>15996</c:v>
                </c:pt>
                <c:pt idx="3">
                  <c:v>13741</c:v>
                </c:pt>
                <c:pt idx="4">
                  <c:v>12111</c:v>
                </c:pt>
                <c:pt idx="5">
                  <c:v>12902</c:v>
                </c:pt>
                <c:pt idx="6">
                  <c:v>15778</c:v>
                </c:pt>
                <c:pt idx="7">
                  <c:v>16686</c:v>
                </c:pt>
                <c:pt idx="8">
                  <c:v>17028</c:v>
                </c:pt>
                <c:pt idx="9">
                  <c:v>17561</c:v>
                </c:pt>
                <c:pt idx="10">
                  <c:v>17477</c:v>
                </c:pt>
              </c:numCache>
            </c:numRef>
          </c:val>
          <c:smooth val="0"/>
          <c:extLst>
            <c:ext xmlns:c16="http://schemas.microsoft.com/office/drawing/2014/chart" uri="{C3380CC4-5D6E-409C-BE32-E72D297353CC}">
              <c16:uniqueId val="{0000000A-F956-4157-963A-4229E91D27C8}"/>
            </c:ext>
          </c:extLst>
        </c:ser>
        <c:ser>
          <c:idx val="1"/>
          <c:order val="1"/>
          <c:tx>
            <c:strRef>
              <c:f>Arkusz1!$C$1</c:f>
              <c:strCache>
                <c:ptCount val="1"/>
              </c:strCache>
            </c:strRef>
          </c:tx>
          <c:dLbls>
            <c:dLbl>
              <c:idx val="0"/>
              <c:layout>
                <c:manualLayout>
                  <c:x val="-2.9731275014294026E-2"/>
                  <c:y val="4.0040040040040074E-3"/>
                </c:manualLayout>
              </c:layout>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956-4157-963A-4229E91D27C8}"/>
                </c:ext>
              </c:extLst>
            </c:dLbl>
            <c:dLbl>
              <c:idx val="1"/>
              <c:layout>
                <c:manualLayout>
                  <c:x val="-2.0583190394511151E-2"/>
                  <c:y val="-8.0080080080079368E-3"/>
                </c:manualLayout>
              </c:layout>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956-4157-963A-4229E91D27C8}"/>
                </c:ext>
              </c:extLst>
            </c:dLbl>
            <c:dLbl>
              <c:idx val="2"/>
              <c:layout>
                <c:manualLayout>
                  <c:x val="-2.2870211549456947E-2"/>
                  <c:y val="0"/>
                </c:manualLayout>
              </c:layout>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956-4157-963A-4229E91D27C8}"/>
                </c:ext>
              </c:extLst>
            </c:dLbl>
            <c:dLbl>
              <c:idx val="3"/>
              <c:layout>
                <c:manualLayout>
                  <c:x val="-2.0583190394511189E-2"/>
                  <c:y val="-8.0080080080080808E-3"/>
                </c:manualLayout>
              </c:layout>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956-4157-963A-4229E91D27C8}"/>
                </c:ext>
              </c:extLst>
            </c:dLbl>
            <c:dLbl>
              <c:idx val="4"/>
              <c:layout>
                <c:manualLayout>
                  <c:x val="-3.3277870216306252E-2"/>
                  <c:y val="0"/>
                </c:manualLayout>
              </c:layout>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956-4157-963A-4229E91D27C8}"/>
                </c:ext>
              </c:extLst>
            </c:dLbl>
            <c:dLbl>
              <c:idx val="5"/>
              <c:layout>
                <c:manualLayout>
                  <c:x val="-3.1059345535219256E-2"/>
                  <c:y val="-5.1679586563307348E-3"/>
                </c:manualLayout>
              </c:layout>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956-4157-963A-4229E91D27C8}"/>
                </c:ext>
              </c:extLst>
            </c:dLbl>
            <c:dLbl>
              <c:idx val="6"/>
              <c:layout>
                <c:manualLayout>
                  <c:x val="-3.1059345535219256E-2"/>
                  <c:y val="-1.0335917312661499E-2"/>
                </c:manualLayout>
              </c:layout>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956-4157-963A-4229E91D27C8}"/>
                </c:ext>
              </c:extLst>
            </c:dLbl>
            <c:dLbl>
              <c:idx val="7"/>
              <c:layout>
                <c:manualLayout>
                  <c:x val="-3.5496394897393244E-2"/>
                  <c:y val="-5.1679586563307348E-3"/>
                </c:manualLayout>
              </c:layout>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956-4157-963A-4229E91D27C8}"/>
                </c:ext>
              </c:extLst>
            </c:dLbl>
            <c:dLbl>
              <c:idx val="8"/>
              <c:layout>
                <c:manualLayout>
                  <c:x val="-2.4403946178940695E-2"/>
                  <c:y val="1.550387596899231E-2"/>
                </c:manualLayout>
              </c:layout>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F956-4157-963A-4229E91D27C8}"/>
                </c:ext>
              </c:extLst>
            </c:dLbl>
            <c:dLbl>
              <c:idx val="9"/>
              <c:layout>
                <c:manualLayout>
                  <c:x val="-3.1059345535219256E-2"/>
                  <c:y val="1.0335917312661499E-2"/>
                </c:manualLayout>
              </c:layout>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F956-4157-963A-4229E91D27C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Arkusz1!$A$2:$A$12</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Arkusz1!$C$3:$C$13</c:f>
              <c:numCache>
                <c:formatCode>General</c:formatCode>
                <c:ptCount val="11"/>
              </c:numCache>
            </c:numRef>
          </c:val>
          <c:smooth val="0"/>
          <c:extLst>
            <c:ext xmlns:c16="http://schemas.microsoft.com/office/drawing/2014/chart" uri="{C3380CC4-5D6E-409C-BE32-E72D297353CC}">
              <c16:uniqueId val="{00000015-F956-4157-963A-4229E91D27C8}"/>
            </c:ext>
          </c:extLst>
        </c:ser>
        <c:dLbls>
          <c:showLegendKey val="0"/>
          <c:showVal val="1"/>
          <c:showCatName val="0"/>
          <c:showSerName val="0"/>
          <c:showPercent val="0"/>
          <c:showBubbleSize val="0"/>
        </c:dLbls>
        <c:marker val="1"/>
        <c:smooth val="0"/>
        <c:axId val="91637632"/>
        <c:axId val="91639168"/>
      </c:lineChart>
      <c:catAx>
        <c:axId val="91637632"/>
        <c:scaling>
          <c:orientation val="minMax"/>
        </c:scaling>
        <c:delete val="0"/>
        <c:axPos val="b"/>
        <c:numFmt formatCode="General" sourceLinked="1"/>
        <c:majorTickMark val="none"/>
        <c:minorTickMark val="none"/>
        <c:tickLblPos val="nextTo"/>
        <c:crossAx val="91639168"/>
        <c:crosses val="autoZero"/>
        <c:auto val="1"/>
        <c:lblAlgn val="ctr"/>
        <c:lblOffset val="100"/>
        <c:noMultiLvlLbl val="0"/>
      </c:catAx>
      <c:valAx>
        <c:axId val="91639168"/>
        <c:scaling>
          <c:orientation val="minMax"/>
          <c:max val="20000"/>
          <c:min val="0"/>
        </c:scaling>
        <c:delete val="0"/>
        <c:axPos val="l"/>
        <c:majorGridlines/>
        <c:numFmt formatCode="General" sourceLinked="1"/>
        <c:majorTickMark val="none"/>
        <c:minorTickMark val="none"/>
        <c:tickLblPos val="nextTo"/>
        <c:crossAx val="91637632"/>
        <c:crosses val="autoZero"/>
        <c:crossBetween val="between"/>
        <c:majorUnit val="5000"/>
      </c:valAx>
    </c:plotArea>
    <c:plotVisOnly val="1"/>
    <c:dispBlanksAs val="gap"/>
    <c:showDLblsOverMax val="0"/>
  </c:chart>
  <c:txPr>
    <a:bodyPr/>
    <a:lstStyle/>
    <a:p>
      <a:pPr>
        <a:defRPr b="1">
          <a:solidFill>
            <a:schemeClr val="tx1"/>
          </a:solidFill>
        </a:defRPr>
      </a:pPr>
      <a:endParaRPr lang="pl-PL"/>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9.4055635841403765E-2"/>
          <c:y val="0.17831215485294"/>
          <c:w val="0.88078713145419463"/>
          <c:h val="0.71737684179796768"/>
        </c:manualLayout>
      </c:layout>
      <c:lineChart>
        <c:grouping val="standard"/>
        <c:varyColors val="0"/>
        <c:ser>
          <c:idx val="0"/>
          <c:order val="0"/>
          <c:tx>
            <c:strRef>
              <c:f>Arkusz1!$B$1</c:f>
              <c:strCache>
                <c:ptCount val="1"/>
                <c:pt idx="0">
                  <c:v>Seria 1</c:v>
                </c:pt>
              </c:strCache>
            </c:strRef>
          </c:tx>
          <c:spPr>
            <a:ln w="47625"/>
          </c:spPr>
          <c:dLbls>
            <c:dLbl>
              <c:idx val="0"/>
              <c:layout>
                <c:manualLayout>
                  <c:x val="-5.3880143136397787E-2"/>
                  <c:y val="6.1804895983332823E-2"/>
                </c:manualLayout>
              </c:layout>
              <c:spPr>
                <a:noFill/>
                <a:ln w="25410">
                  <a:noFill/>
                </a:ln>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91D-405A-84AA-4CD3AD51A254}"/>
                </c:ext>
              </c:extLst>
            </c:dLbl>
            <c:dLbl>
              <c:idx val="1"/>
              <c:layout>
                <c:manualLayout>
                  <c:x val="-5.6283411581483103E-2"/>
                  <c:y val="-5.8930420662397745E-2"/>
                </c:manualLayout>
              </c:layout>
              <c:spPr>
                <a:noFill/>
                <a:ln w="25410">
                  <a:noFill/>
                </a:ln>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91D-405A-84AA-4CD3AD51A254}"/>
                </c:ext>
              </c:extLst>
            </c:dLbl>
            <c:dLbl>
              <c:idx val="2"/>
              <c:layout>
                <c:manualLayout>
                  <c:x val="-5.8337922251427296E-2"/>
                  <c:y val="5.3796991329391149E-2"/>
                </c:manualLayout>
              </c:layout>
              <c:spPr>
                <a:noFill/>
                <a:ln w="25410">
                  <a:noFill/>
                </a:ln>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91D-405A-84AA-4CD3AD51A254}"/>
                </c:ext>
              </c:extLst>
            </c:dLbl>
            <c:dLbl>
              <c:idx val="3"/>
              <c:layout>
                <c:manualLayout>
                  <c:x val="-5.089573788856782E-2"/>
                  <c:y val="6.5695946566990404E-2"/>
                </c:manualLayout>
              </c:layout>
              <c:spPr>
                <a:noFill/>
                <a:ln w="25410">
                  <a:noFill/>
                </a:ln>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91D-405A-84AA-4CD3AD51A254}"/>
                </c:ext>
              </c:extLst>
            </c:dLbl>
            <c:dLbl>
              <c:idx val="4"/>
              <c:layout>
                <c:manualLayout>
                  <c:x val="-7.3106290697080314E-2"/>
                  <c:y val="-4.737032384570606E-2"/>
                </c:manualLayout>
              </c:layout>
              <c:spPr>
                <a:noFill/>
                <a:ln w="25410">
                  <a:noFill/>
                </a:ln>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91D-405A-84AA-4CD3AD51A254}"/>
                </c:ext>
              </c:extLst>
            </c:dLbl>
            <c:dLbl>
              <c:idx val="5"/>
              <c:layout>
                <c:manualLayout>
                  <c:x val="-6.0625001182710934E-2"/>
                  <c:y val="-5.549128343392877E-2"/>
                </c:manualLayout>
              </c:layout>
              <c:spPr>
                <a:noFill/>
                <a:ln w="25410">
                  <a:noFill/>
                </a:ln>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91D-405A-84AA-4CD3AD51A254}"/>
                </c:ext>
              </c:extLst>
            </c:dLbl>
            <c:dLbl>
              <c:idx val="6"/>
              <c:layout>
                <c:manualLayout>
                  <c:x val="-6.337702740293738E-2"/>
                  <c:y val="-3.9701277612672031E-2"/>
                </c:manualLayout>
              </c:layout>
              <c:spPr>
                <a:noFill/>
                <a:ln w="25410">
                  <a:noFill/>
                </a:ln>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91D-405A-84AA-4CD3AD51A254}"/>
                </c:ext>
              </c:extLst>
            </c:dLbl>
            <c:dLbl>
              <c:idx val="7"/>
              <c:layout>
                <c:manualLayout>
                  <c:x val="-5.8337922251427386E-2"/>
                  <c:y val="6.1466037562425246E-2"/>
                </c:manualLayout>
              </c:layout>
              <c:spPr>
                <a:noFill/>
                <a:ln w="25410">
                  <a:noFill/>
                </a:ln>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91D-405A-84AA-4CD3AD51A254}"/>
                </c:ext>
              </c:extLst>
            </c:dLbl>
            <c:dLbl>
              <c:idx val="8"/>
              <c:layout>
                <c:manualLayout>
                  <c:x val="-3.6824884993197048E-2"/>
                  <c:y val="4.990594074573363E-2"/>
                </c:manualLayout>
              </c:layout>
              <c:spPr>
                <a:noFill/>
                <a:ln w="25410">
                  <a:noFill/>
                </a:ln>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91D-405A-84AA-4CD3AD51A254}"/>
                </c:ext>
              </c:extLst>
            </c:dLbl>
            <c:dLbl>
              <c:idx val="9"/>
              <c:layout>
                <c:manualLayout>
                  <c:x val="-6.8610634648370991E-3"/>
                  <c:y val="-2.8028028028028066E-2"/>
                </c:manualLayout>
              </c:layout>
              <c:spPr>
                <a:noFill/>
                <a:ln w="25410">
                  <a:noFill/>
                </a:ln>
              </c:spPr>
              <c:txPr>
                <a:bodyPr/>
                <a:lstStyle/>
                <a:p>
                  <a:pPr>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91D-405A-84AA-4CD3AD51A254}"/>
                </c:ext>
              </c:extLst>
            </c:dLbl>
            <c:spPr>
              <a:noFill/>
              <a:ln w="2541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Arkusz1!$A$2:$A$10</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Arkusz1!$B$2:$B$10</c:f>
              <c:numCache>
                <c:formatCode>General</c:formatCode>
                <c:ptCount val="9"/>
                <c:pt idx="0">
                  <c:v>21624</c:v>
                </c:pt>
                <c:pt idx="1">
                  <c:v>26014</c:v>
                </c:pt>
                <c:pt idx="2">
                  <c:v>23776</c:v>
                </c:pt>
                <c:pt idx="3">
                  <c:v>23369</c:v>
                </c:pt>
                <c:pt idx="4">
                  <c:v>25029</c:v>
                </c:pt>
                <c:pt idx="5">
                  <c:v>30831</c:v>
                </c:pt>
                <c:pt idx="6">
                  <c:v>30508</c:v>
                </c:pt>
                <c:pt idx="7">
                  <c:v>28371</c:v>
                </c:pt>
                <c:pt idx="8">
                  <c:v>27508</c:v>
                </c:pt>
              </c:numCache>
            </c:numRef>
          </c:val>
          <c:smooth val="0"/>
          <c:extLst>
            <c:ext xmlns:c16="http://schemas.microsoft.com/office/drawing/2014/chart" uri="{C3380CC4-5D6E-409C-BE32-E72D297353CC}">
              <c16:uniqueId val="{0000000A-F91D-405A-84AA-4CD3AD51A254}"/>
            </c:ext>
          </c:extLst>
        </c:ser>
        <c:dLbls>
          <c:showLegendKey val="0"/>
          <c:showVal val="1"/>
          <c:showCatName val="0"/>
          <c:showSerName val="0"/>
          <c:showPercent val="0"/>
          <c:showBubbleSize val="0"/>
        </c:dLbls>
        <c:marker val="1"/>
        <c:smooth val="0"/>
        <c:axId val="91755648"/>
        <c:axId val="91757184"/>
      </c:lineChart>
      <c:catAx>
        <c:axId val="91755648"/>
        <c:scaling>
          <c:orientation val="minMax"/>
        </c:scaling>
        <c:delete val="0"/>
        <c:axPos val="b"/>
        <c:numFmt formatCode="General" sourceLinked="1"/>
        <c:majorTickMark val="none"/>
        <c:minorTickMark val="none"/>
        <c:tickLblPos val="nextTo"/>
        <c:crossAx val="91757184"/>
        <c:crosses val="autoZero"/>
        <c:auto val="1"/>
        <c:lblAlgn val="ctr"/>
        <c:lblOffset val="100"/>
        <c:noMultiLvlLbl val="0"/>
      </c:catAx>
      <c:valAx>
        <c:axId val="91757184"/>
        <c:scaling>
          <c:orientation val="minMax"/>
        </c:scaling>
        <c:delete val="0"/>
        <c:axPos val="l"/>
        <c:majorGridlines/>
        <c:numFmt formatCode="General" sourceLinked="1"/>
        <c:majorTickMark val="none"/>
        <c:minorTickMark val="none"/>
        <c:tickLblPos val="nextTo"/>
        <c:crossAx val="91755648"/>
        <c:crosses val="autoZero"/>
        <c:crossBetween val="between"/>
        <c:majorUnit val="10000"/>
      </c:valAx>
    </c:plotArea>
    <c:plotVisOnly val="1"/>
    <c:dispBlanksAs val="gap"/>
    <c:showDLblsOverMax val="0"/>
  </c:chart>
  <c:txPr>
    <a:bodyPr/>
    <a:lstStyle/>
    <a:p>
      <a:pPr>
        <a:defRPr b="1">
          <a:solidFill>
            <a:schemeClr val="tx1"/>
          </a:solidFill>
        </a:defRPr>
      </a:pPr>
      <a:endParaRPr lang="pl-PL"/>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view3D>
      <c:rotX val="30"/>
      <c:hPercent val="100"/>
      <c:rotY val="0"/>
      <c:depthPercent val="130"/>
      <c:rAngAx val="0"/>
      <c:perspective val="10"/>
    </c:view3D>
    <c:floor>
      <c:thickness val="0"/>
    </c:floor>
    <c:sideWall>
      <c:thickness val="0"/>
    </c:sideWall>
    <c:backWall>
      <c:thickness val="0"/>
    </c:backWall>
    <c:plotArea>
      <c:layout>
        <c:manualLayout>
          <c:layoutTarget val="inner"/>
          <c:xMode val="edge"/>
          <c:yMode val="edge"/>
          <c:x val="2.3432064953233498E-2"/>
          <c:y val="0.11651418875304025"/>
          <c:w val="0.60101563391532586"/>
          <c:h val="0.81643002857088387"/>
        </c:manualLayout>
      </c:layout>
      <c:pie3DChart>
        <c:varyColors val="1"/>
        <c:ser>
          <c:idx val="0"/>
          <c:order val="0"/>
          <c:tx>
            <c:strRef>
              <c:f>Arkusz1!$B$1</c:f>
              <c:strCache>
                <c:ptCount val="1"/>
                <c:pt idx="0">
                  <c:v>Wykres procentowy podjętych interwencji w 2016 r.</c:v>
                </c:pt>
              </c:strCache>
            </c:strRef>
          </c:tx>
          <c:dLbls>
            <c:dLbl>
              <c:idx val="3"/>
              <c:delete val="1"/>
              <c:extLst>
                <c:ext xmlns:c15="http://schemas.microsoft.com/office/drawing/2012/chart" uri="{CE6537A1-D6FC-4f65-9D91-7224C49458BB}"/>
                <c:ext xmlns:c16="http://schemas.microsoft.com/office/drawing/2014/chart" uri="{C3380CC4-5D6E-409C-BE32-E72D297353CC}">
                  <c16:uniqueId val="{00000000-79A2-4830-8BE6-A3E783B153F3}"/>
                </c:ext>
              </c:extLst>
            </c:dLbl>
            <c:dLbl>
              <c:idx val="4"/>
              <c:layout>
                <c:manualLayout>
                  <c:x val="4.2562577840097864E-2"/>
                  <c:y val="-0.11115568216674106"/>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9A2-4830-8BE6-A3E783B153F3}"/>
                </c:ext>
              </c:extLst>
            </c:dLbl>
            <c:spPr>
              <a:noFill/>
              <a:ln>
                <a:noFill/>
              </a:ln>
              <a:effectLst/>
            </c:spPr>
            <c:txPr>
              <a:bodyPr/>
              <a:lstStyle/>
              <a:p>
                <a:pPr>
                  <a:defRPr b="1"/>
                </a:pPr>
                <a:endParaRPr lang="pl-PL"/>
              </a:p>
            </c:txPr>
            <c:showLegendKey val="0"/>
            <c:showVal val="0"/>
            <c:showCatName val="0"/>
            <c:showSerName val="0"/>
            <c:showPercent val="1"/>
            <c:showBubbleSize val="0"/>
            <c:showLeaderLines val="0"/>
            <c:extLst>
              <c:ext xmlns:c15="http://schemas.microsoft.com/office/drawing/2012/chart" uri="{CE6537A1-D6FC-4f65-9D91-7224C49458BB}"/>
            </c:extLst>
          </c:dLbls>
          <c:cat>
            <c:strRef>
              <c:f>Arkusz1!$A$2:$A$8</c:f>
              <c:strCache>
                <c:ptCount val="7"/>
                <c:pt idx="0">
                  <c:v>porządek i spokój publiczny</c:v>
                </c:pt>
                <c:pt idx="1">
                  <c:v>bezpieczeństwo w komunikacji</c:v>
                </c:pt>
                <c:pt idx="2">
                  <c:v>urządzenia użytku publicznego</c:v>
                </c:pt>
                <c:pt idx="3">
                  <c:v>bezp. osób i mienia</c:v>
                </c:pt>
                <c:pt idx="4">
                  <c:v>obyczajność</c:v>
                </c:pt>
                <c:pt idx="5">
                  <c:v>zawiadomienia</c:v>
                </c:pt>
                <c:pt idx="6">
                  <c:v>inne </c:v>
                </c:pt>
              </c:strCache>
            </c:strRef>
          </c:cat>
          <c:val>
            <c:numRef>
              <c:f>Arkusz1!$B$2:$B$8</c:f>
              <c:numCache>
                <c:formatCode>General</c:formatCode>
                <c:ptCount val="7"/>
                <c:pt idx="0">
                  <c:v>7387</c:v>
                </c:pt>
                <c:pt idx="1">
                  <c:v>9978</c:v>
                </c:pt>
                <c:pt idx="2">
                  <c:v>1741</c:v>
                </c:pt>
                <c:pt idx="3">
                  <c:v>219</c:v>
                </c:pt>
                <c:pt idx="4">
                  <c:v>770</c:v>
                </c:pt>
                <c:pt idx="5">
                  <c:v>3498</c:v>
                </c:pt>
                <c:pt idx="6">
                  <c:v>3320</c:v>
                </c:pt>
              </c:numCache>
            </c:numRef>
          </c:val>
          <c:extLst>
            <c:ext xmlns:c16="http://schemas.microsoft.com/office/drawing/2014/chart" uri="{C3380CC4-5D6E-409C-BE32-E72D297353CC}">
              <c16:uniqueId val="{00000002-79A2-4830-8BE6-A3E783B153F3}"/>
            </c:ext>
          </c:extLst>
        </c:ser>
        <c:dLbls>
          <c:showLegendKey val="0"/>
          <c:showVal val="0"/>
          <c:showCatName val="0"/>
          <c:showSerName val="0"/>
          <c:showPercent val="1"/>
          <c:showBubbleSize val="0"/>
          <c:showLeaderLines val="0"/>
        </c:dLbls>
      </c:pie3DChart>
      <c:spPr>
        <a:noFill/>
        <a:ln w="25406">
          <a:noFill/>
        </a:ln>
      </c:spPr>
    </c:plotArea>
    <c:legend>
      <c:legendPos val="r"/>
      <c:legendEntry>
        <c:idx val="0"/>
        <c:txPr>
          <a:bodyPr/>
          <a:lstStyle/>
          <a:p>
            <a:pPr>
              <a:defRPr sz="900" b="1"/>
            </a:pPr>
            <a:endParaRPr lang="pl-PL"/>
          </a:p>
        </c:txPr>
      </c:legendEntry>
      <c:legendEntry>
        <c:idx val="1"/>
        <c:txPr>
          <a:bodyPr/>
          <a:lstStyle/>
          <a:p>
            <a:pPr>
              <a:defRPr sz="900" b="1"/>
            </a:pPr>
            <a:endParaRPr lang="pl-PL"/>
          </a:p>
        </c:txPr>
      </c:legendEntry>
      <c:legendEntry>
        <c:idx val="2"/>
        <c:txPr>
          <a:bodyPr/>
          <a:lstStyle/>
          <a:p>
            <a:pPr>
              <a:defRPr sz="900" b="1"/>
            </a:pPr>
            <a:endParaRPr lang="pl-PL"/>
          </a:p>
        </c:txPr>
      </c:legendEntry>
      <c:legendEntry>
        <c:idx val="3"/>
        <c:txPr>
          <a:bodyPr/>
          <a:lstStyle/>
          <a:p>
            <a:pPr>
              <a:defRPr sz="900" b="1"/>
            </a:pPr>
            <a:endParaRPr lang="pl-PL"/>
          </a:p>
        </c:txPr>
      </c:legendEntry>
      <c:legendEntry>
        <c:idx val="4"/>
        <c:txPr>
          <a:bodyPr/>
          <a:lstStyle/>
          <a:p>
            <a:pPr>
              <a:defRPr sz="900" b="1"/>
            </a:pPr>
            <a:endParaRPr lang="pl-PL"/>
          </a:p>
        </c:txPr>
      </c:legendEntry>
      <c:legendEntry>
        <c:idx val="5"/>
        <c:txPr>
          <a:bodyPr/>
          <a:lstStyle/>
          <a:p>
            <a:pPr>
              <a:defRPr sz="900" b="1"/>
            </a:pPr>
            <a:endParaRPr lang="pl-PL"/>
          </a:p>
        </c:txPr>
      </c:legendEntry>
      <c:legendEntry>
        <c:idx val="6"/>
        <c:txPr>
          <a:bodyPr/>
          <a:lstStyle/>
          <a:p>
            <a:pPr>
              <a:defRPr sz="900" b="1"/>
            </a:pPr>
            <a:endParaRPr lang="pl-PL"/>
          </a:p>
        </c:txPr>
      </c:legendEntry>
      <c:layout>
        <c:manualLayout>
          <c:xMode val="edge"/>
          <c:yMode val="edge"/>
          <c:x val="0.5873512791577381"/>
          <c:y val="0.13360061227213427"/>
          <c:w val="0.3991716011343992"/>
          <c:h val="0.66707648226780369"/>
        </c:manualLayout>
      </c:layout>
      <c:overlay val="0"/>
      <c:txPr>
        <a:bodyPr/>
        <a:lstStyle/>
        <a:p>
          <a:pPr>
            <a:defRPr b="1"/>
          </a:pPr>
          <a:endParaRPr lang="pl-PL"/>
        </a:p>
      </c:txPr>
    </c:legend>
    <c:plotVisOnly val="1"/>
    <c:dispBlanksAs val="zero"/>
    <c:showDLblsOverMax val="0"/>
  </c:chart>
  <c:txPr>
    <a:bodyPr/>
    <a:lstStyle/>
    <a:p>
      <a:pPr>
        <a:defRPr>
          <a:solidFill>
            <a:schemeClr val="tx1"/>
          </a:solidFill>
        </a:defRPr>
      </a:pPr>
      <a:endParaRPr lang="pl-PL"/>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TABLICA!$M$11</c:f>
              <c:strCache>
                <c:ptCount val="1"/>
                <c:pt idx="0">
                  <c:v>2013</c:v>
                </c:pt>
              </c:strCache>
            </c:strRef>
          </c:tx>
          <c:spPr>
            <a:solidFill>
              <a:schemeClr val="accent1"/>
            </a:solidFill>
            <a:ln>
              <a:noFill/>
            </a:ln>
            <a:effectLst/>
          </c:spPr>
          <c:invertIfNegative val="0"/>
          <c:dLbls>
            <c:dLbl>
              <c:idx val="0"/>
              <c:layout>
                <c:manualLayout>
                  <c:x val="3.0643960202649087E-3"/>
                  <c:y val="0.150707799600168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70D-41EB-B3DC-92315AB00ADC}"/>
                </c:ext>
              </c:extLst>
            </c:dLbl>
            <c:dLbl>
              <c:idx val="1"/>
              <c:layout>
                <c:manualLayout>
                  <c:x val="0"/>
                  <c:y val="0.150707799600168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70D-41EB-B3DC-92315AB00ADC}"/>
                </c:ext>
              </c:extLst>
            </c:dLbl>
            <c:dLbl>
              <c:idx val="2"/>
              <c:layout>
                <c:manualLayout>
                  <c:x val="-3.6379173533597714E-5"/>
                  <c:y val="0.160885912570009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70D-41EB-B3DC-92315AB00ADC}"/>
                </c:ext>
              </c:extLst>
            </c:dLbl>
            <c:dLbl>
              <c:idx val="3"/>
              <c:layout>
                <c:manualLayout>
                  <c:x val="0"/>
                  <c:y val="0.145618743115247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70D-41EB-B3DC-92315AB00ADC}"/>
                </c:ext>
              </c:extLst>
            </c:dLbl>
            <c:dLbl>
              <c:idx val="4"/>
              <c:layout>
                <c:manualLayout>
                  <c:x val="-1.1503135088658065E-16"/>
                  <c:y val="0.188105117565698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70D-41EB-B3DC-92315AB00ADC}"/>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TABLICA!$L$12:$L$16</c:f>
              <c:strCache>
                <c:ptCount val="5"/>
                <c:pt idx="0">
                  <c:v>Olsztyn</c:v>
                </c:pt>
                <c:pt idx="1">
                  <c:v>Kielce</c:v>
                </c:pt>
                <c:pt idx="2">
                  <c:v>Białystok</c:v>
                </c:pt>
                <c:pt idx="3">
                  <c:v>Rzeszów</c:v>
                </c:pt>
                <c:pt idx="4">
                  <c:v>Lublin</c:v>
                </c:pt>
              </c:strCache>
            </c:strRef>
          </c:cat>
          <c:val>
            <c:numRef>
              <c:f>TABLICA!$M$12:$M$16</c:f>
              <c:numCache>
                <c:formatCode>#,##0</c:formatCode>
                <c:ptCount val="5"/>
                <c:pt idx="0">
                  <c:v>4794</c:v>
                </c:pt>
                <c:pt idx="1">
                  <c:v>7539</c:v>
                </c:pt>
                <c:pt idx="2">
                  <c:v>6873</c:v>
                </c:pt>
                <c:pt idx="3">
                  <c:v>4618</c:v>
                </c:pt>
                <c:pt idx="4">
                  <c:v>11131</c:v>
                </c:pt>
              </c:numCache>
            </c:numRef>
          </c:val>
          <c:extLst>
            <c:ext xmlns:c16="http://schemas.microsoft.com/office/drawing/2014/chart" uri="{C3380CC4-5D6E-409C-BE32-E72D297353CC}">
              <c16:uniqueId val="{00000005-970D-41EB-B3DC-92315AB00ADC}"/>
            </c:ext>
          </c:extLst>
        </c:ser>
        <c:ser>
          <c:idx val="1"/>
          <c:order val="1"/>
          <c:tx>
            <c:strRef>
              <c:f>TABLICA!$N$11</c:f>
              <c:strCache>
                <c:ptCount val="1"/>
                <c:pt idx="0">
                  <c:v>2019</c:v>
                </c:pt>
              </c:strCache>
            </c:strRef>
          </c:tx>
          <c:spPr>
            <a:solidFill>
              <a:schemeClr val="accent2"/>
            </a:solidFill>
            <a:ln>
              <a:noFill/>
            </a:ln>
            <a:effectLst/>
          </c:spPr>
          <c:invertIfNegative val="0"/>
          <c:dLbls>
            <c:dLbl>
              <c:idx val="0"/>
              <c:layout>
                <c:manualLayout>
                  <c:x val="0"/>
                  <c:y val="0.145618743115247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70D-41EB-B3DC-92315AB00ADC}"/>
                </c:ext>
              </c:extLst>
            </c:dLbl>
            <c:dLbl>
              <c:idx val="1"/>
              <c:layout>
                <c:manualLayout>
                  <c:x val="-5.6846888519531126E-17"/>
                  <c:y val="0.156240445496806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70D-41EB-B3DC-92315AB00ADC}"/>
                </c:ext>
              </c:extLst>
            </c:dLbl>
            <c:dLbl>
              <c:idx val="2"/>
              <c:layout>
                <c:manualLayout>
                  <c:x val="-1.1369377703906225E-16"/>
                  <c:y val="0.150707799600168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70D-41EB-B3DC-92315AB00ADC}"/>
                </c:ext>
              </c:extLst>
            </c:dLbl>
            <c:dLbl>
              <c:idx val="3"/>
              <c:layout>
                <c:manualLayout>
                  <c:x val="0"/>
                  <c:y val="0.1299083849618781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70D-41EB-B3DC-92315AB00ADC}"/>
                </c:ext>
              </c:extLst>
            </c:dLbl>
            <c:dLbl>
              <c:idx val="4"/>
              <c:layout>
                <c:manualLayout>
                  <c:x val="0"/>
                  <c:y val="0.150707799600168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70D-41EB-B3DC-92315AB00ADC}"/>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TABLICA!$L$12:$L$16</c:f>
              <c:strCache>
                <c:ptCount val="5"/>
                <c:pt idx="0">
                  <c:v>Olsztyn</c:v>
                </c:pt>
                <c:pt idx="1">
                  <c:v>Kielce</c:v>
                </c:pt>
                <c:pt idx="2">
                  <c:v>Białystok</c:v>
                </c:pt>
                <c:pt idx="3">
                  <c:v>Rzeszów</c:v>
                </c:pt>
                <c:pt idx="4">
                  <c:v>Lublin</c:v>
                </c:pt>
              </c:strCache>
            </c:strRef>
          </c:cat>
          <c:val>
            <c:numRef>
              <c:f>TABLICA!$N$12:$N$16</c:f>
              <c:numCache>
                <c:formatCode>#,##0</c:formatCode>
                <c:ptCount val="5"/>
                <c:pt idx="0">
                  <c:v>3757</c:v>
                </c:pt>
                <c:pt idx="1">
                  <c:v>5956</c:v>
                </c:pt>
                <c:pt idx="2">
                  <c:v>5947</c:v>
                </c:pt>
                <c:pt idx="3">
                  <c:v>3085</c:v>
                </c:pt>
                <c:pt idx="4">
                  <c:v>7488</c:v>
                </c:pt>
              </c:numCache>
            </c:numRef>
          </c:val>
          <c:extLst>
            <c:ext xmlns:c16="http://schemas.microsoft.com/office/drawing/2014/chart" uri="{C3380CC4-5D6E-409C-BE32-E72D297353CC}">
              <c16:uniqueId val="{0000000B-970D-41EB-B3DC-92315AB00ADC}"/>
            </c:ext>
          </c:extLst>
        </c:ser>
        <c:dLbls>
          <c:showLegendKey val="0"/>
          <c:showVal val="0"/>
          <c:showCatName val="0"/>
          <c:showSerName val="0"/>
          <c:showPercent val="0"/>
          <c:showBubbleSize val="0"/>
        </c:dLbls>
        <c:gapWidth val="219"/>
        <c:overlap val="-27"/>
        <c:axId val="285146736"/>
        <c:axId val="285146408"/>
      </c:barChart>
      <c:catAx>
        <c:axId val="285146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85146408"/>
        <c:crosses val="autoZero"/>
        <c:auto val="1"/>
        <c:lblAlgn val="ctr"/>
        <c:lblOffset val="100"/>
        <c:noMultiLvlLbl val="0"/>
      </c:catAx>
      <c:valAx>
        <c:axId val="2851464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85146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layout>
                <c:manualLayout>
                  <c:x val="0"/>
                  <c:y val="0.207253886010362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844-40F9-8774-68DBCEA754E4}"/>
                </c:ext>
              </c:extLst>
            </c:dLbl>
            <c:dLbl>
              <c:idx val="1"/>
              <c:layout>
                <c:manualLayout>
                  <c:x val="0"/>
                  <c:y val="0.207253886010362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844-40F9-8774-68DBCEA754E4}"/>
                </c:ext>
              </c:extLst>
            </c:dLbl>
            <c:dLbl>
              <c:idx val="2"/>
              <c:layout>
                <c:manualLayout>
                  <c:x val="-6.8089587920329768E-17"/>
                  <c:y val="0.20034542314335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844-40F9-8774-68DBCEA754E4}"/>
                </c:ext>
              </c:extLst>
            </c:dLbl>
            <c:dLbl>
              <c:idx val="3"/>
              <c:layout>
                <c:manualLayout>
                  <c:x val="0"/>
                  <c:y val="0.207253886010362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844-40F9-8774-68DBCEA754E4}"/>
                </c:ext>
              </c:extLst>
            </c:dLbl>
            <c:dLbl>
              <c:idx val="4"/>
              <c:layout>
                <c:manualLayout>
                  <c:x val="0"/>
                  <c:y val="0.2072538860103626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844-40F9-8774-68DBCEA754E4}"/>
                </c:ext>
              </c:extLst>
            </c:dLbl>
            <c:dLbl>
              <c:idx val="5"/>
              <c:layout>
                <c:manualLayout>
                  <c:x val="0"/>
                  <c:y val="0.20034542314335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844-40F9-8774-68DBCEA754E4}"/>
                </c:ext>
              </c:extLst>
            </c:dLbl>
            <c:dLbl>
              <c:idx val="6"/>
              <c:layout>
                <c:manualLayout>
                  <c:x val="0"/>
                  <c:y val="0.193436960276338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844-40F9-8774-68DBCEA754E4}"/>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TABLICA!$C$11:$I$11</c:f>
              <c:strCache>
                <c:ptCount val="7"/>
                <c:pt idx="0">
                  <c:v>2013</c:v>
                </c:pt>
                <c:pt idx="1">
                  <c:v>2014</c:v>
                </c:pt>
                <c:pt idx="2">
                  <c:v>2015</c:v>
                </c:pt>
                <c:pt idx="3">
                  <c:v>2016</c:v>
                </c:pt>
                <c:pt idx="4">
                  <c:v>2017</c:v>
                </c:pt>
                <c:pt idx="5">
                  <c:v>2018</c:v>
                </c:pt>
                <c:pt idx="6">
                  <c:v>2019</c:v>
                </c:pt>
              </c:strCache>
            </c:strRef>
          </c:cat>
          <c:val>
            <c:numRef>
              <c:f>TABLICA!$C$12:$I$12</c:f>
              <c:numCache>
                <c:formatCode>#,##0</c:formatCode>
                <c:ptCount val="7"/>
                <c:pt idx="0">
                  <c:v>4794</c:v>
                </c:pt>
                <c:pt idx="1">
                  <c:v>4806</c:v>
                </c:pt>
                <c:pt idx="2">
                  <c:v>4516</c:v>
                </c:pt>
                <c:pt idx="3">
                  <c:v>4583</c:v>
                </c:pt>
                <c:pt idx="4">
                  <c:v>4037</c:v>
                </c:pt>
                <c:pt idx="5">
                  <c:v>3862</c:v>
                </c:pt>
                <c:pt idx="6">
                  <c:v>3757</c:v>
                </c:pt>
              </c:numCache>
            </c:numRef>
          </c:val>
          <c:extLst>
            <c:ext xmlns:c16="http://schemas.microsoft.com/office/drawing/2014/chart" uri="{C3380CC4-5D6E-409C-BE32-E72D297353CC}">
              <c16:uniqueId val="{00000007-7844-40F9-8774-68DBCEA754E4}"/>
            </c:ext>
          </c:extLst>
        </c:ser>
        <c:dLbls>
          <c:showLegendKey val="0"/>
          <c:showVal val="0"/>
          <c:showCatName val="0"/>
          <c:showSerName val="0"/>
          <c:showPercent val="0"/>
          <c:showBubbleSize val="0"/>
        </c:dLbls>
        <c:gapWidth val="219"/>
        <c:overlap val="-27"/>
        <c:axId val="283770000"/>
        <c:axId val="283771312"/>
      </c:barChart>
      <c:catAx>
        <c:axId val="283770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83771312"/>
        <c:crosses val="autoZero"/>
        <c:auto val="1"/>
        <c:lblAlgn val="ctr"/>
        <c:lblOffset val="100"/>
        <c:noMultiLvlLbl val="0"/>
      </c:catAx>
      <c:valAx>
        <c:axId val="2837713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83770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TABLICA!$W$24</c:f>
              <c:strCache>
                <c:ptCount val="1"/>
                <c:pt idx="0">
                  <c:v>2013</c:v>
                </c:pt>
              </c:strCache>
            </c:strRef>
          </c:tx>
          <c:spPr>
            <a:solidFill>
              <a:schemeClr val="accent1"/>
            </a:solidFill>
            <a:ln>
              <a:noFill/>
            </a:ln>
            <a:effectLst/>
          </c:spPr>
          <c:invertIfNegative val="0"/>
          <c:dLbls>
            <c:dLbl>
              <c:idx val="0"/>
              <c:layout>
                <c:manualLayout>
                  <c:x val="-2.020846731431745E-17"/>
                  <c:y val="0.117411813677627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2A6-41D1-A55D-23E8AD6B0287}"/>
                </c:ext>
              </c:extLst>
            </c:dLbl>
            <c:dLbl>
              <c:idx val="1"/>
              <c:layout>
                <c:manualLayout>
                  <c:x val="0"/>
                  <c:y val="0.110315840642325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2A6-41D1-A55D-23E8AD6B0287}"/>
                </c:ext>
              </c:extLst>
            </c:dLbl>
            <c:dLbl>
              <c:idx val="2"/>
              <c:layout>
                <c:manualLayout>
                  <c:x val="4.04169346286349E-17"/>
                  <c:y val="1.06439595529536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2A6-41D1-A55D-23E8AD6B0287}"/>
                </c:ext>
              </c:extLst>
            </c:dLbl>
            <c:dLbl>
              <c:idx val="5"/>
              <c:layout>
                <c:manualLayout>
                  <c:x val="-8.0833869257269799E-17"/>
                  <c:y val="0.1072151239211117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2A6-41D1-A55D-23E8AD6B0287}"/>
                </c:ext>
              </c:extLst>
            </c:dLbl>
            <c:dLbl>
              <c:idx val="6"/>
              <c:layout>
                <c:manualLayout>
                  <c:x val="0"/>
                  <c:y val="7.0959730353024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2A6-41D1-A55D-23E8AD6B0287}"/>
                </c:ext>
              </c:extLst>
            </c:dLbl>
            <c:dLbl>
              <c:idx val="7"/>
              <c:layout>
                <c:manualLayout>
                  <c:x val="0"/>
                  <c:y val="7.0959730353024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2A6-41D1-A55D-23E8AD6B0287}"/>
                </c:ext>
              </c:extLst>
            </c:dLbl>
            <c:dLbl>
              <c:idx val="8"/>
              <c:layout>
                <c:manualLayout>
                  <c:x val="-2.2045855379188711E-3"/>
                  <c:y val="7.0959730353024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2A6-41D1-A55D-23E8AD6B0287}"/>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TABLICA!$V$25:$V$33</c:f>
              <c:strCache>
                <c:ptCount val="9"/>
                <c:pt idx="0">
                  <c:v>ogółem</c:v>
                </c:pt>
                <c:pt idx="1">
                  <c:v>o charakterze kryminalnym</c:v>
                </c:pt>
                <c:pt idx="2">
                  <c:v>o charakterze gospodarczym</c:v>
                </c:pt>
                <c:pt idx="3">
                  <c:v>drogowe</c:v>
                </c:pt>
                <c:pt idx="4">
                  <c:v>przeciwko życiu i zdrowiu</c:v>
                </c:pt>
                <c:pt idx="5">
                  <c:v>przeciwko mieniu</c:v>
                </c:pt>
                <c:pt idx="6">
                  <c:v>przeciwko wolności, wolności sumienia i wyznania, wolności seksualnej i obyczajności</c:v>
                </c:pt>
                <c:pt idx="7">
                  <c:v>przeciwko rodzinie i opiece</c:v>
                </c:pt>
                <c:pt idx="8">
                  <c:v>przeciwko bezpieczeństwu powszechnemu i bezpieczeństwu w komunikacji</c:v>
                </c:pt>
              </c:strCache>
            </c:strRef>
          </c:cat>
          <c:val>
            <c:numRef>
              <c:f>TABLICA!$W$25:$W$33</c:f>
              <c:numCache>
                <c:formatCode>#,##0</c:formatCode>
                <c:ptCount val="9"/>
                <c:pt idx="0">
                  <c:v>4794</c:v>
                </c:pt>
                <c:pt idx="1">
                  <c:v>3877</c:v>
                </c:pt>
                <c:pt idx="2">
                  <c:v>508</c:v>
                </c:pt>
                <c:pt idx="3">
                  <c:v>317</c:v>
                </c:pt>
                <c:pt idx="4">
                  <c:v>196</c:v>
                </c:pt>
                <c:pt idx="5">
                  <c:v>3088</c:v>
                </c:pt>
                <c:pt idx="6">
                  <c:v>204</c:v>
                </c:pt>
                <c:pt idx="7">
                  <c:v>75</c:v>
                </c:pt>
                <c:pt idx="8">
                  <c:v>320</c:v>
                </c:pt>
              </c:numCache>
            </c:numRef>
          </c:val>
          <c:extLst>
            <c:ext xmlns:c16="http://schemas.microsoft.com/office/drawing/2014/chart" uri="{C3380CC4-5D6E-409C-BE32-E72D297353CC}">
              <c16:uniqueId val="{00000003-E2A6-41D1-A55D-23E8AD6B0287}"/>
            </c:ext>
          </c:extLst>
        </c:ser>
        <c:ser>
          <c:idx val="1"/>
          <c:order val="1"/>
          <c:tx>
            <c:strRef>
              <c:f>TABLICA!$X$24</c:f>
              <c:strCache>
                <c:ptCount val="1"/>
                <c:pt idx="0">
                  <c:v>2019</c:v>
                </c:pt>
              </c:strCache>
            </c:strRef>
          </c:tx>
          <c:spPr>
            <a:solidFill>
              <a:schemeClr val="accent2"/>
            </a:solidFill>
            <a:ln>
              <a:noFill/>
            </a:ln>
            <a:effectLst/>
          </c:spPr>
          <c:invertIfNegative val="0"/>
          <c:dLbls>
            <c:dLbl>
              <c:idx val="0"/>
              <c:layout>
                <c:manualLayout>
                  <c:x val="1.9268424780235804E-3"/>
                  <c:y val="0.1112103802352007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2A6-41D1-A55D-23E8AD6B0287}"/>
                </c:ext>
              </c:extLst>
            </c:dLbl>
            <c:dLbl>
              <c:idx val="1"/>
              <c:layout>
                <c:manualLayout>
                  <c:x val="2.2045855379188711E-3"/>
                  <c:y val="0.104114407199898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2A6-41D1-A55D-23E8AD6B0287}"/>
                </c:ext>
              </c:extLst>
            </c:dLbl>
            <c:dLbl>
              <c:idx val="2"/>
              <c:layout>
                <c:manualLayout>
                  <c:x val="0"/>
                  <c:y val="9.30232558139534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2A6-41D1-A55D-23E8AD6B0287}"/>
                </c:ext>
              </c:extLst>
            </c:dLbl>
            <c:dLbl>
              <c:idx val="3"/>
              <c:layout>
                <c:manualLayout>
                  <c:x val="0"/>
                  <c:y val="1.06439595529536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2A6-41D1-A55D-23E8AD6B0287}"/>
                </c:ext>
              </c:extLst>
            </c:dLbl>
            <c:dLbl>
              <c:idx val="4"/>
              <c:layout>
                <c:manualLayout>
                  <c:x val="-8.0833869257269799E-17"/>
                  <c:y val="7.0959730353024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2A6-41D1-A55D-23E8AD6B0287}"/>
                </c:ext>
              </c:extLst>
            </c:dLbl>
            <c:dLbl>
              <c:idx val="5"/>
              <c:layout>
                <c:manualLayout>
                  <c:x val="0"/>
                  <c:y val="0.1032198676070227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2A6-41D1-A55D-23E8AD6B0287}"/>
                </c:ext>
              </c:extLst>
            </c:dLbl>
            <c:dLbl>
              <c:idx val="6"/>
              <c:layout>
                <c:manualLayout>
                  <c:x val="-8.0833869257269799E-17"/>
                  <c:y val="1.41919460706048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2A6-41D1-A55D-23E8AD6B0287}"/>
                </c:ext>
              </c:extLst>
            </c:dLbl>
            <c:dLbl>
              <c:idx val="8"/>
              <c:layout>
                <c:manualLayout>
                  <c:x val="-1.616677385145396E-16"/>
                  <c:y val="1.41919460706048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E2A6-41D1-A55D-23E8AD6B0287}"/>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TABLICA!$V$25:$V$33</c:f>
              <c:strCache>
                <c:ptCount val="9"/>
                <c:pt idx="0">
                  <c:v>ogółem</c:v>
                </c:pt>
                <c:pt idx="1">
                  <c:v>o charakterze kryminalnym</c:v>
                </c:pt>
                <c:pt idx="2">
                  <c:v>o charakterze gospodarczym</c:v>
                </c:pt>
                <c:pt idx="3">
                  <c:v>drogowe</c:v>
                </c:pt>
                <c:pt idx="4">
                  <c:v>przeciwko życiu i zdrowiu</c:v>
                </c:pt>
                <c:pt idx="5">
                  <c:v>przeciwko mieniu</c:v>
                </c:pt>
                <c:pt idx="6">
                  <c:v>przeciwko wolności, wolności sumienia i wyznania, wolności seksualnej i obyczajności</c:v>
                </c:pt>
                <c:pt idx="7">
                  <c:v>przeciwko rodzinie i opiece</c:v>
                </c:pt>
                <c:pt idx="8">
                  <c:v>przeciwko bezpieczeństwu powszechnemu i bezpieczeństwu w komunikacji</c:v>
                </c:pt>
              </c:strCache>
            </c:strRef>
          </c:cat>
          <c:val>
            <c:numRef>
              <c:f>TABLICA!$X$25:$X$33</c:f>
              <c:numCache>
                <c:formatCode>#,##0</c:formatCode>
                <c:ptCount val="9"/>
                <c:pt idx="0">
                  <c:v>3757</c:v>
                </c:pt>
                <c:pt idx="1">
                  <c:v>2341</c:v>
                </c:pt>
                <c:pt idx="2">
                  <c:v>1125</c:v>
                </c:pt>
                <c:pt idx="3">
                  <c:v>195</c:v>
                </c:pt>
                <c:pt idx="4">
                  <c:v>89</c:v>
                </c:pt>
                <c:pt idx="5">
                  <c:v>2206</c:v>
                </c:pt>
                <c:pt idx="6">
                  <c:v>171</c:v>
                </c:pt>
                <c:pt idx="7">
                  <c:v>104</c:v>
                </c:pt>
                <c:pt idx="8">
                  <c:v>212</c:v>
                </c:pt>
              </c:numCache>
            </c:numRef>
          </c:val>
          <c:extLst>
            <c:ext xmlns:c16="http://schemas.microsoft.com/office/drawing/2014/chart" uri="{C3380CC4-5D6E-409C-BE32-E72D297353CC}">
              <c16:uniqueId val="{00000008-E2A6-41D1-A55D-23E8AD6B0287}"/>
            </c:ext>
          </c:extLst>
        </c:ser>
        <c:dLbls>
          <c:showLegendKey val="0"/>
          <c:showVal val="0"/>
          <c:showCatName val="0"/>
          <c:showSerName val="0"/>
          <c:showPercent val="0"/>
          <c:showBubbleSize val="0"/>
        </c:dLbls>
        <c:gapWidth val="219"/>
        <c:overlap val="-27"/>
        <c:axId val="326122584"/>
        <c:axId val="326122912"/>
      </c:barChart>
      <c:catAx>
        <c:axId val="326122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26122912"/>
        <c:crosses val="autoZero"/>
        <c:auto val="1"/>
        <c:lblAlgn val="ctr"/>
        <c:lblOffset val="100"/>
        <c:noMultiLvlLbl val="0"/>
      </c:catAx>
      <c:valAx>
        <c:axId val="326122912"/>
        <c:scaling>
          <c:orientation val="minMax"/>
          <c:max val="5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26122584"/>
        <c:crosses val="autoZero"/>
        <c:crossBetween val="between"/>
      </c:valAx>
      <c:spPr>
        <a:noFill/>
        <a:ln>
          <a:noFill/>
        </a:ln>
        <a:effectLst/>
      </c:spPr>
    </c:plotArea>
    <c:legend>
      <c:legendPos val="b"/>
      <c:layout>
        <c:manualLayout>
          <c:xMode val="edge"/>
          <c:yMode val="edge"/>
          <c:x val="0.38101764735065202"/>
          <c:y val="0.92906940120856984"/>
          <c:w val="0.27264662924663891"/>
          <c:h val="5.8527498016236343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Bezpieczeństwo!$B$11</c:f>
              <c:strCache>
                <c:ptCount val="1"/>
                <c:pt idx="0">
                  <c:v>Liczba wypadków</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Bezpieczeństwo!$A$12:$A$16</c:f>
              <c:numCache>
                <c:formatCode>General</c:formatCode>
                <c:ptCount val="5"/>
                <c:pt idx="0">
                  <c:v>2015</c:v>
                </c:pt>
                <c:pt idx="1">
                  <c:v>2016</c:v>
                </c:pt>
                <c:pt idx="2">
                  <c:v>2017</c:v>
                </c:pt>
                <c:pt idx="3">
                  <c:v>2018</c:v>
                </c:pt>
                <c:pt idx="4">
                  <c:v>2019</c:v>
                </c:pt>
              </c:numCache>
            </c:numRef>
          </c:cat>
          <c:val>
            <c:numRef>
              <c:f>Bezpieczeństwo!$B$12:$B$16</c:f>
              <c:numCache>
                <c:formatCode>General</c:formatCode>
                <c:ptCount val="5"/>
                <c:pt idx="0">
                  <c:v>252</c:v>
                </c:pt>
                <c:pt idx="1">
                  <c:v>296</c:v>
                </c:pt>
                <c:pt idx="2">
                  <c:v>258</c:v>
                </c:pt>
                <c:pt idx="3">
                  <c:v>256</c:v>
                </c:pt>
                <c:pt idx="4">
                  <c:v>225</c:v>
                </c:pt>
              </c:numCache>
            </c:numRef>
          </c:val>
          <c:extLst>
            <c:ext xmlns:c16="http://schemas.microsoft.com/office/drawing/2014/chart" uri="{C3380CC4-5D6E-409C-BE32-E72D297353CC}">
              <c16:uniqueId val="{00000000-2056-40F3-81F1-DDF38D2AFC98}"/>
            </c:ext>
          </c:extLst>
        </c:ser>
        <c:ser>
          <c:idx val="1"/>
          <c:order val="1"/>
          <c:tx>
            <c:strRef>
              <c:f>Bezpieczeństwo!$C$11</c:f>
              <c:strCache>
                <c:ptCount val="1"/>
                <c:pt idx="0">
                  <c:v>Liczba kolizji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Bezpieczeństwo!$A$12:$A$16</c:f>
              <c:numCache>
                <c:formatCode>General</c:formatCode>
                <c:ptCount val="5"/>
                <c:pt idx="0">
                  <c:v>2015</c:v>
                </c:pt>
                <c:pt idx="1">
                  <c:v>2016</c:v>
                </c:pt>
                <c:pt idx="2">
                  <c:v>2017</c:v>
                </c:pt>
                <c:pt idx="3">
                  <c:v>2018</c:v>
                </c:pt>
                <c:pt idx="4">
                  <c:v>2019</c:v>
                </c:pt>
              </c:numCache>
            </c:numRef>
          </c:cat>
          <c:val>
            <c:numRef>
              <c:f>Bezpieczeństwo!$C$12:$C$16</c:f>
              <c:numCache>
                <c:formatCode>General</c:formatCode>
                <c:ptCount val="5"/>
                <c:pt idx="0">
                  <c:v>2976</c:v>
                </c:pt>
                <c:pt idx="1">
                  <c:v>2985</c:v>
                </c:pt>
                <c:pt idx="2">
                  <c:v>3279</c:v>
                </c:pt>
                <c:pt idx="3">
                  <c:v>3144</c:v>
                </c:pt>
                <c:pt idx="4">
                  <c:v>3118</c:v>
                </c:pt>
              </c:numCache>
            </c:numRef>
          </c:val>
          <c:extLst>
            <c:ext xmlns:c16="http://schemas.microsoft.com/office/drawing/2014/chart" uri="{C3380CC4-5D6E-409C-BE32-E72D297353CC}">
              <c16:uniqueId val="{00000001-2056-40F3-81F1-DDF38D2AFC98}"/>
            </c:ext>
          </c:extLst>
        </c:ser>
        <c:dLbls>
          <c:showLegendKey val="0"/>
          <c:showVal val="0"/>
          <c:showCatName val="0"/>
          <c:showSerName val="0"/>
          <c:showPercent val="0"/>
          <c:showBubbleSize val="0"/>
        </c:dLbls>
        <c:gapWidth val="150"/>
        <c:overlap val="100"/>
        <c:axId val="453746280"/>
        <c:axId val="453748248"/>
      </c:barChart>
      <c:catAx>
        <c:axId val="453746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53748248"/>
        <c:crosses val="autoZero"/>
        <c:auto val="1"/>
        <c:lblAlgn val="ctr"/>
        <c:lblOffset val="100"/>
        <c:noMultiLvlLbl val="0"/>
      </c:catAx>
      <c:valAx>
        <c:axId val="453748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53746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Bezpieczeństwo!$B$18</c:f>
              <c:strCache>
                <c:ptCount val="1"/>
                <c:pt idx="0">
                  <c:v>Liczba rannych</c:v>
                </c:pt>
              </c:strCache>
            </c:strRef>
          </c:tx>
          <c:spPr>
            <a:solidFill>
              <a:schemeClr val="accent1"/>
            </a:solidFill>
            <a:ln>
              <a:noFill/>
            </a:ln>
            <a:effectLst/>
          </c:spPr>
          <c:invertIfNegative val="0"/>
          <c:dLbls>
            <c:dLbl>
              <c:idx val="0"/>
              <c:layout>
                <c:manualLayout>
                  <c:x val="0"/>
                  <c:y val="9.58810782853728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845-4662-9958-490852B6449B}"/>
                </c:ext>
              </c:extLst>
            </c:dLbl>
            <c:dLbl>
              <c:idx val="1"/>
              <c:layout>
                <c:manualLayout>
                  <c:x val="0"/>
                  <c:y val="0.100411089610401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845-4662-9958-490852B6449B}"/>
                </c:ext>
              </c:extLst>
            </c:dLbl>
            <c:dLbl>
              <c:idx val="2"/>
              <c:layout>
                <c:manualLayout>
                  <c:x val="-1.0015362768395951E-16"/>
                  <c:y val="9.13510669603444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845-4662-9958-490852B6449B}"/>
                </c:ext>
              </c:extLst>
            </c:dLbl>
            <c:dLbl>
              <c:idx val="3"/>
              <c:layout>
                <c:manualLayout>
                  <c:x val="0"/>
                  <c:y val="9.49162215425222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845-4662-9958-490852B6449B}"/>
                </c:ext>
              </c:extLst>
            </c:dLbl>
            <c:dLbl>
              <c:idx val="4"/>
              <c:layout>
                <c:manualLayout>
                  <c:x val="-1.0015362768395951E-16"/>
                  <c:y val="9.13510669603445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845-4662-9958-490852B6449B}"/>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Bezpieczeństwo!$A$19:$A$23</c:f>
              <c:numCache>
                <c:formatCode>General</c:formatCode>
                <c:ptCount val="5"/>
                <c:pt idx="0">
                  <c:v>2015</c:v>
                </c:pt>
                <c:pt idx="1">
                  <c:v>2016</c:v>
                </c:pt>
                <c:pt idx="2">
                  <c:v>2017</c:v>
                </c:pt>
                <c:pt idx="3">
                  <c:v>2018</c:v>
                </c:pt>
                <c:pt idx="4">
                  <c:v>2019</c:v>
                </c:pt>
              </c:numCache>
            </c:numRef>
          </c:cat>
          <c:val>
            <c:numRef>
              <c:f>Bezpieczeństwo!$B$19:$B$23</c:f>
              <c:numCache>
                <c:formatCode>General</c:formatCode>
                <c:ptCount val="5"/>
                <c:pt idx="0">
                  <c:v>289</c:v>
                </c:pt>
                <c:pt idx="1">
                  <c:v>360</c:v>
                </c:pt>
                <c:pt idx="2">
                  <c:v>284</c:v>
                </c:pt>
                <c:pt idx="3">
                  <c:v>287</c:v>
                </c:pt>
                <c:pt idx="4">
                  <c:v>251</c:v>
                </c:pt>
              </c:numCache>
            </c:numRef>
          </c:val>
          <c:extLst>
            <c:ext xmlns:c16="http://schemas.microsoft.com/office/drawing/2014/chart" uri="{C3380CC4-5D6E-409C-BE32-E72D297353CC}">
              <c16:uniqueId val="{00000000-3845-4662-9958-490852B6449B}"/>
            </c:ext>
          </c:extLst>
        </c:ser>
        <c:ser>
          <c:idx val="1"/>
          <c:order val="1"/>
          <c:tx>
            <c:strRef>
              <c:f>Bezpieczeństwo!$C$18</c:f>
              <c:strCache>
                <c:ptCount val="1"/>
                <c:pt idx="0">
                  <c:v>Liczba zabitych</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Bezpieczeństwo!$A$19:$A$23</c:f>
              <c:numCache>
                <c:formatCode>General</c:formatCode>
                <c:ptCount val="5"/>
                <c:pt idx="0">
                  <c:v>2015</c:v>
                </c:pt>
                <c:pt idx="1">
                  <c:v>2016</c:v>
                </c:pt>
                <c:pt idx="2">
                  <c:v>2017</c:v>
                </c:pt>
                <c:pt idx="3">
                  <c:v>2018</c:v>
                </c:pt>
                <c:pt idx="4">
                  <c:v>2019</c:v>
                </c:pt>
              </c:numCache>
            </c:numRef>
          </c:cat>
          <c:val>
            <c:numRef>
              <c:f>Bezpieczeństwo!$C$19:$C$23</c:f>
              <c:numCache>
                <c:formatCode>General</c:formatCode>
                <c:ptCount val="5"/>
                <c:pt idx="0">
                  <c:v>3</c:v>
                </c:pt>
                <c:pt idx="1">
                  <c:v>8</c:v>
                </c:pt>
                <c:pt idx="2">
                  <c:v>4</c:v>
                </c:pt>
                <c:pt idx="3">
                  <c:v>4</c:v>
                </c:pt>
                <c:pt idx="4">
                  <c:v>2</c:v>
                </c:pt>
              </c:numCache>
            </c:numRef>
          </c:val>
          <c:extLst>
            <c:ext xmlns:c16="http://schemas.microsoft.com/office/drawing/2014/chart" uri="{C3380CC4-5D6E-409C-BE32-E72D297353CC}">
              <c16:uniqueId val="{00000001-3845-4662-9958-490852B6449B}"/>
            </c:ext>
          </c:extLst>
        </c:ser>
        <c:dLbls>
          <c:showLegendKey val="0"/>
          <c:showVal val="0"/>
          <c:showCatName val="0"/>
          <c:showSerName val="0"/>
          <c:showPercent val="0"/>
          <c:showBubbleSize val="0"/>
        </c:dLbls>
        <c:gapWidth val="219"/>
        <c:overlap val="-27"/>
        <c:axId val="546631112"/>
        <c:axId val="546631440"/>
      </c:barChart>
      <c:catAx>
        <c:axId val="546631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46631440"/>
        <c:crosses val="autoZero"/>
        <c:auto val="1"/>
        <c:lblAlgn val="ctr"/>
        <c:lblOffset val="100"/>
        <c:noMultiLvlLbl val="0"/>
      </c:catAx>
      <c:valAx>
        <c:axId val="546631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46631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TABLICA!$C$14</c:f>
              <c:strCache>
                <c:ptCount val="1"/>
                <c:pt idx="0">
                  <c:v>2014</c:v>
                </c:pt>
              </c:strCache>
            </c:strRef>
          </c:tx>
          <c:spPr>
            <a:solidFill>
              <a:schemeClr val="accent1"/>
            </a:solidFill>
            <a:ln>
              <a:noFill/>
            </a:ln>
            <a:effectLst/>
          </c:spPr>
          <c:invertIfNegative val="0"/>
          <c:dLbls>
            <c:dLbl>
              <c:idx val="0"/>
              <c:layout>
                <c:manualLayout>
                  <c:x val="0"/>
                  <c:y val="0.161222560747745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53B-4802-8A90-BE6C9F54008C}"/>
                </c:ext>
              </c:extLst>
            </c:dLbl>
            <c:dLbl>
              <c:idx val="1"/>
              <c:layout>
                <c:manualLayout>
                  <c:x val="-9.2170752903889679E-6"/>
                  <c:y val="0.172389506588058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53B-4802-8A90-BE6C9F54008C}"/>
                </c:ext>
              </c:extLst>
            </c:dLbl>
            <c:dLbl>
              <c:idx val="2"/>
              <c:layout>
                <c:manualLayout>
                  <c:x val="0"/>
                  <c:y val="0.162176587223079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53B-4802-8A90-BE6C9F54008C}"/>
                </c:ext>
              </c:extLst>
            </c:dLbl>
            <c:dLbl>
              <c:idx val="3"/>
              <c:layout>
                <c:manualLayout>
                  <c:x val="0"/>
                  <c:y val="0.1612230003912827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53B-4802-8A90-BE6C9F54008C}"/>
                </c:ext>
              </c:extLst>
            </c:dLbl>
            <c:dLbl>
              <c:idx val="4"/>
              <c:layout>
                <c:manualLayout>
                  <c:x val="-9.2170752903378714E-6"/>
                  <c:y val="0.172389946231595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53B-4802-8A90-BE6C9F54008C}"/>
                </c:ext>
              </c:extLst>
            </c:dLbl>
            <c:dLbl>
              <c:idx val="5"/>
              <c:layout>
                <c:manualLayout>
                  <c:x val="-1.0219131297407352E-16"/>
                  <c:y val="0.173343533063392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53B-4802-8A90-BE6C9F54008C}"/>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TABLICA!$B$15:$B$20</c:f>
              <c:strCache>
                <c:ptCount val="6"/>
                <c:pt idx="0">
                  <c:v>POLSKA</c:v>
                </c:pt>
                <c:pt idx="1">
                  <c:v>Olsztyn</c:v>
                </c:pt>
                <c:pt idx="2">
                  <c:v>Kielce</c:v>
                </c:pt>
                <c:pt idx="3">
                  <c:v>Białystok</c:v>
                </c:pt>
                <c:pt idx="4">
                  <c:v>Rzeszów</c:v>
                </c:pt>
                <c:pt idx="5">
                  <c:v>Lublin</c:v>
                </c:pt>
              </c:strCache>
            </c:strRef>
          </c:cat>
          <c:val>
            <c:numRef>
              <c:f>TABLICA!$C$15:$C$20</c:f>
              <c:numCache>
                <c:formatCode>#,##0.00</c:formatCode>
                <c:ptCount val="6"/>
                <c:pt idx="0">
                  <c:v>47.43</c:v>
                </c:pt>
                <c:pt idx="1">
                  <c:v>46.32</c:v>
                </c:pt>
                <c:pt idx="2">
                  <c:v>40.58</c:v>
                </c:pt>
                <c:pt idx="3">
                  <c:v>41.55</c:v>
                </c:pt>
                <c:pt idx="4">
                  <c:v>47.23</c:v>
                </c:pt>
                <c:pt idx="5">
                  <c:v>41.02</c:v>
                </c:pt>
              </c:numCache>
            </c:numRef>
          </c:val>
          <c:extLst>
            <c:ext xmlns:c16="http://schemas.microsoft.com/office/drawing/2014/chart" uri="{C3380CC4-5D6E-409C-BE32-E72D297353CC}">
              <c16:uniqueId val="{00000006-353B-4802-8A90-BE6C9F54008C}"/>
            </c:ext>
          </c:extLst>
        </c:ser>
        <c:ser>
          <c:idx val="1"/>
          <c:order val="1"/>
          <c:tx>
            <c:strRef>
              <c:f>TABLICA!$D$14</c:f>
              <c:strCache>
                <c:ptCount val="1"/>
                <c:pt idx="0">
                  <c:v>2018</c:v>
                </c:pt>
              </c:strCache>
            </c:strRef>
          </c:tx>
          <c:spPr>
            <a:solidFill>
              <a:schemeClr val="accent2"/>
            </a:solidFill>
            <a:ln>
              <a:noFill/>
            </a:ln>
            <a:effectLst/>
          </c:spPr>
          <c:invertIfNegative val="0"/>
          <c:dLbls>
            <c:dLbl>
              <c:idx val="0"/>
              <c:layout>
                <c:manualLayout>
                  <c:x val="0"/>
                  <c:y val="0.138888888888888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53B-4802-8A90-BE6C9F54008C}"/>
                </c:ext>
              </c:extLst>
            </c:dLbl>
            <c:dLbl>
              <c:idx val="1"/>
              <c:layout>
                <c:manualLayout>
                  <c:x val="-5.0925337632079971E-17"/>
                  <c:y val="0.1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53B-4802-8A90-BE6C9F54008C}"/>
                </c:ext>
              </c:extLst>
            </c:dLbl>
            <c:dLbl>
              <c:idx val="2"/>
              <c:layout>
                <c:manualLayout>
                  <c:x val="0"/>
                  <c:y val="0.134259259259259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53B-4802-8A90-BE6C9F54008C}"/>
                </c:ext>
              </c:extLst>
            </c:dLbl>
            <c:dLbl>
              <c:idx val="3"/>
              <c:layout>
                <c:manualLayout>
                  <c:x val="2.7777777777777779E-3"/>
                  <c:y val="0.134259259259259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53B-4802-8A90-BE6C9F54008C}"/>
                </c:ext>
              </c:extLst>
            </c:dLbl>
            <c:dLbl>
              <c:idx val="4"/>
              <c:layout>
                <c:manualLayout>
                  <c:x val="-1.0185067526415994E-16"/>
                  <c:y val="0.134259259259259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53B-4802-8A90-BE6C9F54008C}"/>
                </c:ext>
              </c:extLst>
            </c:dLbl>
            <c:dLbl>
              <c:idx val="5"/>
              <c:layout>
                <c:manualLayout>
                  <c:x val="-2.7777777777778798E-3"/>
                  <c:y val="0.134259259259259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53B-4802-8A90-BE6C9F54008C}"/>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TABLICA!$B$15:$B$20</c:f>
              <c:strCache>
                <c:ptCount val="6"/>
                <c:pt idx="0">
                  <c:v>POLSKA</c:v>
                </c:pt>
                <c:pt idx="1">
                  <c:v>Olsztyn</c:v>
                </c:pt>
                <c:pt idx="2">
                  <c:v>Kielce</c:v>
                </c:pt>
                <c:pt idx="3">
                  <c:v>Białystok</c:v>
                </c:pt>
                <c:pt idx="4">
                  <c:v>Rzeszów</c:v>
                </c:pt>
                <c:pt idx="5">
                  <c:v>Lublin</c:v>
                </c:pt>
              </c:strCache>
            </c:strRef>
          </c:cat>
          <c:val>
            <c:numRef>
              <c:f>TABLICA!$D$15:$D$20</c:f>
              <c:numCache>
                <c:formatCode>#,##0.00</c:formatCode>
                <c:ptCount val="6"/>
                <c:pt idx="0">
                  <c:v>55.13</c:v>
                </c:pt>
                <c:pt idx="1">
                  <c:v>56.21</c:v>
                </c:pt>
                <c:pt idx="2">
                  <c:v>56.86</c:v>
                </c:pt>
                <c:pt idx="3">
                  <c:v>53.5</c:v>
                </c:pt>
                <c:pt idx="4">
                  <c:v>55.75</c:v>
                </c:pt>
                <c:pt idx="5">
                  <c:v>54.71</c:v>
                </c:pt>
              </c:numCache>
            </c:numRef>
          </c:val>
          <c:extLst>
            <c:ext xmlns:c16="http://schemas.microsoft.com/office/drawing/2014/chart" uri="{C3380CC4-5D6E-409C-BE32-E72D297353CC}">
              <c16:uniqueId val="{0000000D-353B-4802-8A90-BE6C9F54008C}"/>
            </c:ext>
          </c:extLst>
        </c:ser>
        <c:dLbls>
          <c:showLegendKey val="0"/>
          <c:showVal val="0"/>
          <c:showCatName val="0"/>
          <c:showSerName val="0"/>
          <c:showPercent val="0"/>
          <c:showBubbleSize val="0"/>
        </c:dLbls>
        <c:gapWidth val="219"/>
        <c:overlap val="-27"/>
        <c:axId val="304519144"/>
        <c:axId val="304516192"/>
      </c:barChart>
      <c:catAx>
        <c:axId val="304519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04516192"/>
        <c:crosses val="autoZero"/>
        <c:auto val="1"/>
        <c:lblAlgn val="ctr"/>
        <c:lblOffset val="100"/>
        <c:noMultiLvlLbl val="0"/>
      </c:catAx>
      <c:valAx>
        <c:axId val="3045161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04519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prognoza!$H$117</c:f>
              <c:strCache>
                <c:ptCount val="1"/>
                <c:pt idx="0">
                  <c:v>ogółem</c:v>
                </c:pt>
              </c:strCache>
            </c:strRef>
          </c:tx>
          <c:spPr>
            <a:solidFill>
              <a:schemeClr val="accent1"/>
            </a:solidFill>
            <a:ln>
              <a:noFill/>
            </a:ln>
            <a:effectLst/>
          </c:spPr>
          <c:invertIfNegative val="0"/>
          <c:cat>
            <c:strRef>
              <c:f>prognoza!$G$118:$G$122</c:f>
              <c:strCache>
                <c:ptCount val="5"/>
                <c:pt idx="0">
                  <c:v>Olsztyn</c:v>
                </c:pt>
                <c:pt idx="1">
                  <c:v>Kielce</c:v>
                </c:pt>
                <c:pt idx="2">
                  <c:v>Białystok</c:v>
                </c:pt>
                <c:pt idx="3">
                  <c:v>Rzeszów</c:v>
                </c:pt>
                <c:pt idx="4">
                  <c:v>Lublin</c:v>
                </c:pt>
              </c:strCache>
            </c:strRef>
          </c:cat>
          <c:val>
            <c:numRef>
              <c:f>prognoza!$H$118:$H$122</c:f>
              <c:numCache>
                <c:formatCode>0.00%</c:formatCode>
                <c:ptCount val="5"/>
                <c:pt idx="0">
                  <c:v>-2.0515167667029734E-2</c:v>
                </c:pt>
                <c:pt idx="1">
                  <c:v>-6.944779606192078E-2</c:v>
                </c:pt>
                <c:pt idx="2">
                  <c:v>-1.3803035860300624E-2</c:v>
                </c:pt>
                <c:pt idx="3">
                  <c:v>5.0837257980115125E-2</c:v>
                </c:pt>
                <c:pt idx="4">
                  <c:v>-4.5466514786159151E-2</c:v>
                </c:pt>
              </c:numCache>
            </c:numRef>
          </c:val>
          <c:extLst>
            <c:ext xmlns:c16="http://schemas.microsoft.com/office/drawing/2014/chart" uri="{C3380CC4-5D6E-409C-BE32-E72D297353CC}">
              <c16:uniqueId val="{00000000-2141-42C1-8069-B2F40CA733DB}"/>
            </c:ext>
          </c:extLst>
        </c:ser>
        <c:ser>
          <c:idx val="1"/>
          <c:order val="1"/>
          <c:tx>
            <c:strRef>
              <c:f>prognoza!$I$117</c:f>
              <c:strCache>
                <c:ptCount val="1"/>
                <c:pt idx="0">
                  <c:v>mężczyźni</c:v>
                </c:pt>
              </c:strCache>
            </c:strRef>
          </c:tx>
          <c:spPr>
            <a:solidFill>
              <a:schemeClr val="accent2"/>
            </a:solidFill>
            <a:ln>
              <a:noFill/>
            </a:ln>
            <a:effectLst/>
          </c:spPr>
          <c:invertIfNegative val="0"/>
          <c:cat>
            <c:strRef>
              <c:f>prognoza!$G$118:$G$122</c:f>
              <c:strCache>
                <c:ptCount val="5"/>
                <c:pt idx="0">
                  <c:v>Olsztyn</c:v>
                </c:pt>
                <c:pt idx="1">
                  <c:v>Kielce</c:v>
                </c:pt>
                <c:pt idx="2">
                  <c:v>Białystok</c:v>
                </c:pt>
                <c:pt idx="3">
                  <c:v>Rzeszów</c:v>
                </c:pt>
                <c:pt idx="4">
                  <c:v>Lublin</c:v>
                </c:pt>
              </c:strCache>
            </c:strRef>
          </c:cat>
          <c:val>
            <c:numRef>
              <c:f>prognoza!$I$118:$I$122</c:f>
              <c:numCache>
                <c:formatCode>0.00%</c:formatCode>
                <c:ptCount val="5"/>
                <c:pt idx="0">
                  <c:v>-2.6297724691404251E-2</c:v>
                </c:pt>
                <c:pt idx="1">
                  <c:v>-7.8648105215738409E-2</c:v>
                </c:pt>
                <c:pt idx="2">
                  <c:v>-1.7126484654382514E-2</c:v>
                </c:pt>
                <c:pt idx="3">
                  <c:v>4.6846607277401052E-2</c:v>
                </c:pt>
                <c:pt idx="4">
                  <c:v>-4.8332614863951927E-2</c:v>
                </c:pt>
              </c:numCache>
            </c:numRef>
          </c:val>
          <c:extLst>
            <c:ext xmlns:c16="http://schemas.microsoft.com/office/drawing/2014/chart" uri="{C3380CC4-5D6E-409C-BE32-E72D297353CC}">
              <c16:uniqueId val="{00000001-2141-42C1-8069-B2F40CA733DB}"/>
            </c:ext>
          </c:extLst>
        </c:ser>
        <c:ser>
          <c:idx val="2"/>
          <c:order val="2"/>
          <c:tx>
            <c:strRef>
              <c:f>prognoza!$J$117</c:f>
              <c:strCache>
                <c:ptCount val="1"/>
                <c:pt idx="0">
                  <c:v>kobiety</c:v>
                </c:pt>
              </c:strCache>
            </c:strRef>
          </c:tx>
          <c:spPr>
            <a:solidFill>
              <a:schemeClr val="accent3"/>
            </a:solidFill>
            <a:ln>
              <a:noFill/>
            </a:ln>
            <a:effectLst/>
          </c:spPr>
          <c:invertIfNegative val="0"/>
          <c:cat>
            <c:strRef>
              <c:f>prognoza!$G$118:$G$122</c:f>
              <c:strCache>
                <c:ptCount val="5"/>
                <c:pt idx="0">
                  <c:v>Olsztyn</c:v>
                </c:pt>
                <c:pt idx="1">
                  <c:v>Kielce</c:v>
                </c:pt>
                <c:pt idx="2">
                  <c:v>Białystok</c:v>
                </c:pt>
                <c:pt idx="3">
                  <c:v>Rzeszów</c:v>
                </c:pt>
                <c:pt idx="4">
                  <c:v>Lublin</c:v>
                </c:pt>
              </c:strCache>
            </c:strRef>
          </c:cat>
          <c:val>
            <c:numRef>
              <c:f>prognoza!$J$118:$J$122</c:f>
              <c:numCache>
                <c:formatCode>0.00%</c:formatCode>
                <c:ptCount val="5"/>
                <c:pt idx="0">
                  <c:v>-1.5505552371787247E-2</c:v>
                </c:pt>
                <c:pt idx="1">
                  <c:v>-6.1377130079420153E-2</c:v>
                </c:pt>
                <c:pt idx="2">
                  <c:v>-1.0872387176028824E-2</c:v>
                </c:pt>
                <c:pt idx="3">
                  <c:v>5.440861494526416E-2</c:v>
                </c:pt>
                <c:pt idx="4">
                  <c:v>-4.3026478675737556E-2</c:v>
                </c:pt>
              </c:numCache>
            </c:numRef>
          </c:val>
          <c:extLst>
            <c:ext xmlns:c16="http://schemas.microsoft.com/office/drawing/2014/chart" uri="{C3380CC4-5D6E-409C-BE32-E72D297353CC}">
              <c16:uniqueId val="{00000002-2141-42C1-8069-B2F40CA733DB}"/>
            </c:ext>
          </c:extLst>
        </c:ser>
        <c:dLbls>
          <c:showLegendKey val="0"/>
          <c:showVal val="0"/>
          <c:showCatName val="0"/>
          <c:showSerName val="0"/>
          <c:showPercent val="0"/>
          <c:showBubbleSize val="0"/>
        </c:dLbls>
        <c:gapWidth val="219"/>
        <c:overlap val="-27"/>
        <c:axId val="150617280"/>
        <c:axId val="150622528"/>
      </c:barChart>
      <c:catAx>
        <c:axId val="150617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150622528"/>
        <c:crosses val="autoZero"/>
        <c:auto val="1"/>
        <c:lblAlgn val="ctr"/>
        <c:lblOffset val="100"/>
        <c:noMultiLvlLbl val="0"/>
      </c:catAx>
      <c:valAx>
        <c:axId val="1506225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150617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TABLICA!$P$14</c:f>
              <c:strCache>
                <c:ptCount val="1"/>
                <c:pt idx="0">
                  <c:v>2014</c:v>
                </c:pt>
              </c:strCache>
            </c:strRef>
          </c:tx>
          <c:spPr>
            <a:solidFill>
              <a:schemeClr val="accent1"/>
            </a:solidFill>
            <a:ln>
              <a:noFill/>
            </a:ln>
            <a:effectLst/>
          </c:spPr>
          <c:invertIfNegative val="0"/>
          <c:dLbls>
            <c:dLbl>
              <c:idx val="0"/>
              <c:layout>
                <c:manualLayout>
                  <c:x val="0"/>
                  <c:y val="0.154250073579512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84B-40F8-929E-56A28E17F1F6}"/>
                </c:ext>
              </c:extLst>
            </c:dLbl>
            <c:dLbl>
              <c:idx val="1"/>
              <c:layout>
                <c:manualLayout>
                  <c:x val="0"/>
                  <c:y val="0.1496204103519318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84B-40F8-929E-56A28E17F1F6}"/>
                </c:ext>
              </c:extLst>
            </c:dLbl>
            <c:dLbl>
              <c:idx val="2"/>
              <c:layout>
                <c:manualLayout>
                  <c:x val="-2.7778545656796925E-3"/>
                  <c:y val="0.159369998105075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84B-40F8-929E-56A28E17F1F6}"/>
                </c:ext>
              </c:extLst>
            </c:dLbl>
            <c:dLbl>
              <c:idx val="3"/>
              <c:layout>
                <c:manualLayout>
                  <c:x val="-2.7778545656796413E-3"/>
                  <c:y val="0.1496204103519318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84B-40F8-929E-56A28E17F1F6}"/>
                </c:ext>
              </c:extLst>
            </c:dLbl>
            <c:dLbl>
              <c:idx val="4"/>
              <c:layout>
                <c:manualLayout>
                  <c:x val="0"/>
                  <c:y val="0.159369998105075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84B-40F8-929E-56A28E17F1F6}"/>
                </c:ext>
              </c:extLst>
            </c:dLbl>
            <c:dLbl>
              <c:idx val="5"/>
              <c:layout>
                <c:manualLayout>
                  <c:x val="-1.0298060130627041E-16"/>
                  <c:y val="0.1547407380529046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84B-40F8-929E-56A28E17F1F6}"/>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TABLICA!$O$15:$O$20</c:f>
              <c:strCache>
                <c:ptCount val="6"/>
                <c:pt idx="0">
                  <c:v>POLSKA</c:v>
                </c:pt>
                <c:pt idx="1">
                  <c:v>Olsztyn</c:v>
                </c:pt>
                <c:pt idx="2">
                  <c:v>Kielce</c:v>
                </c:pt>
                <c:pt idx="3">
                  <c:v>Białystok</c:v>
                </c:pt>
                <c:pt idx="4">
                  <c:v>Rzeszów</c:v>
                </c:pt>
                <c:pt idx="5">
                  <c:v>Lublin</c:v>
                </c:pt>
              </c:strCache>
            </c:strRef>
          </c:cat>
          <c:val>
            <c:numRef>
              <c:f>TABLICA!$P$15:$P$20</c:f>
              <c:numCache>
                <c:formatCode>#,##0.00</c:formatCode>
                <c:ptCount val="6"/>
                <c:pt idx="0">
                  <c:v>47.34</c:v>
                </c:pt>
                <c:pt idx="1">
                  <c:v>46.32</c:v>
                </c:pt>
                <c:pt idx="2">
                  <c:v>40.58</c:v>
                </c:pt>
                <c:pt idx="3">
                  <c:v>41.56</c:v>
                </c:pt>
                <c:pt idx="4">
                  <c:v>47.24</c:v>
                </c:pt>
                <c:pt idx="5">
                  <c:v>41.03</c:v>
                </c:pt>
              </c:numCache>
            </c:numRef>
          </c:val>
          <c:extLst>
            <c:ext xmlns:c16="http://schemas.microsoft.com/office/drawing/2014/chart" uri="{C3380CC4-5D6E-409C-BE32-E72D297353CC}">
              <c16:uniqueId val="{00000006-684B-40F8-929E-56A28E17F1F6}"/>
            </c:ext>
          </c:extLst>
        </c:ser>
        <c:ser>
          <c:idx val="1"/>
          <c:order val="1"/>
          <c:tx>
            <c:strRef>
              <c:f>TABLICA!$Q$14</c:f>
              <c:strCache>
                <c:ptCount val="1"/>
                <c:pt idx="0">
                  <c:v>2018</c:v>
                </c:pt>
              </c:strCache>
            </c:strRef>
          </c:tx>
          <c:spPr>
            <a:solidFill>
              <a:schemeClr val="accent2"/>
            </a:solidFill>
            <a:ln>
              <a:noFill/>
            </a:ln>
            <a:effectLst/>
          </c:spPr>
          <c:invertIfNegative val="0"/>
          <c:dLbls>
            <c:dLbl>
              <c:idx val="0"/>
              <c:layout>
                <c:manualLayout>
                  <c:x val="0"/>
                  <c:y val="0.134259259259259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84B-40F8-929E-56A28E17F1F6}"/>
                </c:ext>
              </c:extLst>
            </c:dLbl>
            <c:dLbl>
              <c:idx val="1"/>
              <c:layout>
                <c:manualLayout>
                  <c:x val="-2.7777777777777779E-3"/>
                  <c:y val="0.138888888888888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84B-40F8-929E-56A28E17F1F6}"/>
                </c:ext>
              </c:extLst>
            </c:dLbl>
            <c:dLbl>
              <c:idx val="2"/>
              <c:layout>
                <c:manualLayout>
                  <c:x val="0"/>
                  <c:y val="0.129629629629629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84B-40F8-929E-56A28E17F1F6}"/>
                </c:ext>
              </c:extLst>
            </c:dLbl>
            <c:dLbl>
              <c:idx val="3"/>
              <c:layout>
                <c:manualLayout>
                  <c:x val="0"/>
                  <c:y val="0.1342592592592592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84B-40F8-929E-56A28E17F1F6}"/>
                </c:ext>
              </c:extLst>
            </c:dLbl>
            <c:dLbl>
              <c:idx val="4"/>
              <c:layout>
                <c:manualLayout>
                  <c:x val="-1.0185067526415994E-16"/>
                  <c:y val="0.1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84B-40F8-929E-56A28E17F1F6}"/>
                </c:ext>
              </c:extLst>
            </c:dLbl>
            <c:dLbl>
              <c:idx val="5"/>
              <c:layout>
                <c:manualLayout>
                  <c:x val="0"/>
                  <c:y val="0.1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84B-40F8-929E-56A28E17F1F6}"/>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TABLICA!$O$15:$O$20</c:f>
              <c:strCache>
                <c:ptCount val="6"/>
                <c:pt idx="0">
                  <c:v>POLSKA</c:v>
                </c:pt>
                <c:pt idx="1">
                  <c:v>Olsztyn</c:v>
                </c:pt>
                <c:pt idx="2">
                  <c:v>Kielce</c:v>
                </c:pt>
                <c:pt idx="3">
                  <c:v>Białystok</c:v>
                </c:pt>
                <c:pt idx="4">
                  <c:v>Rzeszów</c:v>
                </c:pt>
                <c:pt idx="5">
                  <c:v>Lublin</c:v>
                </c:pt>
              </c:strCache>
            </c:strRef>
          </c:cat>
          <c:val>
            <c:numRef>
              <c:f>TABLICA!$Q$15:$Q$20</c:f>
              <c:numCache>
                <c:formatCode>#,##0.00</c:formatCode>
                <c:ptCount val="6"/>
                <c:pt idx="0">
                  <c:v>54.9</c:v>
                </c:pt>
                <c:pt idx="1">
                  <c:v>56.24</c:v>
                </c:pt>
                <c:pt idx="2">
                  <c:v>56.83</c:v>
                </c:pt>
                <c:pt idx="3">
                  <c:v>53.47</c:v>
                </c:pt>
                <c:pt idx="4">
                  <c:v>55.75</c:v>
                </c:pt>
                <c:pt idx="5">
                  <c:v>54.74</c:v>
                </c:pt>
              </c:numCache>
            </c:numRef>
          </c:val>
          <c:extLst>
            <c:ext xmlns:c16="http://schemas.microsoft.com/office/drawing/2014/chart" uri="{C3380CC4-5D6E-409C-BE32-E72D297353CC}">
              <c16:uniqueId val="{0000000D-684B-40F8-929E-56A28E17F1F6}"/>
            </c:ext>
          </c:extLst>
        </c:ser>
        <c:dLbls>
          <c:showLegendKey val="0"/>
          <c:showVal val="0"/>
          <c:showCatName val="0"/>
          <c:showSerName val="0"/>
          <c:showPercent val="0"/>
          <c:showBubbleSize val="0"/>
        </c:dLbls>
        <c:gapWidth val="219"/>
        <c:overlap val="-27"/>
        <c:axId val="312850136"/>
        <c:axId val="312846528"/>
      </c:barChart>
      <c:catAx>
        <c:axId val="312850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12846528"/>
        <c:crosses val="autoZero"/>
        <c:auto val="1"/>
        <c:lblAlgn val="ctr"/>
        <c:lblOffset val="100"/>
        <c:noMultiLvlLbl val="0"/>
      </c:catAx>
      <c:valAx>
        <c:axId val="3128465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12850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TABLICA!$C$63</c:f>
              <c:strCache>
                <c:ptCount val="1"/>
                <c:pt idx="0">
                  <c:v>2015</c:v>
                </c:pt>
              </c:strCache>
            </c:strRef>
          </c:tx>
          <c:spPr>
            <a:solidFill>
              <a:schemeClr val="accent1"/>
            </a:solidFill>
            <a:ln>
              <a:noFill/>
            </a:ln>
            <a:effectLst/>
          </c:spPr>
          <c:invertIfNegative val="0"/>
          <c:dLbls>
            <c:dLbl>
              <c:idx val="0"/>
              <c:layout>
                <c:manualLayout>
                  <c:x val="0"/>
                  <c:y val="0.1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3B2-425E-87E7-C8A9C0E6D579}"/>
                </c:ext>
              </c:extLst>
            </c:dLbl>
            <c:dLbl>
              <c:idx val="1"/>
              <c:layout>
                <c:manualLayout>
                  <c:x val="0"/>
                  <c:y val="0.1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3B2-425E-87E7-C8A9C0E6D579}"/>
                </c:ext>
              </c:extLst>
            </c:dLbl>
            <c:dLbl>
              <c:idx val="2"/>
              <c:layout>
                <c:manualLayout>
                  <c:x val="0"/>
                  <c:y val="0.1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3B2-425E-87E7-C8A9C0E6D579}"/>
                </c:ext>
              </c:extLst>
            </c:dLbl>
            <c:dLbl>
              <c:idx val="3"/>
              <c:layout>
                <c:manualLayout>
                  <c:x val="0"/>
                  <c:y val="0.134259259259259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3B2-425E-87E7-C8A9C0E6D579}"/>
                </c:ext>
              </c:extLst>
            </c:dLbl>
            <c:dLbl>
              <c:idx val="4"/>
              <c:layout>
                <c:manualLayout>
                  <c:x val="-1.0185067526415994E-16"/>
                  <c:y val="0.1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3B2-425E-87E7-C8A9C0E6D579}"/>
                </c:ext>
              </c:extLst>
            </c:dLbl>
            <c:dLbl>
              <c:idx val="5"/>
              <c:layout>
                <c:manualLayout>
                  <c:x val="0"/>
                  <c:y val="0.134259259259259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3B2-425E-87E7-C8A9C0E6D579}"/>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TABLICA!$B$64:$B$69</c:f>
              <c:strCache>
                <c:ptCount val="6"/>
                <c:pt idx="0">
                  <c:v>POLSKA</c:v>
                </c:pt>
                <c:pt idx="1">
                  <c:v>Olsztyn</c:v>
                </c:pt>
                <c:pt idx="2">
                  <c:v>Kielce</c:v>
                </c:pt>
                <c:pt idx="3">
                  <c:v>Białystok</c:v>
                </c:pt>
                <c:pt idx="4">
                  <c:v>Rzeszów</c:v>
                </c:pt>
                <c:pt idx="5">
                  <c:v>Lublin</c:v>
                </c:pt>
              </c:strCache>
            </c:strRef>
          </c:cat>
          <c:val>
            <c:numRef>
              <c:f>TABLICA!$C$64:$C$69</c:f>
              <c:numCache>
                <c:formatCode>#,##0.00</c:formatCode>
                <c:ptCount val="6"/>
                <c:pt idx="0">
                  <c:v>50.92</c:v>
                </c:pt>
                <c:pt idx="1">
                  <c:v>56.64</c:v>
                </c:pt>
                <c:pt idx="2">
                  <c:v>58.44</c:v>
                </c:pt>
                <c:pt idx="3">
                  <c:v>56.61</c:v>
                </c:pt>
                <c:pt idx="4">
                  <c:v>60.52</c:v>
                </c:pt>
                <c:pt idx="5">
                  <c:v>58.64</c:v>
                </c:pt>
              </c:numCache>
            </c:numRef>
          </c:val>
          <c:extLst>
            <c:ext xmlns:c16="http://schemas.microsoft.com/office/drawing/2014/chart" uri="{C3380CC4-5D6E-409C-BE32-E72D297353CC}">
              <c16:uniqueId val="{00000006-43B2-425E-87E7-C8A9C0E6D579}"/>
            </c:ext>
          </c:extLst>
        </c:ser>
        <c:ser>
          <c:idx val="1"/>
          <c:order val="1"/>
          <c:tx>
            <c:strRef>
              <c:f>TABLICA!$D$63</c:f>
              <c:strCache>
                <c:ptCount val="1"/>
                <c:pt idx="0">
                  <c:v>2019</c:v>
                </c:pt>
              </c:strCache>
            </c:strRef>
          </c:tx>
          <c:spPr>
            <a:solidFill>
              <a:schemeClr val="accent2"/>
            </a:solidFill>
            <a:ln>
              <a:noFill/>
            </a:ln>
            <a:effectLst/>
          </c:spPr>
          <c:invertIfNegative val="0"/>
          <c:dLbls>
            <c:dLbl>
              <c:idx val="0"/>
              <c:layout>
                <c:manualLayout>
                  <c:x val="0"/>
                  <c:y val="0.1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3B2-425E-87E7-C8A9C0E6D579}"/>
                </c:ext>
              </c:extLst>
            </c:dLbl>
            <c:dLbl>
              <c:idx val="1"/>
              <c:layout>
                <c:manualLayout>
                  <c:x val="0"/>
                  <c:y val="0.1388888888888889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3B2-425E-87E7-C8A9C0E6D579}"/>
                </c:ext>
              </c:extLst>
            </c:dLbl>
            <c:dLbl>
              <c:idx val="2"/>
              <c:layout>
                <c:manualLayout>
                  <c:x val="0"/>
                  <c:y val="0.1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3B2-425E-87E7-C8A9C0E6D579}"/>
                </c:ext>
              </c:extLst>
            </c:dLbl>
            <c:dLbl>
              <c:idx val="3"/>
              <c:layout>
                <c:manualLayout>
                  <c:x val="0"/>
                  <c:y val="0.124999999999999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3B2-425E-87E7-C8A9C0E6D579}"/>
                </c:ext>
              </c:extLst>
            </c:dLbl>
            <c:dLbl>
              <c:idx val="4"/>
              <c:layout>
                <c:manualLayout>
                  <c:x val="-1.0185067526415994E-16"/>
                  <c:y val="0.134259259259259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3B2-425E-87E7-C8A9C0E6D579}"/>
                </c:ext>
              </c:extLst>
            </c:dLbl>
            <c:dLbl>
              <c:idx val="5"/>
              <c:layout>
                <c:manualLayout>
                  <c:x val="0"/>
                  <c:y val="0.1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3B2-425E-87E7-C8A9C0E6D579}"/>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TABLICA!$B$64:$B$69</c:f>
              <c:strCache>
                <c:ptCount val="6"/>
                <c:pt idx="0">
                  <c:v>POLSKA</c:v>
                </c:pt>
                <c:pt idx="1">
                  <c:v>Olsztyn</c:v>
                </c:pt>
                <c:pt idx="2">
                  <c:v>Kielce</c:v>
                </c:pt>
                <c:pt idx="3">
                  <c:v>Białystok</c:v>
                </c:pt>
                <c:pt idx="4">
                  <c:v>Rzeszów</c:v>
                </c:pt>
                <c:pt idx="5">
                  <c:v>Lublin</c:v>
                </c:pt>
              </c:strCache>
            </c:strRef>
          </c:cat>
          <c:val>
            <c:numRef>
              <c:f>TABLICA!$D$64:$D$69</c:f>
              <c:numCache>
                <c:formatCode>#,##0.00</c:formatCode>
                <c:ptCount val="6"/>
                <c:pt idx="0" formatCode="General">
                  <c:v>61.74</c:v>
                </c:pt>
                <c:pt idx="1">
                  <c:v>67.12</c:v>
                </c:pt>
                <c:pt idx="2">
                  <c:v>66.75</c:v>
                </c:pt>
                <c:pt idx="3">
                  <c:v>65.72</c:v>
                </c:pt>
                <c:pt idx="4">
                  <c:v>65.680000000000007</c:v>
                </c:pt>
                <c:pt idx="5">
                  <c:v>66.239999999999995</c:v>
                </c:pt>
              </c:numCache>
            </c:numRef>
          </c:val>
          <c:extLst>
            <c:ext xmlns:c16="http://schemas.microsoft.com/office/drawing/2014/chart" uri="{C3380CC4-5D6E-409C-BE32-E72D297353CC}">
              <c16:uniqueId val="{0000000D-43B2-425E-87E7-C8A9C0E6D579}"/>
            </c:ext>
          </c:extLst>
        </c:ser>
        <c:dLbls>
          <c:showLegendKey val="0"/>
          <c:showVal val="0"/>
          <c:showCatName val="0"/>
          <c:showSerName val="0"/>
          <c:showPercent val="0"/>
          <c:showBubbleSize val="0"/>
        </c:dLbls>
        <c:gapWidth val="219"/>
        <c:overlap val="-27"/>
        <c:axId val="311512544"/>
        <c:axId val="311512872"/>
      </c:barChart>
      <c:catAx>
        <c:axId val="311512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11512872"/>
        <c:crosses val="autoZero"/>
        <c:auto val="1"/>
        <c:lblAlgn val="ctr"/>
        <c:lblOffset val="100"/>
        <c:noMultiLvlLbl val="0"/>
      </c:catAx>
      <c:valAx>
        <c:axId val="3115128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11512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TABLICA!$C$38</c:f>
              <c:strCache>
                <c:ptCount val="1"/>
                <c:pt idx="0">
                  <c:v>2015</c:v>
                </c:pt>
              </c:strCache>
            </c:strRef>
          </c:tx>
          <c:spPr>
            <a:solidFill>
              <a:schemeClr val="accent1"/>
            </a:solidFill>
            <a:ln>
              <a:noFill/>
            </a:ln>
            <a:effectLst/>
          </c:spPr>
          <c:invertIfNegative val="0"/>
          <c:dLbls>
            <c:dLbl>
              <c:idx val="0"/>
              <c:layout>
                <c:manualLayout>
                  <c:x val="0"/>
                  <c:y val="0.134259259259259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475-4B80-AD80-F3E70CD44721}"/>
                </c:ext>
              </c:extLst>
            </c:dLbl>
            <c:dLbl>
              <c:idx val="1"/>
              <c:layout>
                <c:manualLayout>
                  <c:x val="0"/>
                  <c:y val="0.1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475-4B80-AD80-F3E70CD44721}"/>
                </c:ext>
              </c:extLst>
            </c:dLbl>
            <c:dLbl>
              <c:idx val="2"/>
              <c:layout>
                <c:manualLayout>
                  <c:x val="0"/>
                  <c:y val="0.1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475-4B80-AD80-F3E70CD44721}"/>
                </c:ext>
              </c:extLst>
            </c:dLbl>
            <c:dLbl>
              <c:idx val="3"/>
              <c:layout>
                <c:manualLayout>
                  <c:x val="0"/>
                  <c:y val="0.1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475-4B80-AD80-F3E70CD44721}"/>
                </c:ext>
              </c:extLst>
            </c:dLbl>
            <c:dLbl>
              <c:idx val="4"/>
              <c:layout>
                <c:manualLayout>
                  <c:x val="-1.0185067526415994E-16"/>
                  <c:y val="0.1342592592592592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475-4B80-AD80-F3E70CD44721}"/>
                </c:ext>
              </c:extLst>
            </c:dLbl>
            <c:dLbl>
              <c:idx val="5"/>
              <c:layout>
                <c:manualLayout>
                  <c:x val="0"/>
                  <c:y val="0.1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475-4B80-AD80-F3E70CD44721}"/>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TABLICA!$B$39:$B$44</c:f>
              <c:strCache>
                <c:ptCount val="6"/>
                <c:pt idx="0">
                  <c:v>POLSKA</c:v>
                </c:pt>
                <c:pt idx="1">
                  <c:v>Olsztyn</c:v>
                </c:pt>
                <c:pt idx="2">
                  <c:v>Kielce</c:v>
                </c:pt>
                <c:pt idx="3">
                  <c:v>Białystok</c:v>
                </c:pt>
                <c:pt idx="4">
                  <c:v>Rzeszów</c:v>
                </c:pt>
                <c:pt idx="5">
                  <c:v>Lublin</c:v>
                </c:pt>
              </c:strCache>
            </c:strRef>
          </c:cat>
          <c:val>
            <c:numRef>
              <c:f>TABLICA!$C$39:$C$44</c:f>
              <c:numCache>
                <c:formatCode>#,##0.00</c:formatCode>
                <c:ptCount val="6"/>
                <c:pt idx="0">
                  <c:v>55.34</c:v>
                </c:pt>
                <c:pt idx="1">
                  <c:v>58.35</c:v>
                </c:pt>
                <c:pt idx="2">
                  <c:v>60.13</c:v>
                </c:pt>
                <c:pt idx="3">
                  <c:v>58.63</c:v>
                </c:pt>
                <c:pt idx="4">
                  <c:v>61.67</c:v>
                </c:pt>
                <c:pt idx="5">
                  <c:v>61.35</c:v>
                </c:pt>
              </c:numCache>
            </c:numRef>
          </c:val>
          <c:extLst>
            <c:ext xmlns:c16="http://schemas.microsoft.com/office/drawing/2014/chart" uri="{C3380CC4-5D6E-409C-BE32-E72D297353CC}">
              <c16:uniqueId val="{00000006-4475-4B80-AD80-F3E70CD44721}"/>
            </c:ext>
          </c:extLst>
        </c:ser>
        <c:ser>
          <c:idx val="1"/>
          <c:order val="1"/>
          <c:tx>
            <c:strRef>
              <c:f>TABLICA!$D$38</c:f>
              <c:strCache>
                <c:ptCount val="1"/>
                <c:pt idx="0">
                  <c:v>2020</c:v>
                </c:pt>
              </c:strCache>
            </c:strRef>
          </c:tx>
          <c:spPr>
            <a:solidFill>
              <a:schemeClr val="accent2"/>
            </a:solidFill>
            <a:ln>
              <a:noFill/>
            </a:ln>
            <a:effectLst/>
          </c:spPr>
          <c:invertIfNegative val="0"/>
          <c:dLbls>
            <c:dLbl>
              <c:idx val="0"/>
              <c:layout>
                <c:manualLayout>
                  <c:x val="0"/>
                  <c:y val="0.129629629629629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475-4B80-AD80-F3E70CD44721}"/>
                </c:ext>
              </c:extLst>
            </c:dLbl>
            <c:dLbl>
              <c:idx val="1"/>
              <c:layout>
                <c:manualLayout>
                  <c:x val="0"/>
                  <c:y val="0.134259259259259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475-4B80-AD80-F3E70CD44721}"/>
                </c:ext>
              </c:extLst>
            </c:dLbl>
            <c:dLbl>
              <c:idx val="2"/>
              <c:layout>
                <c:manualLayout>
                  <c:x val="0"/>
                  <c:y val="0.1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475-4B80-AD80-F3E70CD44721}"/>
                </c:ext>
              </c:extLst>
            </c:dLbl>
            <c:dLbl>
              <c:idx val="3"/>
              <c:layout>
                <c:manualLayout>
                  <c:x val="0"/>
                  <c:y val="0.1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475-4B80-AD80-F3E70CD44721}"/>
                </c:ext>
              </c:extLst>
            </c:dLbl>
            <c:dLbl>
              <c:idx val="4"/>
              <c:layout>
                <c:manualLayout>
                  <c:x val="-1.0185067526415994E-16"/>
                  <c:y val="0.138888888888888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475-4B80-AD80-F3E70CD44721}"/>
                </c:ext>
              </c:extLst>
            </c:dLbl>
            <c:dLbl>
              <c:idx val="5"/>
              <c:layout>
                <c:manualLayout>
                  <c:x val="0"/>
                  <c:y val="0.1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475-4B80-AD80-F3E70CD44721}"/>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TABLICA!$B$39:$B$44</c:f>
              <c:strCache>
                <c:ptCount val="6"/>
                <c:pt idx="0">
                  <c:v>POLSKA</c:v>
                </c:pt>
                <c:pt idx="1">
                  <c:v>Olsztyn</c:v>
                </c:pt>
                <c:pt idx="2">
                  <c:v>Kielce</c:v>
                </c:pt>
                <c:pt idx="3">
                  <c:v>Białystok</c:v>
                </c:pt>
                <c:pt idx="4">
                  <c:v>Rzeszów</c:v>
                </c:pt>
                <c:pt idx="5">
                  <c:v>Lublin</c:v>
                </c:pt>
              </c:strCache>
            </c:strRef>
          </c:cat>
          <c:val>
            <c:numRef>
              <c:f>TABLICA!$D$39:$D$44</c:f>
              <c:numCache>
                <c:formatCode>#,##0.00</c:formatCode>
                <c:ptCount val="6"/>
                <c:pt idx="0" formatCode="General">
                  <c:v>68.180000000000007</c:v>
                </c:pt>
                <c:pt idx="1">
                  <c:v>70.67</c:v>
                </c:pt>
                <c:pt idx="2">
                  <c:v>56.86</c:v>
                </c:pt>
                <c:pt idx="3">
                  <c:v>68.8</c:v>
                </c:pt>
                <c:pt idx="4">
                  <c:v>69.94</c:v>
                </c:pt>
                <c:pt idx="5">
                  <c:v>69.36</c:v>
                </c:pt>
              </c:numCache>
            </c:numRef>
          </c:val>
          <c:extLst>
            <c:ext xmlns:c16="http://schemas.microsoft.com/office/drawing/2014/chart" uri="{C3380CC4-5D6E-409C-BE32-E72D297353CC}">
              <c16:uniqueId val="{0000000D-4475-4B80-AD80-F3E70CD44721}"/>
            </c:ext>
          </c:extLst>
        </c:ser>
        <c:dLbls>
          <c:showLegendKey val="0"/>
          <c:showVal val="0"/>
          <c:showCatName val="0"/>
          <c:showSerName val="0"/>
          <c:showPercent val="0"/>
          <c:showBubbleSize val="0"/>
        </c:dLbls>
        <c:gapWidth val="219"/>
        <c:overlap val="-27"/>
        <c:axId val="308282440"/>
        <c:axId val="308281784"/>
      </c:barChart>
      <c:catAx>
        <c:axId val="308282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08281784"/>
        <c:crosses val="autoZero"/>
        <c:auto val="1"/>
        <c:lblAlgn val="ctr"/>
        <c:lblOffset val="100"/>
        <c:noMultiLvlLbl val="0"/>
      </c:catAx>
      <c:valAx>
        <c:axId val="30828178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08282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TABLICA!$M$24</c:f>
              <c:strCache>
                <c:ptCount val="1"/>
                <c:pt idx="0">
                  <c:v>2013</c:v>
                </c:pt>
              </c:strCache>
            </c:strRef>
          </c:tx>
          <c:spPr>
            <a:solidFill>
              <a:schemeClr val="accent1"/>
            </a:solidFill>
            <a:ln>
              <a:noFill/>
            </a:ln>
            <a:effectLst/>
            <a:sp3d/>
          </c:spPr>
          <c:invertIfNegative val="0"/>
          <c:cat>
            <c:strRef>
              <c:f>TABLICA!$L$25:$L$29</c:f>
              <c:strCache>
                <c:ptCount val="5"/>
                <c:pt idx="0">
                  <c:v>Olsztyn</c:v>
                </c:pt>
                <c:pt idx="1">
                  <c:v>Kielce</c:v>
                </c:pt>
                <c:pt idx="2">
                  <c:v>Białystok</c:v>
                </c:pt>
                <c:pt idx="3">
                  <c:v>Rzeszów</c:v>
                </c:pt>
                <c:pt idx="4">
                  <c:v>Lublin</c:v>
                </c:pt>
              </c:strCache>
            </c:strRef>
          </c:cat>
          <c:val>
            <c:numRef>
              <c:f>TABLICA!$M$25:$M$29</c:f>
              <c:numCache>
                <c:formatCode>#\ ##0.0</c:formatCode>
                <c:ptCount val="5"/>
                <c:pt idx="0">
                  <c:v>21.3</c:v>
                </c:pt>
                <c:pt idx="1">
                  <c:v>20.9</c:v>
                </c:pt>
                <c:pt idx="2">
                  <c:v>17.7</c:v>
                </c:pt>
                <c:pt idx="3">
                  <c:v>3.7</c:v>
                </c:pt>
                <c:pt idx="4">
                  <c:v>11.1</c:v>
                </c:pt>
              </c:numCache>
            </c:numRef>
          </c:val>
          <c:extLst>
            <c:ext xmlns:c16="http://schemas.microsoft.com/office/drawing/2014/chart" uri="{C3380CC4-5D6E-409C-BE32-E72D297353CC}">
              <c16:uniqueId val="{00000000-58D5-48A7-B93B-2B2F32A6A4B9}"/>
            </c:ext>
          </c:extLst>
        </c:ser>
        <c:ser>
          <c:idx val="1"/>
          <c:order val="1"/>
          <c:tx>
            <c:strRef>
              <c:f>TABLICA!$N$24</c:f>
              <c:strCache>
                <c:ptCount val="1"/>
                <c:pt idx="0">
                  <c:v>2014</c:v>
                </c:pt>
              </c:strCache>
            </c:strRef>
          </c:tx>
          <c:spPr>
            <a:solidFill>
              <a:schemeClr val="accent2"/>
            </a:solidFill>
            <a:ln>
              <a:noFill/>
            </a:ln>
            <a:effectLst/>
            <a:sp3d/>
          </c:spPr>
          <c:invertIfNegative val="0"/>
          <c:cat>
            <c:strRef>
              <c:f>TABLICA!$L$25:$L$29</c:f>
              <c:strCache>
                <c:ptCount val="5"/>
                <c:pt idx="0">
                  <c:v>Olsztyn</c:v>
                </c:pt>
                <c:pt idx="1">
                  <c:v>Kielce</c:v>
                </c:pt>
                <c:pt idx="2">
                  <c:v>Białystok</c:v>
                </c:pt>
                <c:pt idx="3">
                  <c:v>Rzeszów</c:v>
                </c:pt>
                <c:pt idx="4">
                  <c:v>Lublin</c:v>
                </c:pt>
              </c:strCache>
            </c:strRef>
          </c:cat>
          <c:val>
            <c:numRef>
              <c:f>TABLICA!$N$25:$N$29</c:f>
              <c:numCache>
                <c:formatCode>#\ ##0.0</c:formatCode>
                <c:ptCount val="5"/>
                <c:pt idx="0">
                  <c:v>21.2</c:v>
                </c:pt>
                <c:pt idx="1">
                  <c:v>21</c:v>
                </c:pt>
                <c:pt idx="2">
                  <c:v>17.899999999999999</c:v>
                </c:pt>
                <c:pt idx="3">
                  <c:v>2.6</c:v>
                </c:pt>
                <c:pt idx="4">
                  <c:v>11.1</c:v>
                </c:pt>
              </c:numCache>
            </c:numRef>
          </c:val>
          <c:extLst>
            <c:ext xmlns:c16="http://schemas.microsoft.com/office/drawing/2014/chart" uri="{C3380CC4-5D6E-409C-BE32-E72D297353CC}">
              <c16:uniqueId val="{00000001-58D5-48A7-B93B-2B2F32A6A4B9}"/>
            </c:ext>
          </c:extLst>
        </c:ser>
        <c:ser>
          <c:idx val="2"/>
          <c:order val="2"/>
          <c:tx>
            <c:strRef>
              <c:f>TABLICA!$O$24</c:f>
              <c:strCache>
                <c:ptCount val="1"/>
                <c:pt idx="0">
                  <c:v>2015</c:v>
                </c:pt>
              </c:strCache>
            </c:strRef>
          </c:tx>
          <c:spPr>
            <a:solidFill>
              <a:schemeClr val="accent3"/>
            </a:solidFill>
            <a:ln>
              <a:noFill/>
            </a:ln>
            <a:effectLst/>
            <a:sp3d/>
          </c:spPr>
          <c:invertIfNegative val="0"/>
          <c:cat>
            <c:strRef>
              <c:f>TABLICA!$L$25:$L$29</c:f>
              <c:strCache>
                <c:ptCount val="5"/>
                <c:pt idx="0">
                  <c:v>Olsztyn</c:v>
                </c:pt>
                <c:pt idx="1">
                  <c:v>Kielce</c:v>
                </c:pt>
                <c:pt idx="2">
                  <c:v>Białystok</c:v>
                </c:pt>
                <c:pt idx="3">
                  <c:v>Rzeszów</c:v>
                </c:pt>
                <c:pt idx="4">
                  <c:v>Lublin</c:v>
                </c:pt>
              </c:strCache>
            </c:strRef>
          </c:cat>
          <c:val>
            <c:numRef>
              <c:f>TABLICA!$O$25:$O$29</c:f>
              <c:numCache>
                <c:formatCode>#\ ##0.0</c:formatCode>
                <c:ptCount val="5"/>
                <c:pt idx="0">
                  <c:v>21.2</c:v>
                </c:pt>
                <c:pt idx="1">
                  <c:v>21</c:v>
                </c:pt>
                <c:pt idx="2">
                  <c:v>17.899999999999999</c:v>
                </c:pt>
                <c:pt idx="3">
                  <c:v>2.6</c:v>
                </c:pt>
                <c:pt idx="4">
                  <c:v>11.2</c:v>
                </c:pt>
              </c:numCache>
            </c:numRef>
          </c:val>
          <c:extLst>
            <c:ext xmlns:c16="http://schemas.microsoft.com/office/drawing/2014/chart" uri="{C3380CC4-5D6E-409C-BE32-E72D297353CC}">
              <c16:uniqueId val="{00000002-58D5-48A7-B93B-2B2F32A6A4B9}"/>
            </c:ext>
          </c:extLst>
        </c:ser>
        <c:ser>
          <c:idx val="3"/>
          <c:order val="3"/>
          <c:tx>
            <c:strRef>
              <c:f>TABLICA!$P$24</c:f>
              <c:strCache>
                <c:ptCount val="1"/>
                <c:pt idx="0">
                  <c:v>2016</c:v>
                </c:pt>
              </c:strCache>
            </c:strRef>
          </c:tx>
          <c:spPr>
            <a:solidFill>
              <a:schemeClr val="accent4"/>
            </a:solidFill>
            <a:ln>
              <a:noFill/>
            </a:ln>
            <a:effectLst/>
            <a:sp3d/>
          </c:spPr>
          <c:invertIfNegative val="0"/>
          <c:cat>
            <c:strRef>
              <c:f>TABLICA!$L$25:$L$29</c:f>
              <c:strCache>
                <c:ptCount val="5"/>
                <c:pt idx="0">
                  <c:v>Olsztyn</c:v>
                </c:pt>
                <c:pt idx="1">
                  <c:v>Kielce</c:v>
                </c:pt>
                <c:pt idx="2">
                  <c:v>Białystok</c:v>
                </c:pt>
                <c:pt idx="3">
                  <c:v>Rzeszów</c:v>
                </c:pt>
                <c:pt idx="4">
                  <c:v>Lublin</c:v>
                </c:pt>
              </c:strCache>
            </c:strRef>
          </c:cat>
          <c:val>
            <c:numRef>
              <c:f>TABLICA!$P$25:$P$29</c:f>
              <c:numCache>
                <c:formatCode>#\ ##0.0</c:formatCode>
                <c:ptCount val="5"/>
                <c:pt idx="0">
                  <c:v>21.2</c:v>
                </c:pt>
                <c:pt idx="1">
                  <c:v>20.9</c:v>
                </c:pt>
                <c:pt idx="2">
                  <c:v>18.100000000000001</c:v>
                </c:pt>
                <c:pt idx="3">
                  <c:v>2.6</c:v>
                </c:pt>
                <c:pt idx="4">
                  <c:v>11.2</c:v>
                </c:pt>
              </c:numCache>
            </c:numRef>
          </c:val>
          <c:extLst>
            <c:ext xmlns:c16="http://schemas.microsoft.com/office/drawing/2014/chart" uri="{C3380CC4-5D6E-409C-BE32-E72D297353CC}">
              <c16:uniqueId val="{00000003-58D5-48A7-B93B-2B2F32A6A4B9}"/>
            </c:ext>
          </c:extLst>
        </c:ser>
        <c:ser>
          <c:idx val="4"/>
          <c:order val="4"/>
          <c:tx>
            <c:strRef>
              <c:f>TABLICA!$Q$24</c:f>
              <c:strCache>
                <c:ptCount val="1"/>
                <c:pt idx="0">
                  <c:v>2017</c:v>
                </c:pt>
              </c:strCache>
            </c:strRef>
          </c:tx>
          <c:spPr>
            <a:solidFill>
              <a:schemeClr val="accent5"/>
            </a:solidFill>
            <a:ln>
              <a:noFill/>
            </a:ln>
            <a:effectLst/>
            <a:sp3d/>
          </c:spPr>
          <c:invertIfNegative val="0"/>
          <c:cat>
            <c:strRef>
              <c:f>TABLICA!$L$25:$L$29</c:f>
              <c:strCache>
                <c:ptCount val="5"/>
                <c:pt idx="0">
                  <c:v>Olsztyn</c:v>
                </c:pt>
                <c:pt idx="1">
                  <c:v>Kielce</c:v>
                </c:pt>
                <c:pt idx="2">
                  <c:v>Białystok</c:v>
                </c:pt>
                <c:pt idx="3">
                  <c:v>Rzeszów</c:v>
                </c:pt>
                <c:pt idx="4">
                  <c:v>Lublin</c:v>
                </c:pt>
              </c:strCache>
            </c:strRef>
          </c:cat>
          <c:val>
            <c:numRef>
              <c:f>TABLICA!$Q$25:$Q$29</c:f>
              <c:numCache>
                <c:formatCode>#\ ##0.0</c:formatCode>
                <c:ptCount val="5"/>
                <c:pt idx="0">
                  <c:v>21.1</c:v>
                </c:pt>
                <c:pt idx="1">
                  <c:v>20.9</c:v>
                </c:pt>
                <c:pt idx="2">
                  <c:v>18.100000000000001</c:v>
                </c:pt>
                <c:pt idx="3">
                  <c:v>2.5</c:v>
                </c:pt>
                <c:pt idx="4">
                  <c:v>11.2</c:v>
                </c:pt>
              </c:numCache>
            </c:numRef>
          </c:val>
          <c:extLst>
            <c:ext xmlns:c16="http://schemas.microsoft.com/office/drawing/2014/chart" uri="{C3380CC4-5D6E-409C-BE32-E72D297353CC}">
              <c16:uniqueId val="{00000004-58D5-48A7-B93B-2B2F32A6A4B9}"/>
            </c:ext>
          </c:extLst>
        </c:ser>
        <c:ser>
          <c:idx val="5"/>
          <c:order val="5"/>
          <c:tx>
            <c:strRef>
              <c:f>TABLICA!$R$24</c:f>
              <c:strCache>
                <c:ptCount val="1"/>
                <c:pt idx="0">
                  <c:v>2018</c:v>
                </c:pt>
              </c:strCache>
            </c:strRef>
          </c:tx>
          <c:spPr>
            <a:solidFill>
              <a:schemeClr val="accent6"/>
            </a:solidFill>
            <a:ln>
              <a:noFill/>
            </a:ln>
            <a:effectLst/>
            <a:sp3d/>
          </c:spPr>
          <c:invertIfNegative val="0"/>
          <c:cat>
            <c:strRef>
              <c:f>TABLICA!$L$25:$L$29</c:f>
              <c:strCache>
                <c:ptCount val="5"/>
                <c:pt idx="0">
                  <c:v>Olsztyn</c:v>
                </c:pt>
                <c:pt idx="1">
                  <c:v>Kielce</c:v>
                </c:pt>
                <c:pt idx="2">
                  <c:v>Białystok</c:v>
                </c:pt>
                <c:pt idx="3">
                  <c:v>Rzeszów</c:v>
                </c:pt>
                <c:pt idx="4">
                  <c:v>Lublin</c:v>
                </c:pt>
              </c:strCache>
            </c:strRef>
          </c:cat>
          <c:val>
            <c:numRef>
              <c:f>TABLICA!$R$25:$R$29</c:f>
              <c:numCache>
                <c:formatCode>#\ ##0.0</c:formatCode>
                <c:ptCount val="5"/>
                <c:pt idx="0">
                  <c:v>21.1</c:v>
                </c:pt>
                <c:pt idx="1">
                  <c:v>20.9</c:v>
                </c:pt>
                <c:pt idx="2">
                  <c:v>18</c:v>
                </c:pt>
                <c:pt idx="3">
                  <c:v>2.5</c:v>
                </c:pt>
                <c:pt idx="4">
                  <c:v>11.1</c:v>
                </c:pt>
              </c:numCache>
            </c:numRef>
          </c:val>
          <c:extLst>
            <c:ext xmlns:c16="http://schemas.microsoft.com/office/drawing/2014/chart" uri="{C3380CC4-5D6E-409C-BE32-E72D297353CC}">
              <c16:uniqueId val="{00000005-58D5-48A7-B93B-2B2F32A6A4B9}"/>
            </c:ext>
          </c:extLst>
        </c:ser>
        <c:ser>
          <c:idx val="6"/>
          <c:order val="6"/>
          <c:tx>
            <c:strRef>
              <c:f>TABLICA!$S$24</c:f>
              <c:strCache>
                <c:ptCount val="1"/>
                <c:pt idx="0">
                  <c:v>2019</c:v>
                </c:pt>
              </c:strCache>
            </c:strRef>
          </c:tx>
          <c:spPr>
            <a:solidFill>
              <a:schemeClr val="accent1">
                <a:lumMod val="60000"/>
              </a:schemeClr>
            </a:solidFill>
            <a:ln>
              <a:noFill/>
            </a:ln>
            <a:effectLst/>
            <a:sp3d/>
          </c:spPr>
          <c:invertIfNegative val="0"/>
          <c:cat>
            <c:strRef>
              <c:f>TABLICA!$L$25:$L$29</c:f>
              <c:strCache>
                <c:ptCount val="5"/>
                <c:pt idx="0">
                  <c:v>Olsztyn</c:v>
                </c:pt>
                <c:pt idx="1">
                  <c:v>Kielce</c:v>
                </c:pt>
                <c:pt idx="2">
                  <c:v>Białystok</c:v>
                </c:pt>
                <c:pt idx="3">
                  <c:v>Rzeszów</c:v>
                </c:pt>
                <c:pt idx="4">
                  <c:v>Lublin</c:v>
                </c:pt>
              </c:strCache>
            </c:strRef>
          </c:cat>
          <c:val>
            <c:numRef>
              <c:f>TABLICA!$S$25:$S$29</c:f>
              <c:numCache>
                <c:formatCode>#\ ##0.0</c:formatCode>
                <c:ptCount val="5"/>
                <c:pt idx="0">
                  <c:v>21.1</c:v>
                </c:pt>
                <c:pt idx="1">
                  <c:v>20.9</c:v>
                </c:pt>
                <c:pt idx="2">
                  <c:v>18</c:v>
                </c:pt>
                <c:pt idx="3">
                  <c:v>2.9</c:v>
                </c:pt>
                <c:pt idx="4">
                  <c:v>11.1</c:v>
                </c:pt>
              </c:numCache>
            </c:numRef>
          </c:val>
          <c:extLst>
            <c:ext xmlns:c16="http://schemas.microsoft.com/office/drawing/2014/chart" uri="{C3380CC4-5D6E-409C-BE32-E72D297353CC}">
              <c16:uniqueId val="{00000006-58D5-48A7-B93B-2B2F32A6A4B9}"/>
            </c:ext>
          </c:extLst>
        </c:ser>
        <c:dLbls>
          <c:showLegendKey val="0"/>
          <c:showVal val="0"/>
          <c:showCatName val="0"/>
          <c:showSerName val="0"/>
          <c:showPercent val="0"/>
          <c:showBubbleSize val="0"/>
        </c:dLbls>
        <c:gapWidth val="150"/>
        <c:shape val="box"/>
        <c:axId val="433429600"/>
        <c:axId val="433429928"/>
        <c:axId val="0"/>
      </c:bar3DChart>
      <c:catAx>
        <c:axId val="4334296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33429928"/>
        <c:crosses val="autoZero"/>
        <c:auto val="1"/>
        <c:lblAlgn val="ctr"/>
        <c:lblOffset val="100"/>
        <c:noMultiLvlLbl val="0"/>
      </c:catAx>
      <c:valAx>
        <c:axId val="433429928"/>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33429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Arkusz6!$B$33</c:f>
              <c:strCache>
                <c:ptCount val="1"/>
                <c:pt idx="0">
                  <c:v>2013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Arkusz6!$A$34:$A$37</c:f>
              <c:strCache>
                <c:ptCount val="4"/>
                <c:pt idx="0">
                  <c:v>Olsztyn</c:v>
                </c:pt>
                <c:pt idx="1">
                  <c:v>Białystok</c:v>
                </c:pt>
                <c:pt idx="2">
                  <c:v>Rzeszów</c:v>
                </c:pt>
                <c:pt idx="3">
                  <c:v>Lublin</c:v>
                </c:pt>
              </c:strCache>
            </c:strRef>
          </c:cat>
          <c:val>
            <c:numRef>
              <c:f>Arkusz6!$B$34:$B$37</c:f>
              <c:numCache>
                <c:formatCode>General</c:formatCode>
                <c:ptCount val="4"/>
                <c:pt idx="0">
                  <c:v>13.3</c:v>
                </c:pt>
                <c:pt idx="1">
                  <c:v>14.4</c:v>
                </c:pt>
                <c:pt idx="2" formatCode="0.0">
                  <c:v>20.100000000000001</c:v>
                </c:pt>
                <c:pt idx="3">
                  <c:v>19.600000000000001</c:v>
                </c:pt>
              </c:numCache>
            </c:numRef>
          </c:val>
          <c:extLst>
            <c:ext xmlns:c16="http://schemas.microsoft.com/office/drawing/2014/chart" uri="{C3380CC4-5D6E-409C-BE32-E72D297353CC}">
              <c16:uniqueId val="{00000000-725A-4672-9B0A-DB46756AB16F}"/>
            </c:ext>
          </c:extLst>
        </c:ser>
        <c:ser>
          <c:idx val="1"/>
          <c:order val="1"/>
          <c:tx>
            <c:strRef>
              <c:f>Arkusz6!$C$33</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Arkusz6!$A$34:$A$37</c:f>
              <c:strCache>
                <c:ptCount val="4"/>
                <c:pt idx="0">
                  <c:v>Olsztyn</c:v>
                </c:pt>
                <c:pt idx="1">
                  <c:v>Białystok</c:v>
                </c:pt>
                <c:pt idx="2">
                  <c:v>Rzeszów</c:v>
                </c:pt>
                <c:pt idx="3">
                  <c:v>Lublin</c:v>
                </c:pt>
              </c:strCache>
            </c:strRef>
          </c:cat>
          <c:val>
            <c:numRef>
              <c:f>Arkusz6!$C$34:$C$37</c:f>
              <c:numCache>
                <c:formatCode>General</c:formatCode>
                <c:ptCount val="4"/>
                <c:pt idx="0">
                  <c:v>12.7</c:v>
                </c:pt>
                <c:pt idx="1">
                  <c:v>12.6</c:v>
                </c:pt>
                <c:pt idx="2">
                  <c:v>15.8</c:v>
                </c:pt>
                <c:pt idx="3">
                  <c:v>19.5</c:v>
                </c:pt>
              </c:numCache>
            </c:numRef>
          </c:val>
          <c:extLst>
            <c:ext xmlns:c16="http://schemas.microsoft.com/office/drawing/2014/chart" uri="{C3380CC4-5D6E-409C-BE32-E72D297353CC}">
              <c16:uniqueId val="{00000001-725A-4672-9B0A-DB46756AB16F}"/>
            </c:ext>
          </c:extLst>
        </c:ser>
        <c:dLbls>
          <c:showLegendKey val="0"/>
          <c:showVal val="0"/>
          <c:showCatName val="0"/>
          <c:showSerName val="0"/>
          <c:showPercent val="0"/>
          <c:showBubbleSize val="0"/>
        </c:dLbls>
        <c:gapWidth val="219"/>
        <c:overlap val="-27"/>
        <c:axId val="534543208"/>
        <c:axId val="534545504"/>
      </c:barChart>
      <c:catAx>
        <c:axId val="534543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34545504"/>
        <c:crosses val="autoZero"/>
        <c:auto val="1"/>
        <c:lblAlgn val="ctr"/>
        <c:lblOffset val="100"/>
        <c:noMultiLvlLbl val="0"/>
      </c:catAx>
      <c:valAx>
        <c:axId val="534545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34543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Arkusz6!$B$46</c:f>
              <c:strCache>
                <c:ptCount val="1"/>
                <c:pt idx="0">
                  <c:v>2013</c:v>
                </c:pt>
              </c:strCache>
            </c:strRef>
          </c:tx>
          <c:spPr>
            <a:solidFill>
              <a:schemeClr val="accent1"/>
            </a:solidFill>
            <a:ln>
              <a:noFill/>
            </a:ln>
            <a:effectLst/>
          </c:spPr>
          <c:invertIfNegative val="0"/>
          <c:dLbls>
            <c:dLbl>
              <c:idx val="0"/>
              <c:layout>
                <c:manualLayout>
                  <c:x val="-2.5676640822897464E-17"/>
                  <c:y val="0.1191489361702127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0A1-40F0-941C-1FE9FDAC97D9}"/>
                </c:ext>
              </c:extLst>
            </c:dLbl>
            <c:dLbl>
              <c:idx val="1"/>
              <c:layout>
                <c:manualLayout>
                  <c:x val="-5.1353281645794929E-17"/>
                  <c:y val="0.141843971631205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0A1-40F0-941C-1FE9FDAC97D9}"/>
                </c:ext>
              </c:extLst>
            </c:dLbl>
            <c:dLbl>
              <c:idx val="2"/>
              <c:layout>
                <c:manualLayout>
                  <c:x val="0"/>
                  <c:y val="0.124822695035460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0A1-40F0-941C-1FE9FDAC97D9}"/>
                </c:ext>
              </c:extLst>
            </c:dLbl>
            <c:dLbl>
              <c:idx val="3"/>
              <c:layout>
                <c:manualLayout>
                  <c:x val="0"/>
                  <c:y val="0.113475177304964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0A1-40F0-941C-1FE9FDAC97D9}"/>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Arkusz6!$A$47:$A$50</c:f>
              <c:strCache>
                <c:ptCount val="4"/>
                <c:pt idx="0">
                  <c:v>Olsztyn</c:v>
                </c:pt>
                <c:pt idx="1">
                  <c:v>Białystok</c:v>
                </c:pt>
                <c:pt idx="2">
                  <c:v>Rzeszów</c:v>
                </c:pt>
                <c:pt idx="3">
                  <c:v>Lublin</c:v>
                </c:pt>
              </c:strCache>
            </c:strRef>
          </c:cat>
          <c:val>
            <c:numRef>
              <c:f>Arkusz6!$B$47:$B$50</c:f>
              <c:numCache>
                <c:formatCode>General</c:formatCode>
                <c:ptCount val="4"/>
                <c:pt idx="0">
                  <c:v>3.6</c:v>
                </c:pt>
                <c:pt idx="1">
                  <c:v>10.9</c:v>
                </c:pt>
                <c:pt idx="2" formatCode="0.0">
                  <c:v>5.5</c:v>
                </c:pt>
                <c:pt idx="3">
                  <c:v>3.8</c:v>
                </c:pt>
              </c:numCache>
            </c:numRef>
          </c:val>
          <c:extLst>
            <c:ext xmlns:c16="http://schemas.microsoft.com/office/drawing/2014/chart" uri="{C3380CC4-5D6E-409C-BE32-E72D297353CC}">
              <c16:uniqueId val="{00000004-20A1-40F0-941C-1FE9FDAC97D9}"/>
            </c:ext>
          </c:extLst>
        </c:ser>
        <c:ser>
          <c:idx val="1"/>
          <c:order val="1"/>
          <c:tx>
            <c:strRef>
              <c:f>Arkusz6!$C$46</c:f>
              <c:strCache>
                <c:ptCount val="1"/>
                <c:pt idx="0">
                  <c:v>2019</c:v>
                </c:pt>
              </c:strCache>
            </c:strRef>
          </c:tx>
          <c:spPr>
            <a:solidFill>
              <a:schemeClr val="accent2"/>
            </a:solidFill>
            <a:ln>
              <a:noFill/>
            </a:ln>
            <a:effectLst/>
          </c:spPr>
          <c:invertIfNegative val="0"/>
          <c:dLbls>
            <c:dLbl>
              <c:idx val="0"/>
              <c:layout>
                <c:manualLayout>
                  <c:x val="0"/>
                  <c:y val="0.13049645390070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0A1-40F0-941C-1FE9FDAC97D9}"/>
                </c:ext>
              </c:extLst>
            </c:dLbl>
            <c:dLbl>
              <c:idx val="1"/>
              <c:layout>
                <c:manualLayout>
                  <c:x val="0"/>
                  <c:y val="1.70212765957446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0A1-40F0-941C-1FE9FDAC97D9}"/>
                </c:ext>
              </c:extLst>
            </c:dLbl>
            <c:dLbl>
              <c:idx val="2"/>
              <c:layout>
                <c:manualLayout>
                  <c:x val="2.8011204481792717E-3"/>
                  <c:y val="0.1191489361702127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0A1-40F0-941C-1FE9FDAC97D9}"/>
                </c:ext>
              </c:extLst>
            </c:dLbl>
            <c:dLbl>
              <c:idx val="3"/>
              <c:layout>
                <c:manualLayout>
                  <c:x val="-1.0270656329158986E-16"/>
                  <c:y val="0.1191489361702127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0A1-40F0-941C-1FE9FDAC97D9}"/>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Arkusz6!$A$47:$A$50</c:f>
              <c:strCache>
                <c:ptCount val="4"/>
                <c:pt idx="0">
                  <c:v>Olsztyn</c:v>
                </c:pt>
                <c:pt idx="1">
                  <c:v>Białystok</c:v>
                </c:pt>
                <c:pt idx="2">
                  <c:v>Rzeszów</c:v>
                </c:pt>
                <c:pt idx="3">
                  <c:v>Lublin</c:v>
                </c:pt>
              </c:strCache>
            </c:strRef>
          </c:cat>
          <c:val>
            <c:numRef>
              <c:f>Arkusz6!$C$47:$C$50</c:f>
              <c:numCache>
                <c:formatCode>General</c:formatCode>
                <c:ptCount val="4"/>
                <c:pt idx="0">
                  <c:v>5.7</c:v>
                </c:pt>
                <c:pt idx="1">
                  <c:v>1.1000000000000001</c:v>
                </c:pt>
                <c:pt idx="2">
                  <c:v>5.4</c:v>
                </c:pt>
                <c:pt idx="3">
                  <c:v>4.8</c:v>
                </c:pt>
              </c:numCache>
            </c:numRef>
          </c:val>
          <c:extLst>
            <c:ext xmlns:c16="http://schemas.microsoft.com/office/drawing/2014/chart" uri="{C3380CC4-5D6E-409C-BE32-E72D297353CC}">
              <c16:uniqueId val="{00000009-20A1-40F0-941C-1FE9FDAC97D9}"/>
            </c:ext>
          </c:extLst>
        </c:ser>
        <c:dLbls>
          <c:showLegendKey val="0"/>
          <c:showVal val="0"/>
          <c:showCatName val="0"/>
          <c:showSerName val="0"/>
          <c:showPercent val="0"/>
          <c:showBubbleSize val="0"/>
        </c:dLbls>
        <c:gapWidth val="219"/>
        <c:overlap val="-27"/>
        <c:axId val="501808552"/>
        <c:axId val="501810192"/>
      </c:barChart>
      <c:catAx>
        <c:axId val="501808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01810192"/>
        <c:crosses val="autoZero"/>
        <c:auto val="1"/>
        <c:lblAlgn val="ctr"/>
        <c:lblOffset val="100"/>
        <c:noMultiLvlLbl val="0"/>
      </c:catAx>
      <c:valAx>
        <c:axId val="501810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01808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Arkusz6!$B$77</c:f>
              <c:strCache>
                <c:ptCount val="1"/>
                <c:pt idx="0">
                  <c:v>2013</c:v>
                </c:pt>
              </c:strCache>
            </c:strRef>
          </c:tx>
          <c:spPr>
            <a:solidFill>
              <a:schemeClr val="accent1"/>
            </a:solidFill>
            <a:ln>
              <a:noFill/>
            </a:ln>
            <a:effectLst/>
          </c:spPr>
          <c:invertIfNegative val="0"/>
          <c:dLbls>
            <c:dLbl>
              <c:idx val="0"/>
              <c:layout>
                <c:manualLayout>
                  <c:x val="-1.275791339425803E-17"/>
                  <c:y val="0.140646976090014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024-4E68-B052-700F18A16257}"/>
                </c:ext>
              </c:extLst>
            </c:dLbl>
            <c:dLbl>
              <c:idx val="1"/>
              <c:layout>
                <c:manualLayout>
                  <c:x val="0"/>
                  <c:y val="0.1406469760900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024-4E68-B052-700F18A16257}"/>
                </c:ext>
              </c:extLst>
            </c:dLbl>
            <c:dLbl>
              <c:idx val="2"/>
              <c:layout>
                <c:manualLayout>
                  <c:x val="0"/>
                  <c:y val="0.1462728551336146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024-4E68-B052-700F18A16257}"/>
                </c:ext>
              </c:extLst>
            </c:dLbl>
            <c:dLbl>
              <c:idx val="3"/>
              <c:layout>
                <c:manualLayout>
                  <c:x val="0"/>
                  <c:y val="0.151898734177215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024-4E68-B052-700F18A16257}"/>
                </c:ext>
              </c:extLst>
            </c:dLbl>
            <c:dLbl>
              <c:idx val="4"/>
              <c:layout>
                <c:manualLayout>
                  <c:x val="0"/>
                  <c:y val="0.146272855133614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024-4E68-B052-700F18A16257}"/>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Arkusz6!$A$78:$A$82</c:f>
              <c:strCache>
                <c:ptCount val="5"/>
                <c:pt idx="0">
                  <c:v>Olsztyn</c:v>
                </c:pt>
                <c:pt idx="1">
                  <c:v>Kielce</c:v>
                </c:pt>
                <c:pt idx="2">
                  <c:v>Białystok</c:v>
                </c:pt>
                <c:pt idx="3">
                  <c:v>Rzeszów</c:v>
                </c:pt>
                <c:pt idx="4">
                  <c:v>Lublin</c:v>
                </c:pt>
              </c:strCache>
            </c:strRef>
          </c:cat>
          <c:val>
            <c:numRef>
              <c:f>Arkusz6!$B$78:$B$82</c:f>
              <c:numCache>
                <c:formatCode>General</c:formatCode>
                <c:ptCount val="5"/>
                <c:pt idx="0">
                  <c:v>30.8</c:v>
                </c:pt>
                <c:pt idx="1">
                  <c:v>33.799999999999997</c:v>
                </c:pt>
                <c:pt idx="2">
                  <c:v>22.9</c:v>
                </c:pt>
                <c:pt idx="3" formatCode="0.0">
                  <c:v>31.6</c:v>
                </c:pt>
                <c:pt idx="4">
                  <c:v>29.6</c:v>
                </c:pt>
              </c:numCache>
            </c:numRef>
          </c:val>
          <c:extLst>
            <c:ext xmlns:c16="http://schemas.microsoft.com/office/drawing/2014/chart" uri="{C3380CC4-5D6E-409C-BE32-E72D297353CC}">
              <c16:uniqueId val="{00000005-A024-4E68-B052-700F18A16257}"/>
            </c:ext>
          </c:extLst>
        </c:ser>
        <c:ser>
          <c:idx val="1"/>
          <c:order val="1"/>
          <c:tx>
            <c:strRef>
              <c:f>Arkusz6!$C$77</c:f>
              <c:strCache>
                <c:ptCount val="1"/>
                <c:pt idx="0">
                  <c:v>2019</c:v>
                </c:pt>
              </c:strCache>
            </c:strRef>
          </c:tx>
          <c:spPr>
            <a:solidFill>
              <a:schemeClr val="accent2"/>
            </a:solidFill>
            <a:ln>
              <a:noFill/>
            </a:ln>
            <a:effectLst/>
          </c:spPr>
          <c:invertIfNegative val="0"/>
          <c:dLbls>
            <c:dLbl>
              <c:idx val="0"/>
              <c:layout>
                <c:manualLayout>
                  <c:x val="0"/>
                  <c:y val="0.135021097046413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024-4E68-B052-700F18A16257}"/>
                </c:ext>
              </c:extLst>
            </c:dLbl>
            <c:dLbl>
              <c:idx val="1"/>
              <c:layout>
                <c:manualLayout>
                  <c:x val="0"/>
                  <c:y val="0.135021097046413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024-4E68-B052-700F18A16257}"/>
                </c:ext>
              </c:extLst>
            </c:dLbl>
            <c:dLbl>
              <c:idx val="2"/>
              <c:layout>
                <c:manualLayout>
                  <c:x val="-1.0206330715406424E-16"/>
                  <c:y val="0.140646976090013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024-4E68-B052-700F18A16257}"/>
                </c:ext>
              </c:extLst>
            </c:dLbl>
            <c:dLbl>
              <c:idx val="3"/>
              <c:layout>
                <c:manualLayout>
                  <c:x val="-1.0206330715406424E-16"/>
                  <c:y val="0.1462728551336146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024-4E68-B052-700F18A16257}"/>
                </c:ext>
              </c:extLst>
            </c:dLbl>
            <c:dLbl>
              <c:idx val="4"/>
              <c:layout>
                <c:manualLayout>
                  <c:x val="-1.0206330715406424E-16"/>
                  <c:y val="0.151898734177215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024-4E68-B052-700F18A16257}"/>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Arkusz6!$A$78:$A$82</c:f>
              <c:strCache>
                <c:ptCount val="5"/>
                <c:pt idx="0">
                  <c:v>Olsztyn</c:v>
                </c:pt>
                <c:pt idx="1">
                  <c:v>Kielce</c:v>
                </c:pt>
                <c:pt idx="2">
                  <c:v>Białystok</c:v>
                </c:pt>
                <c:pt idx="3">
                  <c:v>Rzeszów</c:v>
                </c:pt>
                <c:pt idx="4">
                  <c:v>Lublin</c:v>
                </c:pt>
              </c:strCache>
            </c:strRef>
          </c:cat>
          <c:val>
            <c:numRef>
              <c:f>Arkusz6!$C$78:$C$82</c:f>
              <c:numCache>
                <c:formatCode>0.0</c:formatCode>
                <c:ptCount val="5"/>
                <c:pt idx="0" formatCode="General">
                  <c:v>19.899999999999999</c:v>
                </c:pt>
                <c:pt idx="1">
                  <c:v>25</c:v>
                </c:pt>
                <c:pt idx="2">
                  <c:v>19</c:v>
                </c:pt>
                <c:pt idx="3" formatCode="General">
                  <c:v>24.5</c:v>
                </c:pt>
                <c:pt idx="4" formatCode="General">
                  <c:v>26.5</c:v>
                </c:pt>
              </c:numCache>
            </c:numRef>
          </c:val>
          <c:extLst>
            <c:ext xmlns:c16="http://schemas.microsoft.com/office/drawing/2014/chart" uri="{C3380CC4-5D6E-409C-BE32-E72D297353CC}">
              <c16:uniqueId val="{0000000B-A024-4E68-B052-700F18A16257}"/>
            </c:ext>
          </c:extLst>
        </c:ser>
        <c:dLbls>
          <c:showLegendKey val="0"/>
          <c:showVal val="0"/>
          <c:showCatName val="0"/>
          <c:showSerName val="0"/>
          <c:showPercent val="0"/>
          <c:showBubbleSize val="0"/>
        </c:dLbls>
        <c:gapWidth val="219"/>
        <c:overlap val="-27"/>
        <c:axId val="501955312"/>
        <c:axId val="501948096"/>
      </c:barChart>
      <c:catAx>
        <c:axId val="501955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01948096"/>
        <c:crosses val="autoZero"/>
        <c:auto val="1"/>
        <c:lblAlgn val="ctr"/>
        <c:lblOffset val="100"/>
        <c:noMultiLvlLbl val="0"/>
      </c:catAx>
      <c:valAx>
        <c:axId val="501948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01955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Arkusz6!$B$93</c:f>
              <c:strCache>
                <c:ptCount val="1"/>
                <c:pt idx="0">
                  <c:v>2013</c:v>
                </c:pt>
              </c:strCache>
            </c:strRef>
          </c:tx>
          <c:spPr>
            <a:solidFill>
              <a:schemeClr val="accent1"/>
            </a:solidFill>
            <a:ln>
              <a:noFill/>
            </a:ln>
            <a:effectLst/>
          </c:spPr>
          <c:invertIfNegative val="0"/>
          <c:dLbls>
            <c:dLbl>
              <c:idx val="0"/>
              <c:layout>
                <c:manualLayout>
                  <c:x val="-2.5462668816039986E-17"/>
                  <c:y val="0.138312586445366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244-4C9C-A5CF-E2C3ECD2DB19}"/>
                </c:ext>
              </c:extLst>
            </c:dLbl>
            <c:dLbl>
              <c:idx val="1"/>
              <c:layout>
                <c:manualLayout>
                  <c:x val="0"/>
                  <c:y val="0.138312586445366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244-4C9C-A5CF-E2C3ECD2DB19}"/>
                </c:ext>
              </c:extLst>
            </c:dLbl>
            <c:dLbl>
              <c:idx val="2"/>
              <c:layout>
                <c:manualLayout>
                  <c:x val="0"/>
                  <c:y val="0.138312586445366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244-4C9C-A5CF-E2C3ECD2DB19}"/>
                </c:ext>
              </c:extLst>
            </c:dLbl>
            <c:dLbl>
              <c:idx val="3"/>
              <c:layout>
                <c:manualLayout>
                  <c:x val="2.7777777777778798E-3"/>
                  <c:y val="0.143845089903181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244-4C9C-A5CF-E2C3ECD2DB19}"/>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Arkusz6!$A$94:$A$97</c:f>
              <c:strCache>
                <c:ptCount val="4"/>
                <c:pt idx="0">
                  <c:v>Olsztyn</c:v>
                </c:pt>
                <c:pt idx="1">
                  <c:v>Białystok</c:v>
                </c:pt>
                <c:pt idx="2">
                  <c:v>Rzeszów</c:v>
                </c:pt>
                <c:pt idx="3">
                  <c:v>Lublin</c:v>
                </c:pt>
              </c:strCache>
            </c:strRef>
          </c:cat>
          <c:val>
            <c:numRef>
              <c:f>Arkusz6!$B$94:$B$97</c:f>
              <c:numCache>
                <c:formatCode>General</c:formatCode>
                <c:ptCount val="4"/>
                <c:pt idx="0">
                  <c:v>28.9</c:v>
                </c:pt>
                <c:pt idx="1">
                  <c:v>20.5</c:v>
                </c:pt>
                <c:pt idx="2" formatCode="0.0">
                  <c:v>25.1</c:v>
                </c:pt>
                <c:pt idx="3">
                  <c:v>21.5</c:v>
                </c:pt>
              </c:numCache>
            </c:numRef>
          </c:val>
          <c:extLst>
            <c:ext xmlns:c16="http://schemas.microsoft.com/office/drawing/2014/chart" uri="{C3380CC4-5D6E-409C-BE32-E72D297353CC}">
              <c16:uniqueId val="{00000004-0244-4C9C-A5CF-E2C3ECD2DB19}"/>
            </c:ext>
          </c:extLst>
        </c:ser>
        <c:ser>
          <c:idx val="1"/>
          <c:order val="1"/>
          <c:tx>
            <c:strRef>
              <c:f>Arkusz6!$C$93</c:f>
              <c:strCache>
                <c:ptCount val="1"/>
                <c:pt idx="0">
                  <c:v>2019</c:v>
                </c:pt>
              </c:strCache>
            </c:strRef>
          </c:tx>
          <c:spPr>
            <a:solidFill>
              <a:schemeClr val="accent2"/>
            </a:solidFill>
            <a:ln>
              <a:noFill/>
            </a:ln>
            <a:effectLst/>
          </c:spPr>
          <c:invertIfNegative val="0"/>
          <c:dLbls>
            <c:dLbl>
              <c:idx val="0"/>
              <c:layout>
                <c:manualLayout>
                  <c:x val="0"/>
                  <c:y val="0.1327800829875518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244-4C9C-A5CF-E2C3ECD2DB19}"/>
                </c:ext>
              </c:extLst>
            </c:dLbl>
            <c:dLbl>
              <c:idx val="1"/>
              <c:layout>
                <c:manualLayout>
                  <c:x val="-5.0925337632079971E-17"/>
                  <c:y val="0.138312586445366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244-4C9C-A5CF-E2C3ECD2DB19}"/>
                </c:ext>
              </c:extLst>
            </c:dLbl>
            <c:dLbl>
              <c:idx val="2"/>
              <c:layout>
                <c:manualLayout>
                  <c:x val="0"/>
                  <c:y val="0.138312586445366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244-4C9C-A5CF-E2C3ECD2DB19}"/>
                </c:ext>
              </c:extLst>
            </c:dLbl>
            <c:dLbl>
              <c:idx val="3"/>
              <c:layout>
                <c:manualLayout>
                  <c:x val="-1.0185067526415994E-16"/>
                  <c:y val="0.138312586445366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244-4C9C-A5CF-E2C3ECD2DB19}"/>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Arkusz6!$A$94:$A$97</c:f>
              <c:strCache>
                <c:ptCount val="4"/>
                <c:pt idx="0">
                  <c:v>Olsztyn</c:v>
                </c:pt>
                <c:pt idx="1">
                  <c:v>Białystok</c:v>
                </c:pt>
                <c:pt idx="2">
                  <c:v>Rzeszów</c:v>
                </c:pt>
                <c:pt idx="3">
                  <c:v>Lublin</c:v>
                </c:pt>
              </c:strCache>
            </c:strRef>
          </c:cat>
          <c:val>
            <c:numRef>
              <c:f>Arkusz6!$C$94:$C$97</c:f>
              <c:numCache>
                <c:formatCode>0.0</c:formatCode>
                <c:ptCount val="4"/>
                <c:pt idx="0">
                  <c:v>15</c:v>
                </c:pt>
                <c:pt idx="1">
                  <c:v>13.5</c:v>
                </c:pt>
                <c:pt idx="2" formatCode="General">
                  <c:v>16.899999999999999</c:v>
                </c:pt>
                <c:pt idx="3">
                  <c:v>16</c:v>
                </c:pt>
              </c:numCache>
            </c:numRef>
          </c:val>
          <c:extLst>
            <c:ext xmlns:c16="http://schemas.microsoft.com/office/drawing/2014/chart" uri="{C3380CC4-5D6E-409C-BE32-E72D297353CC}">
              <c16:uniqueId val="{00000009-0244-4C9C-A5CF-E2C3ECD2DB19}"/>
            </c:ext>
          </c:extLst>
        </c:ser>
        <c:dLbls>
          <c:showLegendKey val="0"/>
          <c:showVal val="0"/>
          <c:showCatName val="0"/>
          <c:showSerName val="0"/>
          <c:showPercent val="0"/>
          <c:showBubbleSize val="0"/>
        </c:dLbls>
        <c:gapWidth val="219"/>
        <c:overlap val="-27"/>
        <c:axId val="501961216"/>
        <c:axId val="501963512"/>
      </c:barChart>
      <c:catAx>
        <c:axId val="501961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01963512"/>
        <c:crosses val="autoZero"/>
        <c:auto val="1"/>
        <c:lblAlgn val="ctr"/>
        <c:lblOffset val="100"/>
        <c:noMultiLvlLbl val="0"/>
      </c:catAx>
      <c:valAx>
        <c:axId val="501963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01961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Arkusz6!$B$109</c:f>
              <c:strCache>
                <c:ptCount val="1"/>
                <c:pt idx="0">
                  <c:v>2013</c:v>
                </c:pt>
              </c:strCache>
            </c:strRef>
          </c:tx>
          <c:spPr>
            <a:solidFill>
              <a:schemeClr val="accent1"/>
            </a:solidFill>
            <a:ln>
              <a:noFill/>
            </a:ln>
            <a:effectLst/>
          </c:spPr>
          <c:invertIfNegative val="0"/>
          <c:dLbls>
            <c:dLbl>
              <c:idx val="0"/>
              <c:layout>
                <c:manualLayout>
                  <c:x val="-2.551582678851606E-17"/>
                  <c:y val="0.167979002624671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445-482F-A5DA-93AABBD0BBE9}"/>
                </c:ext>
              </c:extLst>
            </c:dLbl>
            <c:dLbl>
              <c:idx val="1"/>
              <c:layout>
                <c:manualLayout>
                  <c:x val="-2.7835768963118115E-3"/>
                  <c:y val="0.157480314960629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445-482F-A5DA-93AABBD0BBE9}"/>
                </c:ext>
              </c:extLst>
            </c:dLbl>
            <c:dLbl>
              <c:idx val="2"/>
              <c:layout>
                <c:manualLayout>
                  <c:x val="0"/>
                  <c:y val="0.1679790026246718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445-482F-A5DA-93AABBD0BBE9}"/>
                </c:ext>
              </c:extLst>
            </c:dLbl>
            <c:dLbl>
              <c:idx val="3"/>
              <c:layout>
                <c:manualLayout>
                  <c:x val="-1.0206330715406424E-16"/>
                  <c:y val="0.167979002624671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445-482F-A5DA-93AABBD0BBE9}"/>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Arkusz6!$A$110:$A$113</c:f>
              <c:strCache>
                <c:ptCount val="4"/>
                <c:pt idx="0">
                  <c:v>Olsztyn</c:v>
                </c:pt>
                <c:pt idx="1">
                  <c:v>Białystok</c:v>
                </c:pt>
                <c:pt idx="2">
                  <c:v>Rzeszów</c:v>
                </c:pt>
                <c:pt idx="3">
                  <c:v>Lublin</c:v>
                </c:pt>
              </c:strCache>
            </c:strRef>
          </c:cat>
          <c:val>
            <c:numRef>
              <c:f>Arkusz6!$B$110:$B$113</c:f>
              <c:numCache>
                <c:formatCode>#,##0</c:formatCode>
                <c:ptCount val="4"/>
                <c:pt idx="0">
                  <c:v>2139</c:v>
                </c:pt>
                <c:pt idx="1">
                  <c:v>2622</c:v>
                </c:pt>
                <c:pt idx="2">
                  <c:v>3277</c:v>
                </c:pt>
                <c:pt idx="3">
                  <c:v>3675</c:v>
                </c:pt>
              </c:numCache>
            </c:numRef>
          </c:val>
          <c:extLst>
            <c:ext xmlns:c16="http://schemas.microsoft.com/office/drawing/2014/chart" uri="{C3380CC4-5D6E-409C-BE32-E72D297353CC}">
              <c16:uniqueId val="{00000004-5445-482F-A5DA-93AABBD0BBE9}"/>
            </c:ext>
          </c:extLst>
        </c:ser>
        <c:ser>
          <c:idx val="1"/>
          <c:order val="1"/>
          <c:tx>
            <c:strRef>
              <c:f>Arkusz6!$C$109</c:f>
              <c:strCache>
                <c:ptCount val="1"/>
                <c:pt idx="0">
                  <c:v>2019</c:v>
                </c:pt>
              </c:strCache>
            </c:strRef>
          </c:tx>
          <c:spPr>
            <a:solidFill>
              <a:schemeClr val="accent2"/>
            </a:solidFill>
            <a:ln>
              <a:noFill/>
            </a:ln>
            <a:effectLst/>
          </c:spPr>
          <c:invertIfNegative val="0"/>
          <c:dLbls>
            <c:dLbl>
              <c:idx val="0"/>
              <c:layout>
                <c:manualLayout>
                  <c:x val="-2.551582678851606E-17"/>
                  <c:y val="0.141732283464566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445-482F-A5DA-93AABBD0BBE9}"/>
                </c:ext>
              </c:extLst>
            </c:dLbl>
            <c:dLbl>
              <c:idx val="1"/>
              <c:layout>
                <c:manualLayout>
                  <c:x val="-2.7835768963117608E-3"/>
                  <c:y val="0.1574803149606299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445-482F-A5DA-93AABBD0BBE9}"/>
                </c:ext>
              </c:extLst>
            </c:dLbl>
            <c:dLbl>
              <c:idx val="2"/>
              <c:layout>
                <c:manualLayout>
                  <c:x val="0"/>
                  <c:y val="0.1574803149606299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445-482F-A5DA-93AABBD0BBE9}"/>
                </c:ext>
              </c:extLst>
            </c:dLbl>
            <c:dLbl>
              <c:idx val="3"/>
              <c:layout>
                <c:manualLayout>
                  <c:x val="-2.7835768963117608E-3"/>
                  <c:y val="0.1732283464566928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445-482F-A5DA-93AABBD0BBE9}"/>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Arkusz6!$A$110:$A$113</c:f>
              <c:strCache>
                <c:ptCount val="4"/>
                <c:pt idx="0">
                  <c:v>Olsztyn</c:v>
                </c:pt>
                <c:pt idx="1">
                  <c:v>Białystok</c:v>
                </c:pt>
                <c:pt idx="2">
                  <c:v>Rzeszów</c:v>
                </c:pt>
                <c:pt idx="3">
                  <c:v>Lublin</c:v>
                </c:pt>
              </c:strCache>
            </c:strRef>
          </c:cat>
          <c:val>
            <c:numRef>
              <c:f>Arkusz6!$C$110:$C$113</c:f>
              <c:numCache>
                <c:formatCode>#,##0</c:formatCode>
                <c:ptCount val="4"/>
                <c:pt idx="0">
                  <c:v>1072</c:v>
                </c:pt>
                <c:pt idx="1">
                  <c:v>1732</c:v>
                </c:pt>
                <c:pt idx="2">
                  <c:v>3482</c:v>
                </c:pt>
                <c:pt idx="3">
                  <c:v>2453</c:v>
                </c:pt>
              </c:numCache>
            </c:numRef>
          </c:val>
          <c:extLst>
            <c:ext xmlns:c16="http://schemas.microsoft.com/office/drawing/2014/chart" uri="{C3380CC4-5D6E-409C-BE32-E72D297353CC}">
              <c16:uniqueId val="{00000009-5445-482F-A5DA-93AABBD0BBE9}"/>
            </c:ext>
          </c:extLst>
        </c:ser>
        <c:dLbls>
          <c:showLegendKey val="0"/>
          <c:showVal val="0"/>
          <c:showCatName val="0"/>
          <c:showSerName val="0"/>
          <c:showPercent val="0"/>
          <c:showBubbleSize val="0"/>
        </c:dLbls>
        <c:gapWidth val="219"/>
        <c:overlap val="-27"/>
        <c:axId val="501937928"/>
        <c:axId val="501942848"/>
      </c:barChart>
      <c:catAx>
        <c:axId val="501937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01942848"/>
        <c:crosses val="autoZero"/>
        <c:auto val="1"/>
        <c:lblAlgn val="ctr"/>
        <c:lblOffset val="100"/>
        <c:noMultiLvlLbl val="0"/>
      </c:catAx>
      <c:valAx>
        <c:axId val="501942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01937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Arkusz6!$B$18</c:f>
              <c:strCache>
                <c:ptCount val="1"/>
                <c:pt idx="0">
                  <c:v>2013</c:v>
                </c:pt>
              </c:strCache>
            </c:strRef>
          </c:tx>
          <c:spPr>
            <a:solidFill>
              <a:schemeClr val="accent1"/>
            </a:solidFill>
            <a:ln>
              <a:noFill/>
            </a:ln>
            <a:effectLst/>
          </c:spPr>
          <c:invertIfNegative val="0"/>
          <c:dLbls>
            <c:dLbl>
              <c:idx val="0"/>
              <c:layout>
                <c:manualLayout>
                  <c:x val="2.7835768963117352E-3"/>
                  <c:y val="0.133891213389121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93B-438A-98D2-ACF0DFCA5FDA}"/>
                </c:ext>
              </c:extLst>
            </c:dLbl>
            <c:dLbl>
              <c:idx val="1"/>
              <c:layout>
                <c:manualLayout>
                  <c:x val="-5.1031653577032119E-17"/>
                  <c:y val="0.1283124128312412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93B-438A-98D2-ACF0DFCA5FDA}"/>
                </c:ext>
              </c:extLst>
            </c:dLbl>
            <c:dLbl>
              <c:idx val="2"/>
              <c:layout>
                <c:manualLayout>
                  <c:x val="-1.0206330715406424E-16"/>
                  <c:y val="0.133891213389121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93B-438A-98D2-ACF0DFCA5FDA}"/>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Arkusz6!$A$19:$A$21</c:f>
              <c:strCache>
                <c:ptCount val="3"/>
                <c:pt idx="0">
                  <c:v>Olsztyn</c:v>
                </c:pt>
                <c:pt idx="1">
                  <c:v>Rzeszów</c:v>
                </c:pt>
                <c:pt idx="2">
                  <c:v>Lublin</c:v>
                </c:pt>
              </c:strCache>
            </c:strRef>
          </c:cat>
          <c:val>
            <c:numRef>
              <c:f>Arkusz6!$B$19:$B$21</c:f>
              <c:numCache>
                <c:formatCode>0.0</c:formatCode>
                <c:ptCount val="3"/>
                <c:pt idx="0" formatCode="General">
                  <c:v>0.8</c:v>
                </c:pt>
                <c:pt idx="1">
                  <c:v>2</c:v>
                </c:pt>
                <c:pt idx="2" formatCode="General">
                  <c:v>1.6</c:v>
                </c:pt>
              </c:numCache>
            </c:numRef>
          </c:val>
          <c:extLst>
            <c:ext xmlns:c16="http://schemas.microsoft.com/office/drawing/2014/chart" uri="{C3380CC4-5D6E-409C-BE32-E72D297353CC}">
              <c16:uniqueId val="{00000003-B93B-438A-98D2-ACF0DFCA5FDA}"/>
            </c:ext>
          </c:extLst>
        </c:ser>
        <c:ser>
          <c:idx val="1"/>
          <c:order val="1"/>
          <c:tx>
            <c:strRef>
              <c:f>Arkusz6!$C$18</c:f>
              <c:strCache>
                <c:ptCount val="1"/>
                <c:pt idx="0">
                  <c:v>2019</c:v>
                </c:pt>
              </c:strCache>
            </c:strRef>
          </c:tx>
          <c:spPr>
            <a:solidFill>
              <a:schemeClr val="accent2"/>
            </a:solidFill>
            <a:ln>
              <a:noFill/>
            </a:ln>
            <a:effectLst/>
          </c:spPr>
          <c:invertIfNegative val="0"/>
          <c:dLbls>
            <c:dLbl>
              <c:idx val="0"/>
              <c:layout>
                <c:manualLayout>
                  <c:x val="0"/>
                  <c:y val="0.117154811715481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93B-438A-98D2-ACF0DFCA5FDA}"/>
                </c:ext>
              </c:extLst>
            </c:dLbl>
            <c:dLbl>
              <c:idx val="1"/>
              <c:layout>
                <c:manualLayout>
                  <c:x val="0"/>
                  <c:y val="0.117154811715481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93B-438A-98D2-ACF0DFCA5FDA}"/>
                </c:ext>
              </c:extLst>
            </c:dLbl>
            <c:dLbl>
              <c:idx val="2"/>
              <c:layout>
                <c:manualLayout>
                  <c:x val="-1.0206330715406424E-16"/>
                  <c:y val="0.117154811715481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93B-438A-98D2-ACF0DFCA5FDA}"/>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Arkusz6!$A$19:$A$21</c:f>
              <c:strCache>
                <c:ptCount val="3"/>
                <c:pt idx="0">
                  <c:v>Olsztyn</c:v>
                </c:pt>
                <c:pt idx="1">
                  <c:v>Rzeszów</c:v>
                </c:pt>
                <c:pt idx="2">
                  <c:v>Lublin</c:v>
                </c:pt>
              </c:strCache>
            </c:strRef>
          </c:cat>
          <c:val>
            <c:numRef>
              <c:f>Arkusz6!$C$19:$C$21</c:f>
              <c:numCache>
                <c:formatCode>General</c:formatCode>
                <c:ptCount val="3"/>
                <c:pt idx="0">
                  <c:v>0.7</c:v>
                </c:pt>
                <c:pt idx="1">
                  <c:v>1.2</c:v>
                </c:pt>
                <c:pt idx="2">
                  <c:v>1.6</c:v>
                </c:pt>
              </c:numCache>
            </c:numRef>
          </c:val>
          <c:extLst>
            <c:ext xmlns:c16="http://schemas.microsoft.com/office/drawing/2014/chart" uri="{C3380CC4-5D6E-409C-BE32-E72D297353CC}">
              <c16:uniqueId val="{00000007-B93B-438A-98D2-ACF0DFCA5FDA}"/>
            </c:ext>
          </c:extLst>
        </c:ser>
        <c:dLbls>
          <c:showLegendKey val="0"/>
          <c:showVal val="0"/>
          <c:showCatName val="0"/>
          <c:showSerName val="0"/>
          <c:showPercent val="0"/>
          <c:showBubbleSize val="0"/>
        </c:dLbls>
        <c:gapWidth val="219"/>
        <c:overlap val="-27"/>
        <c:axId val="501842336"/>
        <c:axId val="501841680"/>
      </c:barChart>
      <c:catAx>
        <c:axId val="501842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01841680"/>
        <c:crosses val="autoZero"/>
        <c:auto val="1"/>
        <c:lblAlgn val="ctr"/>
        <c:lblOffset val="100"/>
        <c:noMultiLvlLbl val="0"/>
      </c:catAx>
      <c:valAx>
        <c:axId val="501841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01842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prognoza!$F$149</c:f>
              <c:strCache>
                <c:ptCount val="1"/>
                <c:pt idx="0">
                  <c:v>ogółem</c:v>
                </c:pt>
              </c:strCache>
            </c:strRef>
          </c:tx>
          <c:spPr>
            <a:solidFill>
              <a:schemeClr val="accent1"/>
            </a:solidFill>
            <a:ln>
              <a:noFill/>
            </a:ln>
            <a:effectLst/>
          </c:spPr>
          <c:invertIfNegative val="0"/>
          <c:dLbls>
            <c:dLbl>
              <c:idx val="0"/>
              <c:layout>
                <c:manualLayout>
                  <c:x val="0"/>
                  <c:y val="0.180555555555555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13B-4AFF-B98B-FA63C55A1FB4}"/>
                </c:ext>
              </c:extLst>
            </c:dLbl>
            <c:dLbl>
              <c:idx val="1"/>
              <c:layout>
                <c:manualLayout>
                  <c:x val="-5.0925337632079971E-17"/>
                  <c:y val="0.175925925925925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13B-4AFF-B98B-FA63C55A1FB4}"/>
                </c:ext>
              </c:extLst>
            </c:dLbl>
            <c:dLbl>
              <c:idx val="2"/>
              <c:layout>
                <c:manualLayout>
                  <c:x val="0"/>
                  <c:y val="0.180555555555555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13B-4AFF-B98B-FA63C55A1FB4}"/>
                </c:ext>
              </c:extLst>
            </c:dLbl>
            <c:dLbl>
              <c:idx val="3"/>
              <c:layout>
                <c:manualLayout>
                  <c:x val="-1.0185067526415994E-16"/>
                  <c:y val="0.1805555555555556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13B-4AFF-B98B-FA63C55A1FB4}"/>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prognoza!$G$148:$J$148</c:f>
              <c:numCache>
                <c:formatCode>0</c:formatCode>
                <c:ptCount val="4"/>
                <c:pt idx="0">
                  <c:v>2019</c:v>
                </c:pt>
                <c:pt idx="1">
                  <c:v>2020</c:v>
                </c:pt>
                <c:pt idx="2">
                  <c:v>2025</c:v>
                </c:pt>
                <c:pt idx="3">
                  <c:v>2030</c:v>
                </c:pt>
              </c:numCache>
            </c:numRef>
          </c:cat>
          <c:val>
            <c:numRef>
              <c:f>prognoza!$G$149:$J$149</c:f>
              <c:numCache>
                <c:formatCode>#,##0</c:formatCode>
                <c:ptCount val="4"/>
                <c:pt idx="0">
                  <c:v>172604</c:v>
                </c:pt>
                <c:pt idx="1">
                  <c:v>172440</c:v>
                </c:pt>
                <c:pt idx="2">
                  <c:v>171154</c:v>
                </c:pt>
                <c:pt idx="3">
                  <c:v>169063</c:v>
                </c:pt>
              </c:numCache>
            </c:numRef>
          </c:val>
          <c:extLst>
            <c:ext xmlns:c16="http://schemas.microsoft.com/office/drawing/2014/chart" uri="{C3380CC4-5D6E-409C-BE32-E72D297353CC}">
              <c16:uniqueId val="{00000004-E13B-4AFF-B98B-FA63C55A1FB4}"/>
            </c:ext>
          </c:extLst>
        </c:ser>
        <c:ser>
          <c:idx val="1"/>
          <c:order val="1"/>
          <c:tx>
            <c:strRef>
              <c:f>prognoza!$F$150</c:f>
              <c:strCache>
                <c:ptCount val="1"/>
                <c:pt idx="0">
                  <c:v>mężczyźni</c:v>
                </c:pt>
              </c:strCache>
            </c:strRef>
          </c:tx>
          <c:spPr>
            <a:solidFill>
              <a:schemeClr val="accent2"/>
            </a:solidFill>
            <a:ln>
              <a:noFill/>
            </a:ln>
            <a:effectLst/>
          </c:spPr>
          <c:invertIfNegative val="0"/>
          <c:dLbls>
            <c:dLbl>
              <c:idx val="0"/>
              <c:layout>
                <c:manualLayout>
                  <c:x val="0"/>
                  <c:y val="0.162037037037037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13B-4AFF-B98B-FA63C55A1FB4}"/>
                </c:ext>
              </c:extLst>
            </c:dLbl>
            <c:dLbl>
              <c:idx val="1"/>
              <c:layout>
                <c:manualLayout>
                  <c:x val="-5.0925337632079971E-17"/>
                  <c:y val="0.152777777777777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13B-4AFF-B98B-FA63C55A1FB4}"/>
                </c:ext>
              </c:extLst>
            </c:dLbl>
            <c:dLbl>
              <c:idx val="2"/>
              <c:layout>
                <c:manualLayout>
                  <c:x val="0"/>
                  <c:y val="0.152777777777777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13B-4AFF-B98B-FA63C55A1FB4}"/>
                </c:ext>
              </c:extLst>
            </c:dLbl>
            <c:dLbl>
              <c:idx val="3"/>
              <c:layout>
                <c:manualLayout>
                  <c:x val="0"/>
                  <c:y val="0.152777777777777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13B-4AFF-B98B-FA63C55A1FB4}"/>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prognoza!$G$148:$J$148</c:f>
              <c:numCache>
                <c:formatCode>0</c:formatCode>
                <c:ptCount val="4"/>
                <c:pt idx="0">
                  <c:v>2019</c:v>
                </c:pt>
                <c:pt idx="1">
                  <c:v>2020</c:v>
                </c:pt>
                <c:pt idx="2">
                  <c:v>2025</c:v>
                </c:pt>
                <c:pt idx="3">
                  <c:v>2030</c:v>
                </c:pt>
              </c:numCache>
            </c:numRef>
          </c:cat>
          <c:val>
            <c:numRef>
              <c:f>prognoza!$G$150:$J$150</c:f>
              <c:numCache>
                <c:formatCode>#,##0</c:formatCode>
                <c:ptCount val="4"/>
                <c:pt idx="0">
                  <c:v>80121</c:v>
                </c:pt>
                <c:pt idx="1">
                  <c:v>79997</c:v>
                </c:pt>
                <c:pt idx="2">
                  <c:v>79175</c:v>
                </c:pt>
                <c:pt idx="3">
                  <c:v>78014</c:v>
                </c:pt>
              </c:numCache>
            </c:numRef>
          </c:val>
          <c:extLst>
            <c:ext xmlns:c16="http://schemas.microsoft.com/office/drawing/2014/chart" uri="{C3380CC4-5D6E-409C-BE32-E72D297353CC}">
              <c16:uniqueId val="{00000009-E13B-4AFF-B98B-FA63C55A1FB4}"/>
            </c:ext>
          </c:extLst>
        </c:ser>
        <c:ser>
          <c:idx val="2"/>
          <c:order val="2"/>
          <c:tx>
            <c:strRef>
              <c:f>prognoza!$F$151</c:f>
              <c:strCache>
                <c:ptCount val="1"/>
                <c:pt idx="0">
                  <c:v>kobiety</c:v>
                </c:pt>
              </c:strCache>
            </c:strRef>
          </c:tx>
          <c:spPr>
            <a:solidFill>
              <a:schemeClr val="accent3"/>
            </a:solidFill>
            <a:ln>
              <a:noFill/>
            </a:ln>
            <a:effectLst/>
          </c:spPr>
          <c:invertIfNegative val="0"/>
          <c:dLbls>
            <c:dLbl>
              <c:idx val="0"/>
              <c:layout>
                <c:manualLayout>
                  <c:x val="0"/>
                  <c:y val="0.157407407407407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13B-4AFF-B98B-FA63C55A1FB4}"/>
                </c:ext>
              </c:extLst>
            </c:dLbl>
            <c:dLbl>
              <c:idx val="1"/>
              <c:layout>
                <c:manualLayout>
                  <c:x val="0"/>
                  <c:y val="0.152777777777777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13B-4AFF-B98B-FA63C55A1FB4}"/>
                </c:ext>
              </c:extLst>
            </c:dLbl>
            <c:dLbl>
              <c:idx val="2"/>
              <c:layout>
                <c:manualLayout>
                  <c:x val="0"/>
                  <c:y val="0.157407407407407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13B-4AFF-B98B-FA63C55A1FB4}"/>
                </c:ext>
              </c:extLst>
            </c:dLbl>
            <c:dLbl>
              <c:idx val="3"/>
              <c:layout>
                <c:manualLayout>
                  <c:x val="-1.0185067526415994E-16"/>
                  <c:y val="0.162037037037037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13B-4AFF-B98B-FA63C55A1FB4}"/>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prognoza!$G$148:$J$148</c:f>
              <c:numCache>
                <c:formatCode>0</c:formatCode>
                <c:ptCount val="4"/>
                <c:pt idx="0">
                  <c:v>2019</c:v>
                </c:pt>
                <c:pt idx="1">
                  <c:v>2020</c:v>
                </c:pt>
                <c:pt idx="2">
                  <c:v>2025</c:v>
                </c:pt>
                <c:pt idx="3">
                  <c:v>2030</c:v>
                </c:pt>
              </c:numCache>
            </c:numRef>
          </c:cat>
          <c:val>
            <c:numRef>
              <c:f>prognoza!$G$151:$J$151</c:f>
              <c:numCache>
                <c:formatCode>#,##0</c:formatCode>
                <c:ptCount val="4"/>
                <c:pt idx="0">
                  <c:v>92483</c:v>
                </c:pt>
                <c:pt idx="1">
                  <c:v>92443</c:v>
                </c:pt>
                <c:pt idx="2">
                  <c:v>91979</c:v>
                </c:pt>
                <c:pt idx="3">
                  <c:v>91049</c:v>
                </c:pt>
              </c:numCache>
            </c:numRef>
          </c:val>
          <c:extLst>
            <c:ext xmlns:c16="http://schemas.microsoft.com/office/drawing/2014/chart" uri="{C3380CC4-5D6E-409C-BE32-E72D297353CC}">
              <c16:uniqueId val="{0000000E-E13B-4AFF-B98B-FA63C55A1FB4}"/>
            </c:ext>
          </c:extLst>
        </c:ser>
        <c:dLbls>
          <c:showLegendKey val="0"/>
          <c:showVal val="0"/>
          <c:showCatName val="0"/>
          <c:showSerName val="0"/>
          <c:showPercent val="0"/>
          <c:showBubbleSize val="0"/>
        </c:dLbls>
        <c:gapWidth val="219"/>
        <c:overlap val="-27"/>
        <c:axId val="438466376"/>
        <c:axId val="438467360"/>
      </c:barChart>
      <c:catAx>
        <c:axId val="438466376"/>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38467360"/>
        <c:crosses val="autoZero"/>
        <c:auto val="1"/>
        <c:lblAlgn val="ctr"/>
        <c:lblOffset val="100"/>
        <c:noMultiLvlLbl val="0"/>
      </c:catAx>
      <c:valAx>
        <c:axId val="4384673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3846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Arkusz6!$B$62</c:f>
              <c:strCache>
                <c:ptCount val="1"/>
                <c:pt idx="0">
                  <c:v>2013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Arkusz6!$A$63:$A$66</c:f>
              <c:strCache>
                <c:ptCount val="4"/>
                <c:pt idx="0">
                  <c:v>Olsztyn</c:v>
                </c:pt>
                <c:pt idx="1">
                  <c:v>Białystok</c:v>
                </c:pt>
                <c:pt idx="2">
                  <c:v>Rzeszów</c:v>
                </c:pt>
                <c:pt idx="3">
                  <c:v>Lublin</c:v>
                </c:pt>
              </c:strCache>
            </c:strRef>
          </c:cat>
          <c:val>
            <c:numRef>
              <c:f>Arkusz6!$B$63:$B$66</c:f>
              <c:numCache>
                <c:formatCode>General</c:formatCode>
                <c:ptCount val="4"/>
                <c:pt idx="0">
                  <c:v>5.0000000000000001E-3</c:v>
                </c:pt>
                <c:pt idx="1">
                  <c:v>1.4E-2</c:v>
                </c:pt>
                <c:pt idx="2" formatCode="0.000">
                  <c:v>1.4999999999999999E-2</c:v>
                </c:pt>
                <c:pt idx="3">
                  <c:v>1.2E-2</c:v>
                </c:pt>
              </c:numCache>
            </c:numRef>
          </c:val>
          <c:extLst>
            <c:ext xmlns:c16="http://schemas.microsoft.com/office/drawing/2014/chart" uri="{C3380CC4-5D6E-409C-BE32-E72D297353CC}">
              <c16:uniqueId val="{00000000-7DEB-4EF4-8650-7C4AF615FC9D}"/>
            </c:ext>
          </c:extLst>
        </c:ser>
        <c:ser>
          <c:idx val="1"/>
          <c:order val="1"/>
          <c:tx>
            <c:strRef>
              <c:f>Arkusz6!$C$62</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Arkusz6!$A$63:$A$66</c:f>
              <c:strCache>
                <c:ptCount val="4"/>
                <c:pt idx="0">
                  <c:v>Olsztyn</c:v>
                </c:pt>
                <c:pt idx="1">
                  <c:v>Białystok</c:v>
                </c:pt>
                <c:pt idx="2">
                  <c:v>Rzeszów</c:v>
                </c:pt>
                <c:pt idx="3">
                  <c:v>Lublin</c:v>
                </c:pt>
              </c:strCache>
            </c:strRef>
          </c:cat>
          <c:val>
            <c:numRef>
              <c:f>Arkusz6!$C$63:$C$66</c:f>
              <c:numCache>
                <c:formatCode>General</c:formatCode>
                <c:ptCount val="4"/>
                <c:pt idx="0">
                  <c:v>4.0000000000000001E-3</c:v>
                </c:pt>
                <c:pt idx="1">
                  <c:v>3.0000000000000001E-3</c:v>
                </c:pt>
                <c:pt idx="2">
                  <c:v>8.0000000000000002E-3</c:v>
                </c:pt>
                <c:pt idx="3">
                  <c:v>5.0000000000000001E-3</c:v>
                </c:pt>
              </c:numCache>
            </c:numRef>
          </c:val>
          <c:extLst>
            <c:ext xmlns:c16="http://schemas.microsoft.com/office/drawing/2014/chart" uri="{C3380CC4-5D6E-409C-BE32-E72D297353CC}">
              <c16:uniqueId val="{00000001-7DEB-4EF4-8650-7C4AF615FC9D}"/>
            </c:ext>
          </c:extLst>
        </c:ser>
        <c:dLbls>
          <c:showLegendKey val="0"/>
          <c:showVal val="0"/>
          <c:showCatName val="0"/>
          <c:showSerName val="0"/>
          <c:showPercent val="0"/>
          <c:showBubbleSize val="0"/>
        </c:dLbls>
        <c:gapWidth val="219"/>
        <c:overlap val="-27"/>
        <c:axId val="531164960"/>
        <c:axId val="531165616"/>
      </c:barChart>
      <c:catAx>
        <c:axId val="531164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31165616"/>
        <c:crosses val="autoZero"/>
        <c:auto val="1"/>
        <c:lblAlgn val="ctr"/>
        <c:lblOffset val="100"/>
        <c:noMultiLvlLbl val="0"/>
      </c:catAx>
      <c:valAx>
        <c:axId val="531165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31164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Arkusz6!$B$2</c:f>
              <c:strCache>
                <c:ptCount val="1"/>
                <c:pt idx="0">
                  <c:v>2013</c:v>
                </c:pt>
              </c:strCache>
            </c:strRef>
          </c:tx>
          <c:spPr>
            <a:solidFill>
              <a:schemeClr val="accent1"/>
            </a:solidFill>
            <a:ln>
              <a:noFill/>
            </a:ln>
            <a:effectLst/>
          </c:spPr>
          <c:invertIfNegative val="0"/>
          <c:dLbls>
            <c:dLbl>
              <c:idx val="0"/>
              <c:layout>
                <c:manualLayout>
                  <c:x val="1.2838320411448732E-17"/>
                  <c:y val="0.130841121495327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32A-4FBE-B3A8-384CA282BDD1}"/>
                </c:ext>
              </c:extLst>
            </c:dLbl>
            <c:dLbl>
              <c:idx val="1"/>
              <c:layout>
                <c:manualLayout>
                  <c:x val="0"/>
                  <c:y val="0.130841121495327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32A-4FBE-B3A8-384CA282BDD1}"/>
                </c:ext>
              </c:extLst>
            </c:dLbl>
            <c:dLbl>
              <c:idx val="2"/>
              <c:layout>
                <c:manualLayout>
                  <c:x val="-2.8011204481792717E-3"/>
                  <c:y val="0.118380062305295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32A-4FBE-B3A8-384CA282BDD1}"/>
                </c:ext>
              </c:extLst>
            </c:dLbl>
            <c:dLbl>
              <c:idx val="3"/>
              <c:layout>
                <c:manualLayout>
                  <c:x val="0"/>
                  <c:y val="0.1183800623052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32A-4FBE-B3A8-384CA282BDD1}"/>
                </c:ext>
              </c:extLst>
            </c:dLbl>
            <c:dLbl>
              <c:idx val="4"/>
              <c:layout>
                <c:manualLayout>
                  <c:x val="-1.0270656329158986E-16"/>
                  <c:y val="0.124610591900311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32A-4FBE-B3A8-384CA282BDD1}"/>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Arkusz6!$A$3:$A$7</c:f>
              <c:strCache>
                <c:ptCount val="5"/>
                <c:pt idx="0">
                  <c:v>Olsztyn</c:v>
                </c:pt>
                <c:pt idx="1">
                  <c:v>Kielce</c:v>
                </c:pt>
                <c:pt idx="2">
                  <c:v>Białystok</c:v>
                </c:pt>
                <c:pt idx="3">
                  <c:v>Rzeszów</c:v>
                </c:pt>
                <c:pt idx="4">
                  <c:v>Lublin</c:v>
                </c:pt>
              </c:strCache>
            </c:strRef>
          </c:cat>
          <c:val>
            <c:numRef>
              <c:f>Arkusz6!$B$3:$B$7</c:f>
              <c:numCache>
                <c:formatCode>General</c:formatCode>
                <c:ptCount val="5"/>
                <c:pt idx="0">
                  <c:v>2.6</c:v>
                </c:pt>
                <c:pt idx="1">
                  <c:v>4.5999999999999996</c:v>
                </c:pt>
                <c:pt idx="2">
                  <c:v>1.7</c:v>
                </c:pt>
                <c:pt idx="3">
                  <c:v>3.7</c:v>
                </c:pt>
                <c:pt idx="4">
                  <c:v>1.1000000000000001</c:v>
                </c:pt>
              </c:numCache>
            </c:numRef>
          </c:val>
          <c:extLst>
            <c:ext xmlns:c16="http://schemas.microsoft.com/office/drawing/2014/chart" uri="{C3380CC4-5D6E-409C-BE32-E72D297353CC}">
              <c16:uniqueId val="{00000005-532A-4FBE-B3A8-384CA282BDD1}"/>
            </c:ext>
          </c:extLst>
        </c:ser>
        <c:ser>
          <c:idx val="1"/>
          <c:order val="1"/>
          <c:tx>
            <c:strRef>
              <c:f>Arkusz6!$C$2</c:f>
              <c:strCache>
                <c:ptCount val="1"/>
                <c:pt idx="0">
                  <c:v>2019</c:v>
                </c:pt>
              </c:strCache>
            </c:strRef>
          </c:tx>
          <c:spPr>
            <a:solidFill>
              <a:schemeClr val="accent2"/>
            </a:solidFill>
            <a:ln>
              <a:noFill/>
            </a:ln>
            <a:effectLst/>
          </c:spPr>
          <c:invertIfNegative val="0"/>
          <c:dLbls>
            <c:dLbl>
              <c:idx val="0"/>
              <c:layout>
                <c:manualLayout>
                  <c:x val="0"/>
                  <c:y val="0.105919003115264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618-4459-9FB2-56DB8304465F}"/>
                </c:ext>
              </c:extLst>
            </c:dLbl>
            <c:dLbl>
              <c:idx val="1"/>
              <c:layout>
                <c:manualLayout>
                  <c:x val="0"/>
                  <c:y val="0.124610591900311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32A-4FBE-B3A8-384CA282BDD1}"/>
                </c:ext>
              </c:extLst>
            </c:dLbl>
            <c:dLbl>
              <c:idx val="2"/>
              <c:layout>
                <c:manualLayout>
                  <c:x val="0"/>
                  <c:y val="0.105919003115264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618-4459-9FB2-56DB8304465F}"/>
                </c:ext>
              </c:extLst>
            </c:dLbl>
            <c:dLbl>
              <c:idx val="3"/>
              <c:layout>
                <c:manualLayout>
                  <c:x val="0"/>
                  <c:y val="0.124610591900311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32A-4FBE-B3A8-384CA282BDD1}"/>
                </c:ext>
              </c:extLst>
            </c:dLbl>
            <c:dLbl>
              <c:idx val="4"/>
              <c:layout>
                <c:manualLayout>
                  <c:x val="-1.0270656329158986E-16"/>
                  <c:y val="0.130841121495327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32A-4FBE-B3A8-384CA282BDD1}"/>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Arkusz6!$A$3:$A$7</c:f>
              <c:strCache>
                <c:ptCount val="5"/>
                <c:pt idx="0">
                  <c:v>Olsztyn</c:v>
                </c:pt>
                <c:pt idx="1">
                  <c:v>Kielce</c:v>
                </c:pt>
                <c:pt idx="2">
                  <c:v>Białystok</c:v>
                </c:pt>
                <c:pt idx="3">
                  <c:v>Rzeszów</c:v>
                </c:pt>
                <c:pt idx="4">
                  <c:v>Lublin</c:v>
                </c:pt>
              </c:strCache>
            </c:strRef>
          </c:cat>
          <c:val>
            <c:numRef>
              <c:f>Arkusz6!$C$3:$C$7</c:f>
              <c:numCache>
                <c:formatCode>General</c:formatCode>
                <c:ptCount val="5"/>
                <c:pt idx="0">
                  <c:v>0.9</c:v>
                </c:pt>
                <c:pt idx="1">
                  <c:v>3.5</c:v>
                </c:pt>
                <c:pt idx="2">
                  <c:v>0.9</c:v>
                </c:pt>
                <c:pt idx="3">
                  <c:v>2.4</c:v>
                </c:pt>
                <c:pt idx="4">
                  <c:v>1.6</c:v>
                </c:pt>
              </c:numCache>
            </c:numRef>
          </c:val>
          <c:extLst>
            <c:ext xmlns:c16="http://schemas.microsoft.com/office/drawing/2014/chart" uri="{C3380CC4-5D6E-409C-BE32-E72D297353CC}">
              <c16:uniqueId val="{00000009-532A-4FBE-B3A8-384CA282BDD1}"/>
            </c:ext>
          </c:extLst>
        </c:ser>
        <c:dLbls>
          <c:showLegendKey val="0"/>
          <c:showVal val="0"/>
          <c:showCatName val="0"/>
          <c:showSerName val="0"/>
          <c:showPercent val="0"/>
          <c:showBubbleSize val="0"/>
        </c:dLbls>
        <c:gapWidth val="219"/>
        <c:overlap val="-27"/>
        <c:axId val="501803960"/>
        <c:axId val="501799040"/>
      </c:barChart>
      <c:catAx>
        <c:axId val="501803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01799040"/>
        <c:crosses val="autoZero"/>
        <c:auto val="1"/>
        <c:lblAlgn val="ctr"/>
        <c:lblOffset val="100"/>
        <c:noMultiLvlLbl val="0"/>
      </c:catAx>
      <c:valAx>
        <c:axId val="501799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501803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layout>
                <c:manualLayout>
                  <c:x val="0"/>
                  <c:y val="0.1428215068537965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A38-4B1F-9749-AFF23C54FC77}"/>
                </c:ext>
              </c:extLst>
            </c:dLbl>
            <c:dLbl>
              <c:idx val="1"/>
              <c:layout>
                <c:manualLayout>
                  <c:x val="0"/>
                  <c:y val="0.149313393528969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A38-4B1F-9749-AFF23C54FC77}"/>
                </c:ext>
              </c:extLst>
            </c:dLbl>
            <c:dLbl>
              <c:idx val="2"/>
              <c:layout>
                <c:manualLayout>
                  <c:x val="0"/>
                  <c:y val="0.136329620178624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A38-4B1F-9749-AFF23C54FC77}"/>
                </c:ext>
              </c:extLst>
            </c:dLbl>
            <c:dLbl>
              <c:idx val="3"/>
              <c:layout>
                <c:manualLayout>
                  <c:x val="0"/>
                  <c:y val="0.162297166879314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A38-4B1F-9749-AFF23C54FC77}"/>
                </c:ext>
              </c:extLst>
            </c:dLbl>
            <c:dLbl>
              <c:idx val="4"/>
              <c:layout>
                <c:manualLayout>
                  <c:x val="-1.2535467724819686E-16"/>
                  <c:y val="0.149313393528969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A38-4B1F-9749-AFF23C54FC77}"/>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Arkusz1!$A$3:$A$7</c:f>
              <c:strCache>
                <c:ptCount val="5"/>
                <c:pt idx="0">
                  <c:v>Olsztyn</c:v>
                </c:pt>
                <c:pt idx="1">
                  <c:v>Kielce</c:v>
                </c:pt>
                <c:pt idx="2">
                  <c:v>Białystok</c:v>
                </c:pt>
                <c:pt idx="3">
                  <c:v>Rzeszów</c:v>
                </c:pt>
                <c:pt idx="4">
                  <c:v>Lublin</c:v>
                </c:pt>
              </c:strCache>
            </c:strRef>
          </c:cat>
          <c:val>
            <c:numRef>
              <c:f>Arkusz1!$B$3:$B$7</c:f>
              <c:numCache>
                <c:formatCode>General</c:formatCode>
                <c:ptCount val="5"/>
                <c:pt idx="0">
                  <c:v>9.6</c:v>
                </c:pt>
                <c:pt idx="1">
                  <c:v>9.8000000000000007</c:v>
                </c:pt>
                <c:pt idx="2">
                  <c:v>9.1999999999999993</c:v>
                </c:pt>
                <c:pt idx="3">
                  <c:v>10.5</c:v>
                </c:pt>
                <c:pt idx="4">
                  <c:v>9.9</c:v>
                </c:pt>
              </c:numCache>
            </c:numRef>
          </c:val>
          <c:extLst>
            <c:ext xmlns:c16="http://schemas.microsoft.com/office/drawing/2014/chart" uri="{C3380CC4-5D6E-409C-BE32-E72D297353CC}">
              <c16:uniqueId val="{00000005-5A38-4B1F-9749-AFF23C54FC77}"/>
            </c:ext>
          </c:extLst>
        </c:ser>
        <c:dLbls>
          <c:showLegendKey val="0"/>
          <c:showVal val="0"/>
          <c:showCatName val="0"/>
          <c:showSerName val="0"/>
          <c:showPercent val="0"/>
          <c:showBubbleSize val="0"/>
        </c:dLbls>
        <c:gapWidth val="219"/>
        <c:overlap val="-27"/>
        <c:axId val="797688864"/>
        <c:axId val="797689648"/>
      </c:barChart>
      <c:catAx>
        <c:axId val="797688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797689648"/>
        <c:crosses val="autoZero"/>
        <c:auto val="1"/>
        <c:lblAlgn val="ctr"/>
        <c:lblOffset val="100"/>
        <c:noMultiLvlLbl val="0"/>
      </c:catAx>
      <c:valAx>
        <c:axId val="797689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7976888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r>
              <a:rPr lang="pl-PL" sz="1100"/>
              <a:t>Średnia roczna suma opadów atmosferycznych </a:t>
            </a:r>
          </a:p>
          <a:p>
            <a:pPr>
              <a:defRPr sz="1100"/>
            </a:pPr>
            <a:r>
              <a:rPr lang="pl-PL" sz="1100"/>
              <a:t>w roku 2019 (mm)</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endParaRPr lang="pl-PL"/>
        </a:p>
      </c:txPr>
    </c:title>
    <c:autoTitleDeleted val="0"/>
    <c:plotArea>
      <c:layout/>
      <c:barChart>
        <c:barDir val="col"/>
        <c:grouping val="clustered"/>
        <c:varyColors val="0"/>
        <c:ser>
          <c:idx val="0"/>
          <c:order val="0"/>
          <c:spPr>
            <a:solidFill>
              <a:schemeClr val="accent1"/>
            </a:solidFill>
            <a:ln>
              <a:noFill/>
            </a:ln>
            <a:effectLst/>
          </c:spPr>
          <c:invertIfNegative val="0"/>
          <c:dLbls>
            <c:dLbl>
              <c:idx val="0"/>
              <c:layout>
                <c:manualLayout>
                  <c:x val="-2.9560383184929139E-17"/>
                  <c:y val="0.199157370913614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55C-4C8D-A3FE-252418AFB9CC}"/>
                </c:ext>
              </c:extLst>
            </c:dLbl>
            <c:dLbl>
              <c:idx val="1"/>
              <c:layout>
                <c:manualLayout>
                  <c:x val="-5.9120766369858278E-17"/>
                  <c:y val="0.199157370913614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55C-4C8D-A3FE-252418AFB9CC}"/>
                </c:ext>
              </c:extLst>
            </c:dLbl>
            <c:dLbl>
              <c:idx val="2"/>
              <c:layout>
                <c:manualLayout>
                  <c:x val="-5.9120766369858278E-17"/>
                  <c:y val="0.205795949944068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55C-4C8D-A3FE-252418AFB9CC}"/>
                </c:ext>
              </c:extLst>
            </c:dLbl>
            <c:dLbl>
              <c:idx val="3"/>
              <c:layout>
                <c:manualLayout>
                  <c:x val="-1.1824153273971656E-16"/>
                  <c:y val="0.205795949944068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55C-4C8D-A3FE-252418AFB9CC}"/>
                </c:ext>
              </c:extLst>
            </c:dLbl>
            <c:dLbl>
              <c:idx val="4"/>
              <c:layout>
                <c:manualLayout>
                  <c:x val="0"/>
                  <c:y val="0.1991573709136147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55C-4C8D-A3FE-252418AFB9CC}"/>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Arkusz1!$A$23:$A$27</c:f>
              <c:strCache>
                <c:ptCount val="5"/>
                <c:pt idx="0">
                  <c:v>Olsztyn</c:v>
                </c:pt>
                <c:pt idx="1">
                  <c:v>Kielce</c:v>
                </c:pt>
                <c:pt idx="2">
                  <c:v>Białystok</c:v>
                </c:pt>
                <c:pt idx="3">
                  <c:v>Rzeszów</c:v>
                </c:pt>
                <c:pt idx="4">
                  <c:v>Lublin</c:v>
                </c:pt>
              </c:strCache>
            </c:strRef>
          </c:cat>
          <c:val>
            <c:numRef>
              <c:f>Arkusz1!$B$23:$B$27</c:f>
              <c:numCache>
                <c:formatCode>General</c:formatCode>
                <c:ptCount val="5"/>
                <c:pt idx="0">
                  <c:v>672.2</c:v>
                </c:pt>
                <c:pt idx="1">
                  <c:v>693.9</c:v>
                </c:pt>
                <c:pt idx="2">
                  <c:v>617.6</c:v>
                </c:pt>
                <c:pt idx="3" formatCode="0.0">
                  <c:v>518</c:v>
                </c:pt>
                <c:pt idx="4">
                  <c:v>530.70000000000005</c:v>
                </c:pt>
              </c:numCache>
            </c:numRef>
          </c:val>
          <c:extLst>
            <c:ext xmlns:c16="http://schemas.microsoft.com/office/drawing/2014/chart" uri="{C3380CC4-5D6E-409C-BE32-E72D297353CC}">
              <c16:uniqueId val="{00000005-355C-4C8D-A3FE-252418AFB9CC}"/>
            </c:ext>
          </c:extLst>
        </c:ser>
        <c:dLbls>
          <c:showLegendKey val="0"/>
          <c:showVal val="0"/>
          <c:showCatName val="0"/>
          <c:showSerName val="0"/>
          <c:showPercent val="0"/>
          <c:showBubbleSize val="0"/>
        </c:dLbls>
        <c:gapWidth val="219"/>
        <c:overlap val="-27"/>
        <c:axId val="445409152"/>
        <c:axId val="445410136"/>
      </c:barChart>
      <c:catAx>
        <c:axId val="445409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45410136"/>
        <c:crosses val="autoZero"/>
        <c:auto val="1"/>
        <c:lblAlgn val="ctr"/>
        <c:lblOffset val="100"/>
        <c:noMultiLvlLbl val="0"/>
      </c:catAx>
      <c:valAx>
        <c:axId val="445410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45409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TABLICA!$C$14</c:f>
              <c:strCache>
                <c:ptCount val="1"/>
                <c:pt idx="0">
                  <c:v>wodociąg</c:v>
                </c:pt>
              </c:strCache>
            </c:strRef>
          </c:tx>
          <c:spPr>
            <a:solidFill>
              <a:schemeClr val="accent1"/>
            </a:solidFill>
            <a:ln>
              <a:noFill/>
            </a:ln>
            <a:effectLst/>
          </c:spPr>
          <c:invertIfNegative val="0"/>
          <c:dLbls>
            <c:dLbl>
              <c:idx val="0"/>
              <c:layout>
                <c:manualLayout>
                  <c:x val="0"/>
                  <c:y val="0.158333333333333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CA1-4F94-A47C-12A2EAABE30A}"/>
                </c:ext>
              </c:extLst>
            </c:dLbl>
            <c:dLbl>
              <c:idx val="1"/>
              <c:layout>
                <c:manualLayout>
                  <c:x val="0"/>
                  <c:y val="0.1638888888888889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A1-4F94-A47C-12A2EAABE30A}"/>
                </c:ext>
              </c:extLst>
            </c:dLbl>
            <c:dLbl>
              <c:idx val="2"/>
              <c:layout>
                <c:manualLayout>
                  <c:x val="-2.7776978847017541E-3"/>
                  <c:y val="0.168518372703412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CA1-4F94-A47C-12A2EAABE30A}"/>
                </c:ext>
              </c:extLst>
            </c:dLbl>
            <c:dLbl>
              <c:idx val="3"/>
              <c:layout>
                <c:manualLayout>
                  <c:x val="0"/>
                  <c:y val="0.157407261592300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CA1-4F94-A47C-12A2EAABE30A}"/>
                </c:ext>
              </c:extLst>
            </c:dLbl>
            <c:dLbl>
              <c:idx val="4"/>
              <c:layout>
                <c:manualLayout>
                  <c:x val="-2.7776978847018573E-3"/>
                  <c:y val="0.1574072615923009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CA1-4F94-A47C-12A2EAABE30A}"/>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TABLICA!$B$15:$B$19</c:f>
              <c:strCache>
                <c:ptCount val="5"/>
                <c:pt idx="0">
                  <c:v>Olsztyn</c:v>
                </c:pt>
                <c:pt idx="1">
                  <c:v>Kielce</c:v>
                </c:pt>
                <c:pt idx="2">
                  <c:v>Białystok</c:v>
                </c:pt>
                <c:pt idx="3">
                  <c:v>Rzeszów</c:v>
                </c:pt>
                <c:pt idx="4">
                  <c:v>Lublin</c:v>
                </c:pt>
              </c:strCache>
            </c:strRef>
          </c:cat>
          <c:val>
            <c:numRef>
              <c:f>TABLICA!$C$15:$C$19</c:f>
              <c:numCache>
                <c:formatCode>#\ ##0.0</c:formatCode>
                <c:ptCount val="5"/>
                <c:pt idx="0">
                  <c:v>99.9</c:v>
                </c:pt>
                <c:pt idx="1">
                  <c:v>95.9</c:v>
                </c:pt>
                <c:pt idx="2">
                  <c:v>97.5</c:v>
                </c:pt>
                <c:pt idx="3">
                  <c:v>98.1</c:v>
                </c:pt>
                <c:pt idx="4">
                  <c:v>95.5</c:v>
                </c:pt>
              </c:numCache>
            </c:numRef>
          </c:val>
          <c:extLst>
            <c:ext xmlns:c16="http://schemas.microsoft.com/office/drawing/2014/chart" uri="{C3380CC4-5D6E-409C-BE32-E72D297353CC}">
              <c16:uniqueId val="{00000005-ECA1-4F94-A47C-12A2EAABE30A}"/>
            </c:ext>
          </c:extLst>
        </c:ser>
        <c:ser>
          <c:idx val="1"/>
          <c:order val="1"/>
          <c:tx>
            <c:strRef>
              <c:f>TABLICA!$D$14</c:f>
              <c:strCache>
                <c:ptCount val="1"/>
                <c:pt idx="0">
                  <c:v>kanalizacja</c:v>
                </c:pt>
              </c:strCache>
            </c:strRef>
          </c:tx>
          <c:spPr>
            <a:solidFill>
              <a:schemeClr val="accent2"/>
            </a:solidFill>
            <a:ln>
              <a:noFill/>
            </a:ln>
            <a:effectLst/>
          </c:spPr>
          <c:invertIfNegative val="0"/>
          <c:dLbls>
            <c:dLbl>
              <c:idx val="0"/>
              <c:layout>
                <c:manualLayout>
                  <c:x val="0"/>
                  <c:y val="0.171296150481189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CA1-4F94-A47C-12A2EAABE30A}"/>
                </c:ext>
              </c:extLst>
            </c:dLbl>
            <c:dLbl>
              <c:idx val="1"/>
              <c:layout>
                <c:manualLayout>
                  <c:x val="-2.8418581703698949E-3"/>
                  <c:y val="0.16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CA1-4F94-A47C-12A2EAABE30A}"/>
                </c:ext>
              </c:extLst>
            </c:dLbl>
            <c:dLbl>
              <c:idx val="2"/>
              <c:layout>
                <c:manualLayout>
                  <c:x val="-2.8097780275358245E-3"/>
                  <c:y val="0.1685183727034120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CA1-4F94-A47C-12A2EAABE30A}"/>
                </c:ext>
              </c:extLst>
            </c:dLbl>
            <c:dLbl>
              <c:idx val="3"/>
              <c:layout>
                <c:manualLayout>
                  <c:x val="-1.0302400420089232E-16"/>
                  <c:y val="0.152777777777777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CA1-4F94-A47C-12A2EAABE30A}"/>
                </c:ext>
              </c:extLst>
            </c:dLbl>
            <c:dLbl>
              <c:idx val="4"/>
              <c:layout>
                <c:manualLayout>
                  <c:x val="2.7776978847018573E-3"/>
                  <c:y val="0.1629628171478565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CA1-4F94-A47C-12A2EAABE30A}"/>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TABLICA!$B$15:$B$19</c:f>
              <c:strCache>
                <c:ptCount val="5"/>
                <c:pt idx="0">
                  <c:v>Olsztyn</c:v>
                </c:pt>
                <c:pt idx="1">
                  <c:v>Kielce</c:v>
                </c:pt>
                <c:pt idx="2">
                  <c:v>Białystok</c:v>
                </c:pt>
                <c:pt idx="3">
                  <c:v>Rzeszów</c:v>
                </c:pt>
                <c:pt idx="4">
                  <c:v>Lublin</c:v>
                </c:pt>
              </c:strCache>
            </c:strRef>
          </c:cat>
          <c:val>
            <c:numRef>
              <c:f>TABLICA!$D$15:$D$19</c:f>
              <c:numCache>
                <c:formatCode>#\ ##0.0</c:formatCode>
                <c:ptCount val="5"/>
                <c:pt idx="0">
                  <c:v>100</c:v>
                </c:pt>
                <c:pt idx="1">
                  <c:v>90.2</c:v>
                </c:pt>
                <c:pt idx="2">
                  <c:v>96.4</c:v>
                </c:pt>
                <c:pt idx="3">
                  <c:v>95.9</c:v>
                </c:pt>
                <c:pt idx="4">
                  <c:v>91.9</c:v>
                </c:pt>
              </c:numCache>
            </c:numRef>
          </c:val>
          <c:extLst>
            <c:ext xmlns:c16="http://schemas.microsoft.com/office/drawing/2014/chart" uri="{C3380CC4-5D6E-409C-BE32-E72D297353CC}">
              <c16:uniqueId val="{0000000B-ECA1-4F94-A47C-12A2EAABE30A}"/>
            </c:ext>
          </c:extLst>
        </c:ser>
        <c:ser>
          <c:idx val="2"/>
          <c:order val="2"/>
          <c:tx>
            <c:strRef>
              <c:f>TABLICA!$E$14</c:f>
              <c:strCache>
                <c:ptCount val="1"/>
                <c:pt idx="0">
                  <c:v>gaz</c:v>
                </c:pt>
              </c:strCache>
            </c:strRef>
          </c:tx>
          <c:spPr>
            <a:solidFill>
              <a:schemeClr val="accent3"/>
            </a:solidFill>
            <a:ln>
              <a:noFill/>
            </a:ln>
            <a:effectLst/>
          </c:spPr>
          <c:invertIfNegative val="0"/>
          <c:dLbls>
            <c:dLbl>
              <c:idx val="0"/>
              <c:layout>
                <c:manualLayout>
                  <c:x val="2.7776978847017285E-3"/>
                  <c:y val="0.158333333333333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CA1-4F94-A47C-12A2EAABE30A}"/>
                </c:ext>
              </c:extLst>
            </c:dLbl>
            <c:dLbl>
              <c:idx val="1"/>
              <c:layout>
                <c:manualLayout>
                  <c:x val="0"/>
                  <c:y val="0.15925940507436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CA1-4F94-A47C-12A2EAABE30A}"/>
                </c:ext>
              </c:extLst>
            </c:dLbl>
            <c:dLbl>
              <c:idx val="2"/>
              <c:layout>
                <c:manualLayout>
                  <c:x val="0"/>
                  <c:y val="0.153703849518810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CA1-4F94-A47C-12A2EAABE30A}"/>
                </c:ext>
              </c:extLst>
            </c:dLbl>
            <c:dLbl>
              <c:idx val="3"/>
              <c:layout>
                <c:manualLayout>
                  <c:x val="0"/>
                  <c:y val="0.1638888888888888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CA1-4F94-A47C-12A2EAABE30A}"/>
                </c:ext>
              </c:extLst>
            </c:dLbl>
            <c:dLbl>
              <c:idx val="4"/>
              <c:layout>
                <c:manualLayout>
                  <c:x val="-1.0302400420089232E-16"/>
                  <c:y val="0.158333333333333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ECA1-4F94-A47C-12A2EAABE30A}"/>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TABLICA!$B$15:$B$19</c:f>
              <c:strCache>
                <c:ptCount val="5"/>
                <c:pt idx="0">
                  <c:v>Olsztyn</c:v>
                </c:pt>
                <c:pt idx="1">
                  <c:v>Kielce</c:v>
                </c:pt>
                <c:pt idx="2">
                  <c:v>Białystok</c:v>
                </c:pt>
                <c:pt idx="3">
                  <c:v>Rzeszów</c:v>
                </c:pt>
                <c:pt idx="4">
                  <c:v>Lublin</c:v>
                </c:pt>
              </c:strCache>
            </c:strRef>
          </c:cat>
          <c:val>
            <c:numRef>
              <c:f>TABLICA!$E$15:$E$19</c:f>
              <c:numCache>
                <c:formatCode>#\ ##0.0</c:formatCode>
                <c:ptCount val="5"/>
                <c:pt idx="0">
                  <c:v>77.099999999999994</c:v>
                </c:pt>
                <c:pt idx="1">
                  <c:v>84</c:v>
                </c:pt>
                <c:pt idx="2">
                  <c:v>89.6</c:v>
                </c:pt>
                <c:pt idx="3">
                  <c:v>89.3</c:v>
                </c:pt>
                <c:pt idx="4">
                  <c:v>87.9</c:v>
                </c:pt>
              </c:numCache>
            </c:numRef>
          </c:val>
          <c:extLst>
            <c:ext xmlns:c16="http://schemas.microsoft.com/office/drawing/2014/chart" uri="{C3380CC4-5D6E-409C-BE32-E72D297353CC}">
              <c16:uniqueId val="{00000011-ECA1-4F94-A47C-12A2EAABE30A}"/>
            </c:ext>
          </c:extLst>
        </c:ser>
        <c:dLbls>
          <c:showLegendKey val="0"/>
          <c:showVal val="0"/>
          <c:showCatName val="0"/>
          <c:showSerName val="0"/>
          <c:showPercent val="0"/>
          <c:showBubbleSize val="0"/>
        </c:dLbls>
        <c:gapWidth val="219"/>
        <c:overlap val="-27"/>
        <c:axId val="314488200"/>
        <c:axId val="314489512"/>
      </c:barChart>
      <c:catAx>
        <c:axId val="314488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14489512"/>
        <c:crosses val="autoZero"/>
        <c:auto val="1"/>
        <c:lblAlgn val="ctr"/>
        <c:lblOffset val="100"/>
        <c:noMultiLvlLbl val="0"/>
      </c:catAx>
      <c:valAx>
        <c:axId val="314489512"/>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14488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TABLICA!$C$14</c:f>
              <c:strCache>
                <c:ptCount val="1"/>
                <c:pt idx="0">
                  <c:v>2013</c:v>
                </c:pt>
              </c:strCache>
            </c:strRef>
          </c:tx>
          <c:spPr>
            <a:solidFill>
              <a:schemeClr val="accent1"/>
            </a:solidFill>
            <a:ln>
              <a:noFill/>
            </a:ln>
            <a:effectLst/>
          </c:spPr>
          <c:invertIfNegative val="0"/>
          <c:dLbls>
            <c:dLbl>
              <c:idx val="0"/>
              <c:layout>
                <c:manualLayout>
                  <c:x val="1.6036908254016131E-4"/>
                  <c:y val="0.18380167577294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422-4242-BC96-BDA7C982B061}"/>
                </c:ext>
              </c:extLst>
            </c:dLbl>
            <c:dLbl>
              <c:idx val="2"/>
              <c:layout>
                <c:manualLayout>
                  <c:x val="0"/>
                  <c:y val="0.1190490924932211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422-4242-BC96-BDA7C982B061}"/>
                </c:ext>
              </c:extLst>
            </c:dLbl>
            <c:dLbl>
              <c:idx val="3"/>
              <c:layout>
                <c:manualLayout>
                  <c:x val="-2.697599136768375E-3"/>
                  <c:y val="0.193060769161869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422-4242-BC96-BDA7C982B061}"/>
                </c:ext>
              </c:extLst>
            </c:dLbl>
            <c:dLbl>
              <c:idx val="4"/>
              <c:layout>
                <c:manualLayout>
                  <c:x val="-2.6975991367682761E-3"/>
                  <c:y val="0.102996115919843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422-4242-BC96-BDA7C982B061}"/>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TABLICA!$B$15:$B$19</c:f>
              <c:strCache>
                <c:ptCount val="5"/>
                <c:pt idx="0">
                  <c:v>Olsztyn</c:v>
                </c:pt>
                <c:pt idx="1">
                  <c:v>Kielce</c:v>
                </c:pt>
                <c:pt idx="2">
                  <c:v>Białystok</c:v>
                </c:pt>
                <c:pt idx="3">
                  <c:v>Rzeszów</c:v>
                </c:pt>
                <c:pt idx="4">
                  <c:v>Lublin</c:v>
                </c:pt>
              </c:strCache>
            </c:strRef>
          </c:cat>
          <c:val>
            <c:numRef>
              <c:f>TABLICA!$C$15:$C$19</c:f>
              <c:numCache>
                <c:formatCode>#,##0</c:formatCode>
                <c:ptCount val="5"/>
                <c:pt idx="0">
                  <c:v>72000</c:v>
                </c:pt>
                <c:pt idx="1">
                  <c:v>750</c:v>
                </c:pt>
                <c:pt idx="2">
                  <c:v>117004</c:v>
                </c:pt>
                <c:pt idx="3">
                  <c:v>88193</c:v>
                </c:pt>
                <c:pt idx="4">
                  <c:v>120025</c:v>
                </c:pt>
              </c:numCache>
            </c:numRef>
          </c:val>
          <c:extLst>
            <c:ext xmlns:c16="http://schemas.microsoft.com/office/drawing/2014/chart" uri="{C3380CC4-5D6E-409C-BE32-E72D297353CC}">
              <c16:uniqueId val="{00000004-6422-4242-BC96-BDA7C982B061}"/>
            </c:ext>
          </c:extLst>
        </c:ser>
        <c:ser>
          <c:idx val="1"/>
          <c:order val="1"/>
          <c:tx>
            <c:strRef>
              <c:f>TABLICA!$D$14</c:f>
              <c:strCache>
                <c:ptCount val="1"/>
                <c:pt idx="0">
                  <c:v>2019</c:v>
                </c:pt>
              </c:strCache>
            </c:strRef>
          </c:tx>
          <c:spPr>
            <a:solidFill>
              <a:schemeClr val="accent2"/>
            </a:solidFill>
            <a:ln>
              <a:noFill/>
            </a:ln>
            <a:effectLst/>
          </c:spPr>
          <c:invertIfNegative val="0"/>
          <c:dLbls>
            <c:dLbl>
              <c:idx val="0"/>
              <c:layout>
                <c:manualLayout>
                  <c:x val="-2.472770643046775E-17"/>
                  <c:y val="0.1832605916504490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422-4242-BC96-BDA7C982B061}"/>
                </c:ext>
              </c:extLst>
            </c:dLbl>
            <c:dLbl>
              <c:idx val="2"/>
              <c:layout>
                <c:manualLayout>
                  <c:x val="-2.777677473347933E-3"/>
                  <c:y val="0.178089960833489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422-4242-BC96-BDA7C982B061}"/>
                </c:ext>
              </c:extLst>
            </c:dLbl>
            <c:dLbl>
              <c:idx val="3"/>
              <c:layout>
                <c:manualLayout>
                  <c:x val="-9.8910825721870998E-17"/>
                  <c:y val="0.17808996083348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422-4242-BC96-BDA7C982B061}"/>
                </c:ext>
              </c:extLst>
            </c:dLbl>
            <c:dLbl>
              <c:idx val="4"/>
              <c:layout>
                <c:manualLayout>
                  <c:x val="-9.8910825721870998E-17"/>
                  <c:y val="9.83665692253824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422-4242-BC96-BDA7C982B061}"/>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TABLICA!$B$15:$B$19</c:f>
              <c:strCache>
                <c:ptCount val="5"/>
                <c:pt idx="0">
                  <c:v>Olsztyn</c:v>
                </c:pt>
                <c:pt idx="1">
                  <c:v>Kielce</c:v>
                </c:pt>
                <c:pt idx="2">
                  <c:v>Białystok</c:v>
                </c:pt>
                <c:pt idx="3">
                  <c:v>Rzeszów</c:v>
                </c:pt>
                <c:pt idx="4">
                  <c:v>Lublin</c:v>
                </c:pt>
              </c:strCache>
            </c:strRef>
          </c:cat>
          <c:val>
            <c:numRef>
              <c:f>TABLICA!$D$15:$D$19</c:f>
              <c:numCache>
                <c:formatCode>#,##0</c:formatCode>
                <c:ptCount val="5"/>
                <c:pt idx="0">
                  <c:v>72000</c:v>
                </c:pt>
                <c:pt idx="1">
                  <c:v>600</c:v>
                </c:pt>
                <c:pt idx="2">
                  <c:v>97004</c:v>
                </c:pt>
                <c:pt idx="3">
                  <c:v>57500</c:v>
                </c:pt>
                <c:pt idx="4">
                  <c:v>120025</c:v>
                </c:pt>
              </c:numCache>
            </c:numRef>
          </c:val>
          <c:extLst>
            <c:ext xmlns:c16="http://schemas.microsoft.com/office/drawing/2014/chart" uri="{C3380CC4-5D6E-409C-BE32-E72D297353CC}">
              <c16:uniqueId val="{00000009-6422-4242-BC96-BDA7C982B061}"/>
            </c:ext>
          </c:extLst>
        </c:ser>
        <c:dLbls>
          <c:showLegendKey val="0"/>
          <c:showVal val="0"/>
          <c:showCatName val="0"/>
          <c:showSerName val="0"/>
          <c:showPercent val="0"/>
          <c:showBubbleSize val="0"/>
        </c:dLbls>
        <c:gapWidth val="219"/>
        <c:overlap val="-27"/>
        <c:axId val="214618512"/>
        <c:axId val="214617528"/>
      </c:barChart>
      <c:catAx>
        <c:axId val="214618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14617528"/>
        <c:crosses val="autoZero"/>
        <c:auto val="1"/>
        <c:lblAlgn val="ctr"/>
        <c:lblOffset val="100"/>
        <c:noMultiLvlLbl val="0"/>
      </c:catAx>
      <c:valAx>
        <c:axId val="214617528"/>
        <c:scaling>
          <c:orientation val="minMax"/>
          <c:max val="12550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14618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TABLICA!$C$53</c:f>
              <c:strCache>
                <c:ptCount val="1"/>
                <c:pt idx="0">
                  <c:v>2013</c:v>
                </c:pt>
              </c:strCache>
            </c:strRef>
          </c:tx>
          <c:spPr>
            <a:solidFill>
              <a:schemeClr val="accent1"/>
            </a:solidFill>
            <a:ln>
              <a:noFill/>
            </a:ln>
            <a:effectLst/>
          </c:spPr>
          <c:invertIfNegative val="0"/>
          <c:dLbls>
            <c:dLbl>
              <c:idx val="0"/>
              <c:layout>
                <c:manualLayout>
                  <c:x val="0"/>
                  <c:y val="0.1666666666666666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2EB-418E-914F-0D306CE148C3}"/>
                </c:ext>
              </c:extLst>
            </c:dLbl>
            <c:dLbl>
              <c:idx val="1"/>
              <c:layout>
                <c:manualLayout>
                  <c:x val="0"/>
                  <c:y val="0.1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2EB-418E-914F-0D306CE148C3}"/>
                </c:ext>
              </c:extLst>
            </c:dLbl>
            <c:dLbl>
              <c:idx val="2"/>
              <c:layout>
                <c:manualLayout>
                  <c:x val="-1.0185067526415994E-16"/>
                  <c:y val="0.143518518518518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2EB-418E-914F-0D306CE148C3}"/>
                </c:ext>
              </c:extLst>
            </c:dLbl>
            <c:dLbl>
              <c:idx val="3"/>
              <c:layout>
                <c:manualLayout>
                  <c:x val="0"/>
                  <c:y val="0.148148148148148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2EB-418E-914F-0D306CE148C3}"/>
                </c:ext>
              </c:extLst>
            </c:dLbl>
            <c:dLbl>
              <c:idx val="4"/>
              <c:layout>
                <c:manualLayout>
                  <c:x val="0"/>
                  <c:y val="0.138888888888888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2EB-418E-914F-0D306CE148C3}"/>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TABLICA!$B$54:$B$58</c:f>
              <c:strCache>
                <c:ptCount val="5"/>
                <c:pt idx="0">
                  <c:v>Olsztyn</c:v>
                </c:pt>
                <c:pt idx="1">
                  <c:v>Kielce</c:v>
                </c:pt>
                <c:pt idx="2">
                  <c:v>Białystok</c:v>
                </c:pt>
                <c:pt idx="3">
                  <c:v>Rzeszów</c:v>
                </c:pt>
                <c:pt idx="4">
                  <c:v>Lublin</c:v>
                </c:pt>
              </c:strCache>
            </c:strRef>
          </c:cat>
          <c:val>
            <c:numRef>
              <c:f>TABLICA!$C$54:$C$58</c:f>
              <c:numCache>
                <c:formatCode>0.0%</c:formatCode>
                <c:ptCount val="5"/>
                <c:pt idx="0">
                  <c:v>1</c:v>
                </c:pt>
                <c:pt idx="1">
                  <c:v>0.95399999999999996</c:v>
                </c:pt>
                <c:pt idx="2">
                  <c:v>0.99299999999999999</c:v>
                </c:pt>
                <c:pt idx="3">
                  <c:v>0.98499999999999999</c:v>
                </c:pt>
                <c:pt idx="4">
                  <c:v>0.96699999999999997</c:v>
                </c:pt>
              </c:numCache>
            </c:numRef>
          </c:val>
          <c:extLst>
            <c:ext xmlns:c16="http://schemas.microsoft.com/office/drawing/2014/chart" uri="{C3380CC4-5D6E-409C-BE32-E72D297353CC}">
              <c16:uniqueId val="{00000005-B2EB-418E-914F-0D306CE148C3}"/>
            </c:ext>
          </c:extLst>
        </c:ser>
        <c:ser>
          <c:idx val="1"/>
          <c:order val="1"/>
          <c:tx>
            <c:strRef>
              <c:f>TABLICA!$D$53</c:f>
              <c:strCache>
                <c:ptCount val="1"/>
                <c:pt idx="0">
                  <c:v>2019</c:v>
                </c:pt>
              </c:strCache>
            </c:strRef>
          </c:tx>
          <c:spPr>
            <a:solidFill>
              <a:schemeClr val="accent2"/>
            </a:solidFill>
            <a:ln>
              <a:noFill/>
            </a:ln>
            <a:effectLst/>
          </c:spPr>
          <c:invertIfNegative val="0"/>
          <c:dLbls>
            <c:dLbl>
              <c:idx val="0"/>
              <c:layout>
                <c:manualLayout>
                  <c:x val="-2.5462668816039986E-17"/>
                  <c:y val="0.171296296296296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2EB-418E-914F-0D306CE148C3}"/>
                </c:ext>
              </c:extLst>
            </c:dLbl>
            <c:dLbl>
              <c:idx val="1"/>
              <c:layout>
                <c:manualLayout>
                  <c:x val="-5.0925337632079971E-17"/>
                  <c:y val="0.143518518518518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2EB-418E-914F-0D306CE148C3}"/>
                </c:ext>
              </c:extLst>
            </c:dLbl>
            <c:dLbl>
              <c:idx val="2"/>
              <c:layout>
                <c:manualLayout>
                  <c:x val="0"/>
                  <c:y val="0.143518518518518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2EB-418E-914F-0D306CE148C3}"/>
                </c:ext>
              </c:extLst>
            </c:dLbl>
            <c:dLbl>
              <c:idx val="3"/>
              <c:layout>
                <c:manualLayout>
                  <c:x val="-1.0185067526415994E-16"/>
                  <c:y val="0.143518518518518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2EB-418E-914F-0D306CE148C3}"/>
                </c:ext>
              </c:extLst>
            </c:dLbl>
            <c:dLbl>
              <c:idx val="4"/>
              <c:layout>
                <c:manualLayout>
                  <c:x val="0"/>
                  <c:y val="0.143518518518518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2EB-418E-914F-0D306CE148C3}"/>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TABLICA!$B$54:$B$58</c:f>
              <c:strCache>
                <c:ptCount val="5"/>
                <c:pt idx="0">
                  <c:v>Olsztyn</c:v>
                </c:pt>
                <c:pt idx="1">
                  <c:v>Kielce</c:v>
                </c:pt>
                <c:pt idx="2">
                  <c:v>Białystok</c:v>
                </c:pt>
                <c:pt idx="3">
                  <c:v>Rzeszów</c:v>
                </c:pt>
                <c:pt idx="4">
                  <c:v>Lublin</c:v>
                </c:pt>
              </c:strCache>
            </c:strRef>
          </c:cat>
          <c:val>
            <c:numRef>
              <c:f>TABLICA!$D$54:$D$58</c:f>
              <c:numCache>
                <c:formatCode>0.0%</c:formatCode>
                <c:ptCount val="5"/>
                <c:pt idx="0">
                  <c:v>1</c:v>
                </c:pt>
                <c:pt idx="1">
                  <c:v>0.96699999999999997</c:v>
                </c:pt>
                <c:pt idx="2">
                  <c:v>0.99199999999999999</c:v>
                </c:pt>
                <c:pt idx="3">
                  <c:v>0.99</c:v>
                </c:pt>
                <c:pt idx="4">
                  <c:v>0.95799999999999996</c:v>
                </c:pt>
              </c:numCache>
            </c:numRef>
          </c:val>
          <c:extLst>
            <c:ext xmlns:c16="http://schemas.microsoft.com/office/drawing/2014/chart" uri="{C3380CC4-5D6E-409C-BE32-E72D297353CC}">
              <c16:uniqueId val="{0000000B-B2EB-418E-914F-0D306CE148C3}"/>
            </c:ext>
          </c:extLst>
        </c:ser>
        <c:dLbls>
          <c:showLegendKey val="0"/>
          <c:showVal val="0"/>
          <c:showCatName val="0"/>
          <c:showSerName val="0"/>
          <c:showPercent val="0"/>
          <c:showBubbleSize val="0"/>
        </c:dLbls>
        <c:gapWidth val="219"/>
        <c:overlap val="-27"/>
        <c:axId val="328978440"/>
        <c:axId val="328983032"/>
      </c:barChart>
      <c:catAx>
        <c:axId val="328978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28983032"/>
        <c:crosses val="autoZero"/>
        <c:auto val="1"/>
        <c:lblAlgn val="ctr"/>
        <c:lblOffset val="100"/>
        <c:noMultiLvlLbl val="0"/>
      </c:catAx>
      <c:valAx>
        <c:axId val="3289830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28978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TABLICA!$C$71</c:f>
              <c:strCache>
                <c:ptCount val="1"/>
                <c:pt idx="0">
                  <c:v>2013</c:v>
                </c:pt>
              </c:strCache>
            </c:strRef>
          </c:tx>
          <c:spPr>
            <a:solidFill>
              <a:schemeClr val="accent1"/>
            </a:solidFill>
            <a:ln>
              <a:noFill/>
            </a:ln>
            <a:effectLst/>
          </c:spPr>
          <c:invertIfNegative val="0"/>
          <c:dLbls>
            <c:dLbl>
              <c:idx val="0"/>
              <c:layout>
                <c:manualLayout>
                  <c:x val="0"/>
                  <c:y val="0.2041292434941014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4E7-40BF-99C1-F66DE945C4A2}"/>
                </c:ext>
              </c:extLst>
            </c:dLbl>
            <c:dLbl>
              <c:idx val="1"/>
              <c:layout>
                <c:manualLayout>
                  <c:x val="0"/>
                  <c:y val="0.189814814814814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4E7-40BF-99C1-F66DE945C4A2}"/>
                </c:ext>
              </c:extLst>
            </c:dLbl>
            <c:dLbl>
              <c:idx val="2"/>
              <c:layout>
                <c:manualLayout>
                  <c:x val="-2.7820280984838966E-3"/>
                  <c:y val="0.204022590948331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4E7-40BF-99C1-F66DE945C4A2}"/>
                </c:ext>
              </c:extLst>
            </c:dLbl>
            <c:dLbl>
              <c:idx val="3"/>
              <c:layout>
                <c:manualLayout>
                  <c:x val="0"/>
                  <c:y val="0.185185185185185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4E7-40BF-99C1-F66DE945C4A2}"/>
                </c:ext>
              </c:extLst>
            </c:dLbl>
            <c:dLbl>
              <c:idx val="4"/>
              <c:layout>
                <c:manualLayout>
                  <c:x val="-2.7777777777777779E-3"/>
                  <c:y val="0.1898148148148148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4E7-40BF-99C1-F66DE945C4A2}"/>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TABLICA!$B$72:$B$76</c:f>
              <c:strCache>
                <c:ptCount val="5"/>
                <c:pt idx="0">
                  <c:v>Olsztyn</c:v>
                </c:pt>
                <c:pt idx="1">
                  <c:v>Kielce</c:v>
                </c:pt>
                <c:pt idx="2">
                  <c:v>Białystok</c:v>
                </c:pt>
                <c:pt idx="3">
                  <c:v>Rzeszów</c:v>
                </c:pt>
                <c:pt idx="4">
                  <c:v>Lublin</c:v>
                </c:pt>
              </c:strCache>
            </c:strRef>
          </c:cat>
          <c:val>
            <c:numRef>
              <c:f>TABLICA!$C$72:$C$76</c:f>
              <c:numCache>
                <c:formatCode>#\ ##0.0</c:formatCode>
                <c:ptCount val="5"/>
                <c:pt idx="0">
                  <c:v>13467.5</c:v>
                </c:pt>
                <c:pt idx="1">
                  <c:v>11298.3</c:v>
                </c:pt>
                <c:pt idx="2">
                  <c:v>14034.3</c:v>
                </c:pt>
                <c:pt idx="3">
                  <c:v>10336.200000000001</c:v>
                </c:pt>
                <c:pt idx="4">
                  <c:v>18518.8</c:v>
                </c:pt>
              </c:numCache>
            </c:numRef>
          </c:val>
          <c:extLst>
            <c:ext xmlns:c16="http://schemas.microsoft.com/office/drawing/2014/chart" uri="{C3380CC4-5D6E-409C-BE32-E72D297353CC}">
              <c16:uniqueId val="{00000005-14E7-40BF-99C1-F66DE945C4A2}"/>
            </c:ext>
          </c:extLst>
        </c:ser>
        <c:ser>
          <c:idx val="1"/>
          <c:order val="1"/>
          <c:tx>
            <c:strRef>
              <c:f>TABLICA!$D$71</c:f>
              <c:strCache>
                <c:ptCount val="1"/>
                <c:pt idx="0">
                  <c:v>2019</c:v>
                </c:pt>
              </c:strCache>
            </c:strRef>
          </c:tx>
          <c:spPr>
            <a:solidFill>
              <a:schemeClr val="accent2"/>
            </a:solidFill>
            <a:ln>
              <a:noFill/>
            </a:ln>
            <a:effectLst/>
          </c:spPr>
          <c:invertIfNegative val="0"/>
          <c:dLbls>
            <c:dLbl>
              <c:idx val="0"/>
              <c:layout>
                <c:manualLayout>
                  <c:x val="2.5462668816039986E-17"/>
                  <c:y val="0.1898148148148148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4E7-40BF-99C1-F66DE945C4A2}"/>
                </c:ext>
              </c:extLst>
            </c:dLbl>
            <c:dLbl>
              <c:idx val="1"/>
              <c:layout>
                <c:manualLayout>
                  <c:x val="5.0925337632079971E-17"/>
                  <c:y val="0.166666666666666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4E7-40BF-99C1-F66DE945C4A2}"/>
                </c:ext>
              </c:extLst>
            </c:dLbl>
            <c:dLbl>
              <c:idx val="2"/>
              <c:layout>
                <c:manualLayout>
                  <c:x val="0"/>
                  <c:y val="0.185185185185185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4E7-40BF-99C1-F66DE945C4A2}"/>
                </c:ext>
              </c:extLst>
            </c:dLbl>
            <c:dLbl>
              <c:idx val="3"/>
              <c:layout>
                <c:manualLayout>
                  <c:x val="-1.0185067526415994E-16"/>
                  <c:y val="0.185185185185185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4E7-40BF-99C1-F66DE945C4A2}"/>
                </c:ext>
              </c:extLst>
            </c:dLbl>
            <c:dLbl>
              <c:idx val="4"/>
              <c:layout>
                <c:manualLayout>
                  <c:x val="-1.0185067526415994E-16"/>
                  <c:y val="0.1898148148148148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4E7-40BF-99C1-F66DE945C4A2}"/>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TABLICA!$B$72:$B$76</c:f>
              <c:strCache>
                <c:ptCount val="5"/>
                <c:pt idx="0">
                  <c:v>Olsztyn</c:v>
                </c:pt>
                <c:pt idx="1">
                  <c:v>Kielce</c:v>
                </c:pt>
                <c:pt idx="2">
                  <c:v>Białystok</c:v>
                </c:pt>
                <c:pt idx="3">
                  <c:v>Rzeszów</c:v>
                </c:pt>
                <c:pt idx="4">
                  <c:v>Lublin</c:v>
                </c:pt>
              </c:strCache>
            </c:strRef>
          </c:cat>
          <c:val>
            <c:numRef>
              <c:f>TABLICA!$D$72:$D$76</c:f>
              <c:numCache>
                <c:formatCode>#\ ##0.0</c:formatCode>
                <c:ptCount val="5"/>
                <c:pt idx="0">
                  <c:v>11288.5</c:v>
                </c:pt>
                <c:pt idx="1">
                  <c:v>9879.6</c:v>
                </c:pt>
                <c:pt idx="2">
                  <c:v>14590.3</c:v>
                </c:pt>
                <c:pt idx="3">
                  <c:v>11481.8</c:v>
                </c:pt>
                <c:pt idx="4">
                  <c:v>19411.7</c:v>
                </c:pt>
              </c:numCache>
            </c:numRef>
          </c:val>
          <c:extLst>
            <c:ext xmlns:c16="http://schemas.microsoft.com/office/drawing/2014/chart" uri="{C3380CC4-5D6E-409C-BE32-E72D297353CC}">
              <c16:uniqueId val="{0000000B-14E7-40BF-99C1-F66DE945C4A2}"/>
            </c:ext>
          </c:extLst>
        </c:ser>
        <c:dLbls>
          <c:showLegendKey val="0"/>
          <c:showVal val="0"/>
          <c:showCatName val="0"/>
          <c:showSerName val="0"/>
          <c:showPercent val="0"/>
          <c:showBubbleSize val="0"/>
        </c:dLbls>
        <c:gapWidth val="219"/>
        <c:overlap val="-27"/>
        <c:axId val="489405608"/>
        <c:axId val="489409872"/>
      </c:barChart>
      <c:catAx>
        <c:axId val="489405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89409872"/>
        <c:crosses val="autoZero"/>
        <c:auto val="1"/>
        <c:lblAlgn val="ctr"/>
        <c:lblOffset val="100"/>
        <c:noMultiLvlLbl val="0"/>
      </c:catAx>
      <c:valAx>
        <c:axId val="489409872"/>
        <c:scaling>
          <c:orientation val="minMax"/>
          <c:max val="20000"/>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89405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300" b="1">
          <a:solidFill>
            <a:schemeClr val="tx1"/>
          </a:solidFill>
        </a:defRPr>
      </a:pPr>
      <a:endParaRPr lang="pl-PL"/>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TABLICA!$C$88</c:f>
              <c:strCache>
                <c:ptCount val="1"/>
                <c:pt idx="0">
                  <c:v>2013</c:v>
                </c:pt>
              </c:strCache>
            </c:strRef>
          </c:tx>
          <c:spPr>
            <a:solidFill>
              <a:schemeClr val="accent1"/>
            </a:solidFill>
            <a:ln>
              <a:noFill/>
            </a:ln>
            <a:effectLst/>
          </c:spPr>
          <c:invertIfNegative val="0"/>
          <c:dLbls>
            <c:dLbl>
              <c:idx val="0"/>
              <c:layout>
                <c:manualLayout>
                  <c:x val="0"/>
                  <c:y val="0.125000000000000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5A9-4801-9F41-F178CAA7CFA9}"/>
                </c:ext>
              </c:extLst>
            </c:dLbl>
            <c:dLbl>
              <c:idx val="1"/>
              <c:layout>
                <c:manualLayout>
                  <c:x val="0"/>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5A9-4801-9F41-F178CAA7CFA9}"/>
                </c:ext>
              </c:extLst>
            </c:dLbl>
            <c:dLbl>
              <c:idx val="2"/>
              <c:layout>
                <c:manualLayout>
                  <c:x val="-1.0185067526415994E-16"/>
                  <c:y val="0.106481481481481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5A9-4801-9F41-F178CAA7CFA9}"/>
                </c:ext>
              </c:extLst>
            </c:dLbl>
            <c:dLbl>
              <c:idx val="3"/>
              <c:layout>
                <c:manualLayout>
                  <c:x val="-1.0185067526415994E-16"/>
                  <c:y val="0.101851851851851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5A9-4801-9F41-F178CAA7CFA9}"/>
                </c:ext>
              </c:extLst>
            </c:dLbl>
            <c:dLbl>
              <c:idx val="4"/>
              <c:layout>
                <c:manualLayout>
                  <c:x val="0"/>
                  <c:y val="0.120370370370370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5A9-4801-9F41-F178CAA7CFA9}"/>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TABLICA!$B$89:$B$93</c:f>
              <c:strCache>
                <c:ptCount val="5"/>
                <c:pt idx="0">
                  <c:v>Olsztyn</c:v>
                </c:pt>
                <c:pt idx="1">
                  <c:v>Kielce</c:v>
                </c:pt>
                <c:pt idx="2">
                  <c:v>Białystok</c:v>
                </c:pt>
                <c:pt idx="3">
                  <c:v>Rzeszów</c:v>
                </c:pt>
                <c:pt idx="4">
                  <c:v>Lublin</c:v>
                </c:pt>
              </c:strCache>
            </c:strRef>
          </c:cat>
          <c:val>
            <c:numRef>
              <c:f>TABLICA!$C$89:$C$93</c:f>
              <c:numCache>
                <c:formatCode>#\ ##0.0</c:formatCode>
                <c:ptCount val="5"/>
                <c:pt idx="0">
                  <c:v>35.9</c:v>
                </c:pt>
                <c:pt idx="1">
                  <c:v>1.6</c:v>
                </c:pt>
                <c:pt idx="2">
                  <c:v>9.5</c:v>
                </c:pt>
                <c:pt idx="3">
                  <c:v>7.7</c:v>
                </c:pt>
                <c:pt idx="4">
                  <c:v>14.5</c:v>
                </c:pt>
              </c:numCache>
            </c:numRef>
          </c:val>
          <c:extLst>
            <c:ext xmlns:c16="http://schemas.microsoft.com/office/drawing/2014/chart" uri="{C3380CC4-5D6E-409C-BE32-E72D297353CC}">
              <c16:uniqueId val="{00000005-75A9-4801-9F41-F178CAA7CFA9}"/>
            </c:ext>
          </c:extLst>
        </c:ser>
        <c:ser>
          <c:idx val="1"/>
          <c:order val="1"/>
          <c:tx>
            <c:strRef>
              <c:f>TABLICA!$D$88</c:f>
              <c:strCache>
                <c:ptCount val="1"/>
                <c:pt idx="0">
                  <c:v>2019</c:v>
                </c:pt>
              </c:strCache>
            </c:strRef>
          </c:tx>
          <c:spPr>
            <a:solidFill>
              <a:schemeClr val="accent2"/>
            </a:solidFill>
            <a:ln>
              <a:noFill/>
            </a:ln>
            <a:effectLst/>
          </c:spPr>
          <c:invertIfNegative val="0"/>
          <c:dLbls>
            <c:dLbl>
              <c:idx val="0"/>
              <c:layout>
                <c:manualLayout>
                  <c:x val="-2.5462668816039986E-17"/>
                  <c:y val="0.129629629629629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5A9-4801-9F41-F178CAA7CFA9}"/>
                </c:ext>
              </c:extLst>
            </c:dLbl>
            <c:dLbl>
              <c:idx val="1"/>
              <c:layout>
                <c:manualLayout>
                  <c:x val="2.7777777777777779E-3"/>
                  <c:y val="9.7222222222222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5A9-4801-9F41-F178CAA7CFA9}"/>
                </c:ext>
              </c:extLst>
            </c:dLbl>
            <c:dLbl>
              <c:idx val="2"/>
              <c:layout>
                <c:manualLayout>
                  <c:x val="0"/>
                  <c:y val="0.111111111111111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5A9-4801-9F41-F178CAA7CFA9}"/>
                </c:ext>
              </c:extLst>
            </c:dLbl>
            <c:dLbl>
              <c:idx val="3"/>
              <c:layout>
                <c:manualLayout>
                  <c:x val="0"/>
                  <c:y val="9.7222222222222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5A9-4801-9F41-F178CAA7CFA9}"/>
                </c:ext>
              </c:extLst>
            </c:dLbl>
            <c:dLbl>
              <c:idx val="4"/>
              <c:layout>
                <c:manualLayout>
                  <c:x val="1.0185067526415994E-16"/>
                  <c:y val="0.1249999999999999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5A9-4801-9F41-F178CAA7CFA9}"/>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TABLICA!$B$89:$B$93</c:f>
              <c:strCache>
                <c:ptCount val="5"/>
                <c:pt idx="0">
                  <c:v>Olsztyn</c:v>
                </c:pt>
                <c:pt idx="1">
                  <c:v>Kielce</c:v>
                </c:pt>
                <c:pt idx="2">
                  <c:v>Białystok</c:v>
                </c:pt>
                <c:pt idx="3">
                  <c:v>Rzeszów</c:v>
                </c:pt>
                <c:pt idx="4">
                  <c:v>Lublin</c:v>
                </c:pt>
              </c:strCache>
            </c:strRef>
          </c:cat>
          <c:val>
            <c:numRef>
              <c:f>TABLICA!$D$89:$D$93</c:f>
              <c:numCache>
                <c:formatCode>#\ ##0.0</c:formatCode>
                <c:ptCount val="5"/>
                <c:pt idx="0">
                  <c:v>28.2</c:v>
                </c:pt>
                <c:pt idx="1">
                  <c:v>4.5999999999999996</c:v>
                </c:pt>
                <c:pt idx="2">
                  <c:v>9.6999999999999993</c:v>
                </c:pt>
                <c:pt idx="3">
                  <c:v>7.1</c:v>
                </c:pt>
                <c:pt idx="4">
                  <c:v>16.3</c:v>
                </c:pt>
              </c:numCache>
            </c:numRef>
          </c:val>
          <c:extLst>
            <c:ext xmlns:c16="http://schemas.microsoft.com/office/drawing/2014/chart" uri="{C3380CC4-5D6E-409C-BE32-E72D297353CC}">
              <c16:uniqueId val="{0000000B-75A9-4801-9F41-F178CAA7CFA9}"/>
            </c:ext>
          </c:extLst>
        </c:ser>
        <c:dLbls>
          <c:showLegendKey val="0"/>
          <c:showVal val="0"/>
          <c:showCatName val="0"/>
          <c:showSerName val="0"/>
          <c:showPercent val="0"/>
          <c:showBubbleSize val="0"/>
        </c:dLbls>
        <c:gapWidth val="219"/>
        <c:overlap val="-27"/>
        <c:axId val="256894136"/>
        <c:axId val="256892824"/>
      </c:barChart>
      <c:catAx>
        <c:axId val="256894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56892824"/>
        <c:crosses val="autoZero"/>
        <c:auto val="1"/>
        <c:lblAlgn val="ctr"/>
        <c:lblOffset val="100"/>
        <c:noMultiLvlLbl val="0"/>
      </c:catAx>
      <c:valAx>
        <c:axId val="256892824"/>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56894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TABLICA!$C$105</c:f>
              <c:strCache>
                <c:ptCount val="1"/>
                <c:pt idx="0">
                  <c:v>2013</c:v>
                </c:pt>
              </c:strCache>
            </c:strRef>
          </c:tx>
          <c:spPr>
            <a:solidFill>
              <a:schemeClr val="accent1"/>
            </a:solidFill>
            <a:ln>
              <a:noFill/>
            </a:ln>
            <a:effectLst/>
          </c:spPr>
          <c:invertIfNegative val="0"/>
          <c:dLbls>
            <c:dLbl>
              <c:idx val="0"/>
              <c:layout>
                <c:manualLayout>
                  <c:x val="0"/>
                  <c:y val="0.1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F68-49AB-951F-A9047E8062B7}"/>
                </c:ext>
              </c:extLst>
            </c:dLbl>
            <c:dLbl>
              <c:idx val="1"/>
              <c:layout>
                <c:manualLayout>
                  <c:x val="0"/>
                  <c:y val="0.129629629629629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F68-49AB-951F-A9047E8062B7}"/>
                </c:ext>
              </c:extLst>
            </c:dLbl>
            <c:dLbl>
              <c:idx val="2"/>
              <c:layout>
                <c:manualLayout>
                  <c:x val="-1.0185067526415994E-16"/>
                  <c:y val="0.1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F68-49AB-951F-A9047E8062B7}"/>
                </c:ext>
              </c:extLst>
            </c:dLbl>
            <c:dLbl>
              <c:idx val="3"/>
              <c:layout>
                <c:manualLayout>
                  <c:x val="-1.0185067526415994E-16"/>
                  <c:y val="0.1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F68-49AB-951F-A9047E8062B7}"/>
                </c:ext>
              </c:extLst>
            </c:dLbl>
            <c:dLbl>
              <c:idx val="4"/>
              <c:layout>
                <c:manualLayout>
                  <c:x val="0"/>
                  <c:y val="0.1249999999999999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F68-49AB-951F-A9047E8062B7}"/>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TABLICA!$B$106:$B$110</c:f>
              <c:strCache>
                <c:ptCount val="5"/>
                <c:pt idx="0">
                  <c:v>Olsztyn</c:v>
                </c:pt>
                <c:pt idx="1">
                  <c:v>Kielce</c:v>
                </c:pt>
                <c:pt idx="2">
                  <c:v>Białystok</c:v>
                </c:pt>
                <c:pt idx="3">
                  <c:v>Rzeszów</c:v>
                </c:pt>
                <c:pt idx="4">
                  <c:v>Lublin</c:v>
                </c:pt>
              </c:strCache>
            </c:strRef>
          </c:cat>
          <c:val>
            <c:numRef>
              <c:f>TABLICA!$C$106:$C$110</c:f>
              <c:numCache>
                <c:formatCode>#\ ##0.0</c:formatCode>
                <c:ptCount val="5"/>
                <c:pt idx="0">
                  <c:v>77.099999999999994</c:v>
                </c:pt>
                <c:pt idx="1">
                  <c:v>56.4</c:v>
                </c:pt>
                <c:pt idx="2">
                  <c:v>47.6</c:v>
                </c:pt>
                <c:pt idx="3">
                  <c:v>56.6</c:v>
                </c:pt>
                <c:pt idx="4">
                  <c:v>53.4</c:v>
                </c:pt>
              </c:numCache>
            </c:numRef>
          </c:val>
          <c:extLst>
            <c:ext xmlns:c16="http://schemas.microsoft.com/office/drawing/2014/chart" uri="{C3380CC4-5D6E-409C-BE32-E72D297353CC}">
              <c16:uniqueId val="{00000005-CF68-49AB-951F-A9047E8062B7}"/>
            </c:ext>
          </c:extLst>
        </c:ser>
        <c:ser>
          <c:idx val="1"/>
          <c:order val="1"/>
          <c:tx>
            <c:strRef>
              <c:f>TABLICA!$D$105</c:f>
              <c:strCache>
                <c:ptCount val="1"/>
                <c:pt idx="0">
                  <c:v>2019</c:v>
                </c:pt>
              </c:strCache>
            </c:strRef>
          </c:tx>
          <c:spPr>
            <a:solidFill>
              <a:schemeClr val="accent2"/>
            </a:solidFill>
            <a:ln>
              <a:noFill/>
            </a:ln>
            <a:effectLst/>
          </c:spPr>
          <c:invertIfNegative val="0"/>
          <c:dLbls>
            <c:dLbl>
              <c:idx val="0"/>
              <c:layout>
                <c:manualLayout>
                  <c:x val="-2.5462668816039986E-17"/>
                  <c:y val="0.120370370370370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F68-49AB-951F-A9047E8062B7}"/>
                </c:ext>
              </c:extLst>
            </c:dLbl>
            <c:dLbl>
              <c:idx val="1"/>
              <c:layout>
                <c:manualLayout>
                  <c:x val="0"/>
                  <c:y val="0.1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F68-49AB-951F-A9047E8062B7}"/>
                </c:ext>
              </c:extLst>
            </c:dLbl>
            <c:dLbl>
              <c:idx val="2"/>
              <c:layout>
                <c:manualLayout>
                  <c:x val="0"/>
                  <c:y val="0.1249999999999999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F68-49AB-951F-A9047E8062B7}"/>
                </c:ext>
              </c:extLst>
            </c:dLbl>
            <c:dLbl>
              <c:idx val="3"/>
              <c:layout>
                <c:manualLayout>
                  <c:x val="0"/>
                  <c:y val="0.134259259259259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F68-49AB-951F-A9047E8062B7}"/>
                </c:ext>
              </c:extLst>
            </c:dLbl>
            <c:dLbl>
              <c:idx val="4"/>
              <c:layout>
                <c:manualLayout>
                  <c:x val="1.0185067526415994E-16"/>
                  <c:y val="0.1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F68-49AB-951F-A9047E8062B7}"/>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TABLICA!$B$106:$B$110</c:f>
              <c:strCache>
                <c:ptCount val="5"/>
                <c:pt idx="0">
                  <c:v>Olsztyn</c:v>
                </c:pt>
                <c:pt idx="1">
                  <c:v>Kielce</c:v>
                </c:pt>
                <c:pt idx="2">
                  <c:v>Białystok</c:v>
                </c:pt>
                <c:pt idx="3">
                  <c:v>Rzeszów</c:v>
                </c:pt>
                <c:pt idx="4">
                  <c:v>Lublin</c:v>
                </c:pt>
              </c:strCache>
            </c:strRef>
          </c:cat>
          <c:val>
            <c:numRef>
              <c:f>TABLICA!$D$106:$D$110</c:f>
              <c:numCache>
                <c:formatCode>#\ ##0.0</c:formatCode>
                <c:ptCount val="5"/>
                <c:pt idx="0">
                  <c:v>65.599999999999994</c:v>
                </c:pt>
                <c:pt idx="1">
                  <c:v>50.6</c:v>
                </c:pt>
                <c:pt idx="2">
                  <c:v>49.1</c:v>
                </c:pt>
                <c:pt idx="3">
                  <c:v>58.9</c:v>
                </c:pt>
                <c:pt idx="4">
                  <c:v>57.1</c:v>
                </c:pt>
              </c:numCache>
            </c:numRef>
          </c:val>
          <c:extLst>
            <c:ext xmlns:c16="http://schemas.microsoft.com/office/drawing/2014/chart" uri="{C3380CC4-5D6E-409C-BE32-E72D297353CC}">
              <c16:uniqueId val="{0000000B-CF68-49AB-951F-A9047E8062B7}"/>
            </c:ext>
          </c:extLst>
        </c:ser>
        <c:dLbls>
          <c:showLegendKey val="0"/>
          <c:showVal val="0"/>
          <c:showCatName val="0"/>
          <c:showSerName val="0"/>
          <c:showPercent val="0"/>
          <c:showBubbleSize val="0"/>
        </c:dLbls>
        <c:gapWidth val="219"/>
        <c:overlap val="-27"/>
        <c:axId val="188577272"/>
        <c:axId val="188576944"/>
      </c:barChart>
      <c:catAx>
        <c:axId val="188577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188576944"/>
        <c:crosses val="autoZero"/>
        <c:auto val="1"/>
        <c:lblAlgn val="ctr"/>
        <c:lblOffset val="100"/>
        <c:noMultiLvlLbl val="0"/>
      </c:catAx>
      <c:valAx>
        <c:axId val="188576944"/>
        <c:scaling>
          <c:orientation val="minMax"/>
          <c:max val="80"/>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188577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prognoza!$H$145</c:f>
              <c:strCache>
                <c:ptCount val="1"/>
                <c:pt idx="0">
                  <c:v>wiek przedprodukcyjny</c:v>
                </c:pt>
              </c:strCache>
            </c:strRef>
          </c:tx>
          <c:spPr>
            <a:solidFill>
              <a:schemeClr val="accent1"/>
            </a:solidFill>
            <a:ln>
              <a:noFill/>
            </a:ln>
            <a:effectLst/>
          </c:spPr>
          <c:invertIfNegative val="0"/>
          <c:cat>
            <c:strRef>
              <c:f>prognoza!$G$146:$G$150</c:f>
              <c:strCache>
                <c:ptCount val="5"/>
                <c:pt idx="0">
                  <c:v>Olsztyn</c:v>
                </c:pt>
                <c:pt idx="1">
                  <c:v>Kielce</c:v>
                </c:pt>
                <c:pt idx="2">
                  <c:v>Białystok</c:v>
                </c:pt>
                <c:pt idx="3">
                  <c:v>Rzeszów</c:v>
                </c:pt>
                <c:pt idx="4">
                  <c:v>Lublin</c:v>
                </c:pt>
              </c:strCache>
            </c:strRef>
          </c:cat>
          <c:val>
            <c:numRef>
              <c:f>prognoza!$H$146:$H$150</c:f>
              <c:numCache>
                <c:formatCode>0.00%</c:formatCode>
                <c:ptCount val="5"/>
                <c:pt idx="0">
                  <c:v>-7.4337427278603749E-2</c:v>
                </c:pt>
                <c:pt idx="1">
                  <c:v>-0.12188214090309292</c:v>
                </c:pt>
                <c:pt idx="2">
                  <c:v>-5.2889191026512579E-2</c:v>
                </c:pt>
                <c:pt idx="3">
                  <c:v>6.6578849402938053E-2</c:v>
                </c:pt>
                <c:pt idx="4">
                  <c:v>-9.3838962499560682E-2</c:v>
                </c:pt>
              </c:numCache>
            </c:numRef>
          </c:val>
          <c:extLst>
            <c:ext xmlns:c16="http://schemas.microsoft.com/office/drawing/2014/chart" uri="{C3380CC4-5D6E-409C-BE32-E72D297353CC}">
              <c16:uniqueId val="{00000000-5E2D-478A-BC03-5BE7D88B13B5}"/>
            </c:ext>
          </c:extLst>
        </c:ser>
        <c:ser>
          <c:idx val="1"/>
          <c:order val="1"/>
          <c:tx>
            <c:strRef>
              <c:f>prognoza!$I$145</c:f>
              <c:strCache>
                <c:ptCount val="1"/>
                <c:pt idx="0">
                  <c:v>wiek produkcyjny</c:v>
                </c:pt>
              </c:strCache>
            </c:strRef>
          </c:tx>
          <c:spPr>
            <a:solidFill>
              <a:schemeClr val="accent2"/>
            </a:solidFill>
            <a:ln>
              <a:noFill/>
            </a:ln>
            <a:effectLst/>
          </c:spPr>
          <c:invertIfNegative val="0"/>
          <c:cat>
            <c:strRef>
              <c:f>prognoza!$G$146:$G$150</c:f>
              <c:strCache>
                <c:ptCount val="5"/>
                <c:pt idx="0">
                  <c:v>Olsztyn</c:v>
                </c:pt>
                <c:pt idx="1">
                  <c:v>Kielce</c:v>
                </c:pt>
                <c:pt idx="2">
                  <c:v>Białystok</c:v>
                </c:pt>
                <c:pt idx="3">
                  <c:v>Rzeszów</c:v>
                </c:pt>
                <c:pt idx="4">
                  <c:v>Lublin</c:v>
                </c:pt>
              </c:strCache>
            </c:strRef>
          </c:cat>
          <c:val>
            <c:numRef>
              <c:f>prognoza!$I$146:$I$150</c:f>
              <c:numCache>
                <c:formatCode>0.00%</c:formatCode>
                <c:ptCount val="5"/>
                <c:pt idx="0">
                  <c:v>-6.0075891434695709E-2</c:v>
                </c:pt>
                <c:pt idx="1">
                  <c:v>-0.11247868712702472</c:v>
                </c:pt>
                <c:pt idx="2">
                  <c:v>-7.3911531391285631E-2</c:v>
                </c:pt>
                <c:pt idx="3">
                  <c:v>8.9609595119723596E-3</c:v>
                </c:pt>
                <c:pt idx="4">
                  <c:v>-8.4538583089263972E-2</c:v>
                </c:pt>
              </c:numCache>
            </c:numRef>
          </c:val>
          <c:extLst>
            <c:ext xmlns:c16="http://schemas.microsoft.com/office/drawing/2014/chart" uri="{C3380CC4-5D6E-409C-BE32-E72D297353CC}">
              <c16:uniqueId val="{00000001-5E2D-478A-BC03-5BE7D88B13B5}"/>
            </c:ext>
          </c:extLst>
        </c:ser>
        <c:ser>
          <c:idx val="2"/>
          <c:order val="2"/>
          <c:tx>
            <c:strRef>
              <c:f>prognoza!$J$145</c:f>
              <c:strCache>
                <c:ptCount val="1"/>
                <c:pt idx="0">
                  <c:v>wiek poprodukcyjny</c:v>
                </c:pt>
              </c:strCache>
            </c:strRef>
          </c:tx>
          <c:spPr>
            <a:solidFill>
              <a:schemeClr val="accent3"/>
            </a:solidFill>
            <a:ln>
              <a:noFill/>
            </a:ln>
            <a:effectLst/>
          </c:spPr>
          <c:invertIfNegative val="0"/>
          <c:cat>
            <c:strRef>
              <c:f>prognoza!$G$146:$G$150</c:f>
              <c:strCache>
                <c:ptCount val="5"/>
                <c:pt idx="0">
                  <c:v>Olsztyn</c:v>
                </c:pt>
                <c:pt idx="1">
                  <c:v>Kielce</c:v>
                </c:pt>
                <c:pt idx="2">
                  <c:v>Białystok</c:v>
                </c:pt>
                <c:pt idx="3">
                  <c:v>Rzeszów</c:v>
                </c:pt>
                <c:pt idx="4">
                  <c:v>Lublin</c:v>
                </c:pt>
              </c:strCache>
            </c:strRef>
          </c:cat>
          <c:val>
            <c:numRef>
              <c:f>prognoza!$J$146:$J$150</c:f>
              <c:numCache>
                <c:formatCode>0.00%</c:formatCode>
                <c:ptCount val="5"/>
                <c:pt idx="0">
                  <c:v>0.12274859996972907</c:v>
                </c:pt>
                <c:pt idx="1">
                  <c:v>5.7295540852679794E-2</c:v>
                </c:pt>
                <c:pt idx="2">
                  <c:v>0.18606596743458256</c:v>
                </c:pt>
                <c:pt idx="3">
                  <c:v>0.1582751744765703</c:v>
                </c:pt>
                <c:pt idx="4">
                  <c:v>8.2219389303709103E-2</c:v>
                </c:pt>
              </c:numCache>
            </c:numRef>
          </c:val>
          <c:extLst>
            <c:ext xmlns:c16="http://schemas.microsoft.com/office/drawing/2014/chart" uri="{C3380CC4-5D6E-409C-BE32-E72D297353CC}">
              <c16:uniqueId val="{00000002-5E2D-478A-BC03-5BE7D88B13B5}"/>
            </c:ext>
          </c:extLst>
        </c:ser>
        <c:dLbls>
          <c:showLegendKey val="0"/>
          <c:showVal val="0"/>
          <c:showCatName val="0"/>
          <c:showSerName val="0"/>
          <c:showPercent val="0"/>
          <c:showBubbleSize val="0"/>
        </c:dLbls>
        <c:gapWidth val="219"/>
        <c:overlap val="-27"/>
        <c:axId val="421929120"/>
        <c:axId val="421927152"/>
      </c:barChart>
      <c:catAx>
        <c:axId val="421929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1927152"/>
        <c:crosses val="autoZero"/>
        <c:auto val="1"/>
        <c:lblAlgn val="ctr"/>
        <c:lblOffset val="100"/>
        <c:noMultiLvlLbl val="0"/>
      </c:catAx>
      <c:valAx>
        <c:axId val="4219271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192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TABLICA!$C$42</c:f>
              <c:strCache>
                <c:ptCount val="1"/>
                <c:pt idx="0">
                  <c:v>2013</c:v>
                </c:pt>
              </c:strCache>
            </c:strRef>
          </c:tx>
          <c:spPr>
            <a:solidFill>
              <a:schemeClr val="accent1"/>
            </a:solidFill>
            <a:ln>
              <a:noFill/>
            </a:ln>
            <a:effectLst/>
          </c:spPr>
          <c:invertIfNegative val="0"/>
          <c:dLbls>
            <c:dLbl>
              <c:idx val="0"/>
              <c:layout>
                <c:manualLayout>
                  <c:x val="0"/>
                  <c:y val="0.144782588378233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ABE-4FF1-9082-1A045231B2CD}"/>
                </c:ext>
              </c:extLst>
            </c:dLbl>
            <c:dLbl>
              <c:idx val="1"/>
              <c:layout>
                <c:manualLayout>
                  <c:x val="0"/>
                  <c:y val="0.139836600543626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ABE-4FF1-9082-1A045231B2CD}"/>
                </c:ext>
              </c:extLst>
            </c:dLbl>
            <c:dLbl>
              <c:idx val="2"/>
              <c:layout>
                <c:manualLayout>
                  <c:x val="-1.0185067526415994E-16"/>
                  <c:y val="0.129629629629629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ABE-4FF1-9082-1A045231B2CD}"/>
                </c:ext>
              </c:extLst>
            </c:dLbl>
            <c:dLbl>
              <c:idx val="3"/>
              <c:layout>
                <c:manualLayout>
                  <c:x val="0"/>
                  <c:y val="0.149727797378443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ABE-4FF1-9082-1A045231B2CD}"/>
                </c:ext>
              </c:extLst>
            </c:dLbl>
            <c:dLbl>
              <c:idx val="4"/>
              <c:layout>
                <c:manualLayout>
                  <c:x val="1.0571210348882105E-16"/>
                  <c:y val="0.149728186795641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ABE-4FF1-9082-1A045231B2CD}"/>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TABLICA!$B$43:$B$47</c:f>
              <c:strCache>
                <c:ptCount val="5"/>
                <c:pt idx="0">
                  <c:v>Olsztyn</c:v>
                </c:pt>
                <c:pt idx="1">
                  <c:v>Kielce</c:v>
                </c:pt>
                <c:pt idx="2">
                  <c:v>Białystok</c:v>
                </c:pt>
                <c:pt idx="3">
                  <c:v>Rzeszów</c:v>
                </c:pt>
                <c:pt idx="4">
                  <c:v>Lublin</c:v>
                </c:pt>
              </c:strCache>
            </c:strRef>
          </c:cat>
          <c:val>
            <c:numRef>
              <c:f>TABLICA!$C$43:$C$47</c:f>
              <c:numCache>
                <c:formatCode>#\ ##0.0</c:formatCode>
                <c:ptCount val="5"/>
                <c:pt idx="0">
                  <c:v>36.799999999999997</c:v>
                </c:pt>
                <c:pt idx="1">
                  <c:v>44.3</c:v>
                </c:pt>
                <c:pt idx="2">
                  <c:v>33.6</c:v>
                </c:pt>
                <c:pt idx="3">
                  <c:v>41.3</c:v>
                </c:pt>
                <c:pt idx="4">
                  <c:v>37.799999999999997</c:v>
                </c:pt>
              </c:numCache>
            </c:numRef>
          </c:val>
          <c:extLst>
            <c:ext xmlns:c16="http://schemas.microsoft.com/office/drawing/2014/chart" uri="{C3380CC4-5D6E-409C-BE32-E72D297353CC}">
              <c16:uniqueId val="{00000005-2ABE-4FF1-9082-1A045231B2CD}"/>
            </c:ext>
          </c:extLst>
        </c:ser>
        <c:ser>
          <c:idx val="1"/>
          <c:order val="1"/>
          <c:tx>
            <c:strRef>
              <c:f>TABLICA!$D$42</c:f>
              <c:strCache>
                <c:ptCount val="1"/>
                <c:pt idx="0">
                  <c:v>2019</c:v>
                </c:pt>
              </c:strCache>
            </c:strRef>
          </c:tx>
          <c:spPr>
            <a:solidFill>
              <a:schemeClr val="accent2"/>
            </a:solidFill>
            <a:ln>
              <a:noFill/>
            </a:ln>
            <a:effectLst/>
          </c:spPr>
          <c:invertIfNegative val="0"/>
          <c:dLbls>
            <c:dLbl>
              <c:idx val="0"/>
              <c:layout>
                <c:manualLayout>
                  <c:x val="-2.5462668816039986E-17"/>
                  <c:y val="0.134259259259259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ABE-4FF1-9082-1A045231B2CD}"/>
                </c:ext>
              </c:extLst>
            </c:dLbl>
            <c:dLbl>
              <c:idx val="1"/>
              <c:layout>
                <c:manualLayout>
                  <c:x val="0"/>
                  <c:y val="0.1398369899608246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ABE-4FF1-9082-1A045231B2CD}"/>
                </c:ext>
              </c:extLst>
            </c:dLbl>
            <c:dLbl>
              <c:idx val="2"/>
              <c:layout>
                <c:manualLayout>
                  <c:x val="0"/>
                  <c:y val="0.144782588378233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ABE-4FF1-9082-1A045231B2CD}"/>
                </c:ext>
              </c:extLst>
            </c:dLbl>
            <c:dLbl>
              <c:idx val="3"/>
              <c:layout>
                <c:manualLayout>
                  <c:x val="1.0533496632799811E-4"/>
                  <c:y val="0.1398369899608246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ABE-4FF1-9082-1A045231B2CD}"/>
                </c:ext>
              </c:extLst>
            </c:dLbl>
            <c:dLbl>
              <c:idx val="4"/>
              <c:layout>
                <c:manualLayout>
                  <c:x val="1.0185067526415994E-16"/>
                  <c:y val="0.129629629629629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ABE-4FF1-9082-1A045231B2CD}"/>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TABLICA!$B$43:$B$47</c:f>
              <c:strCache>
                <c:ptCount val="5"/>
                <c:pt idx="0">
                  <c:v>Olsztyn</c:v>
                </c:pt>
                <c:pt idx="1">
                  <c:v>Kielce</c:v>
                </c:pt>
                <c:pt idx="2">
                  <c:v>Białystok</c:v>
                </c:pt>
                <c:pt idx="3">
                  <c:v>Rzeszów</c:v>
                </c:pt>
                <c:pt idx="4">
                  <c:v>Lublin</c:v>
                </c:pt>
              </c:strCache>
            </c:strRef>
          </c:cat>
          <c:val>
            <c:numRef>
              <c:f>TABLICA!$D$43:$D$47</c:f>
              <c:numCache>
                <c:formatCode>#\ ##0.0</c:formatCode>
                <c:ptCount val="5"/>
                <c:pt idx="0">
                  <c:v>33.5</c:v>
                </c:pt>
                <c:pt idx="1">
                  <c:v>37.200000000000003</c:v>
                </c:pt>
                <c:pt idx="2">
                  <c:v>34.799999999999997</c:v>
                </c:pt>
                <c:pt idx="3">
                  <c:v>39.299999999999997</c:v>
                </c:pt>
                <c:pt idx="4">
                  <c:v>35.6</c:v>
                </c:pt>
              </c:numCache>
            </c:numRef>
          </c:val>
          <c:extLst>
            <c:ext xmlns:c16="http://schemas.microsoft.com/office/drawing/2014/chart" uri="{C3380CC4-5D6E-409C-BE32-E72D297353CC}">
              <c16:uniqueId val="{0000000B-2ABE-4FF1-9082-1A045231B2CD}"/>
            </c:ext>
          </c:extLst>
        </c:ser>
        <c:dLbls>
          <c:showLegendKey val="0"/>
          <c:showVal val="0"/>
          <c:showCatName val="0"/>
          <c:showSerName val="0"/>
          <c:showPercent val="0"/>
          <c:showBubbleSize val="0"/>
        </c:dLbls>
        <c:gapWidth val="219"/>
        <c:overlap val="-27"/>
        <c:axId val="255926024"/>
        <c:axId val="255926352"/>
      </c:barChart>
      <c:catAx>
        <c:axId val="255926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55926352"/>
        <c:crosses val="autoZero"/>
        <c:auto val="1"/>
        <c:lblAlgn val="ctr"/>
        <c:lblOffset val="100"/>
        <c:noMultiLvlLbl val="0"/>
      </c:catAx>
      <c:valAx>
        <c:axId val="255926352"/>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55926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TABLICA!$C$3</c:f>
              <c:strCache>
                <c:ptCount val="1"/>
                <c:pt idx="0">
                  <c:v>2017</c:v>
                </c:pt>
              </c:strCache>
            </c:strRef>
          </c:tx>
          <c:spPr>
            <a:solidFill>
              <a:schemeClr val="accent1"/>
            </a:solidFill>
            <a:ln>
              <a:noFill/>
            </a:ln>
            <a:effectLst/>
          </c:spPr>
          <c:invertIfNegative val="0"/>
          <c:dLbls>
            <c:dLbl>
              <c:idx val="0"/>
              <c:layout>
                <c:manualLayout>
                  <c:x val="0"/>
                  <c:y val="0.218756197873660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BEB-458A-9FBF-36A97ED4061E}"/>
                </c:ext>
              </c:extLst>
            </c:dLbl>
            <c:dLbl>
              <c:idx val="1"/>
              <c:layout>
                <c:manualLayout>
                  <c:x val="0"/>
                  <c:y val="0.223386182346875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BEB-458A-9FBF-36A97ED4061E}"/>
                </c:ext>
              </c:extLst>
            </c:dLbl>
            <c:dLbl>
              <c:idx val="2"/>
              <c:layout>
                <c:manualLayout>
                  <c:x val="0"/>
                  <c:y val="0.2284037438120033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BEB-458A-9FBF-36A97ED4061E}"/>
                </c:ext>
              </c:extLst>
            </c:dLbl>
            <c:dLbl>
              <c:idx val="3"/>
              <c:layout>
                <c:manualLayout>
                  <c:x val="0"/>
                  <c:y val="0.2280157717365107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BEB-458A-9FBF-36A97ED4061E}"/>
                </c:ext>
              </c:extLst>
            </c:dLbl>
            <c:dLbl>
              <c:idx val="4"/>
              <c:layout>
                <c:manualLayout>
                  <c:x val="-1.0262032772207551E-16"/>
                  <c:y val="0.2114111990391567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BEB-458A-9FBF-36A97ED4061E}"/>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TABLICA!$B$4:$B$8</c:f>
              <c:strCache>
                <c:ptCount val="5"/>
                <c:pt idx="0">
                  <c:v>Olsztyn</c:v>
                </c:pt>
                <c:pt idx="1">
                  <c:v>Kielce</c:v>
                </c:pt>
                <c:pt idx="2">
                  <c:v>Białystok</c:v>
                </c:pt>
                <c:pt idx="3">
                  <c:v>Rzeszów</c:v>
                </c:pt>
                <c:pt idx="4">
                  <c:v>Lublin</c:v>
                </c:pt>
              </c:strCache>
            </c:strRef>
          </c:cat>
          <c:val>
            <c:numRef>
              <c:f>TABLICA!$C$4:$C$8</c:f>
              <c:numCache>
                <c:formatCode>#,##0.00</c:formatCode>
                <c:ptCount val="5"/>
                <c:pt idx="0">
                  <c:v>69225.960000000006</c:v>
                </c:pt>
                <c:pt idx="1">
                  <c:v>67534.27</c:v>
                </c:pt>
                <c:pt idx="2">
                  <c:v>81073.649999999994</c:v>
                </c:pt>
                <c:pt idx="3">
                  <c:v>71427.34</c:v>
                </c:pt>
                <c:pt idx="4">
                  <c:v>114052.36</c:v>
                </c:pt>
              </c:numCache>
            </c:numRef>
          </c:val>
          <c:extLst>
            <c:ext xmlns:c16="http://schemas.microsoft.com/office/drawing/2014/chart" uri="{C3380CC4-5D6E-409C-BE32-E72D297353CC}">
              <c16:uniqueId val="{00000005-CBEB-458A-9FBF-36A97ED4061E}"/>
            </c:ext>
          </c:extLst>
        </c:ser>
        <c:ser>
          <c:idx val="1"/>
          <c:order val="1"/>
          <c:tx>
            <c:strRef>
              <c:f>TABLICA!$D$3</c:f>
              <c:strCache>
                <c:ptCount val="1"/>
                <c:pt idx="0">
                  <c:v>2018</c:v>
                </c:pt>
              </c:strCache>
            </c:strRef>
          </c:tx>
          <c:spPr>
            <a:solidFill>
              <a:schemeClr val="accent2"/>
            </a:solidFill>
            <a:ln>
              <a:noFill/>
            </a:ln>
            <a:effectLst/>
          </c:spPr>
          <c:invertIfNegative val="0"/>
          <c:dLbls>
            <c:dLbl>
              <c:idx val="0"/>
              <c:layout>
                <c:manualLayout>
                  <c:x val="0"/>
                  <c:y val="0.228403743812003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BEB-458A-9FBF-36A97ED4061E}"/>
                </c:ext>
              </c:extLst>
            </c:dLbl>
            <c:dLbl>
              <c:idx val="1"/>
              <c:layout>
                <c:manualLayout>
                  <c:x val="-5.1310163861037753E-17"/>
                  <c:y val="0.228403743812003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BEB-458A-9FBF-36A97ED4061E}"/>
                </c:ext>
              </c:extLst>
            </c:dLbl>
            <c:dLbl>
              <c:idx val="2"/>
              <c:layout>
                <c:manualLayout>
                  <c:x val="0"/>
                  <c:y val="0.228403743812003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BEB-458A-9FBF-36A97ED4061E}"/>
                </c:ext>
              </c:extLst>
            </c:dLbl>
            <c:dLbl>
              <c:idx val="3"/>
              <c:layout>
                <c:manualLayout>
                  <c:x val="2.7778328716466091E-3"/>
                  <c:y val="0.228403743812003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BEB-458A-9FBF-36A97ED4061E}"/>
                </c:ext>
              </c:extLst>
            </c:dLbl>
            <c:dLbl>
              <c:idx val="4"/>
              <c:layout>
                <c:manualLayout>
                  <c:x val="-2.0935670194878034E-5"/>
                  <c:y val="0.186323391713516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BEB-458A-9FBF-36A97ED4061E}"/>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TABLICA!$B$4:$B$8</c:f>
              <c:strCache>
                <c:ptCount val="5"/>
                <c:pt idx="0">
                  <c:v>Olsztyn</c:v>
                </c:pt>
                <c:pt idx="1">
                  <c:v>Kielce</c:v>
                </c:pt>
                <c:pt idx="2">
                  <c:v>Białystok</c:v>
                </c:pt>
                <c:pt idx="3">
                  <c:v>Rzeszów</c:v>
                </c:pt>
                <c:pt idx="4">
                  <c:v>Lublin</c:v>
                </c:pt>
              </c:strCache>
            </c:strRef>
          </c:cat>
          <c:val>
            <c:numRef>
              <c:f>TABLICA!$D$4:$D$8</c:f>
              <c:numCache>
                <c:formatCode>#,##0.00</c:formatCode>
                <c:ptCount val="5"/>
                <c:pt idx="0">
                  <c:v>73116.53</c:v>
                </c:pt>
                <c:pt idx="1">
                  <c:v>67660.12</c:v>
                </c:pt>
                <c:pt idx="2">
                  <c:v>85192.81</c:v>
                </c:pt>
                <c:pt idx="3">
                  <c:v>84901.95</c:v>
                </c:pt>
                <c:pt idx="4">
                  <c:v>116173.31</c:v>
                </c:pt>
              </c:numCache>
            </c:numRef>
          </c:val>
          <c:extLst>
            <c:ext xmlns:c16="http://schemas.microsoft.com/office/drawing/2014/chart" uri="{C3380CC4-5D6E-409C-BE32-E72D297353CC}">
              <c16:uniqueId val="{0000000B-CBEB-458A-9FBF-36A97ED4061E}"/>
            </c:ext>
          </c:extLst>
        </c:ser>
        <c:ser>
          <c:idx val="2"/>
          <c:order val="2"/>
          <c:tx>
            <c:strRef>
              <c:f>TABLICA!$E$3</c:f>
              <c:strCache>
                <c:ptCount val="1"/>
                <c:pt idx="0">
                  <c:v>2019</c:v>
                </c:pt>
              </c:strCache>
            </c:strRef>
          </c:tx>
          <c:spPr>
            <a:solidFill>
              <a:schemeClr val="accent3"/>
            </a:solidFill>
            <a:ln>
              <a:noFill/>
            </a:ln>
            <a:effectLst/>
          </c:spPr>
          <c:invertIfNegative val="0"/>
          <c:dLbls>
            <c:dLbl>
              <c:idx val="0"/>
              <c:layout>
                <c:manualLayout>
                  <c:x val="0"/>
                  <c:y val="0.228403743812003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BEB-458A-9FBF-36A97ED4061E}"/>
                </c:ext>
              </c:extLst>
            </c:dLbl>
            <c:dLbl>
              <c:idx val="1"/>
              <c:layout>
                <c:manualLayout>
                  <c:x val="0"/>
                  <c:y val="0.228403743812003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BEB-458A-9FBF-36A97ED4061E}"/>
                </c:ext>
              </c:extLst>
            </c:dLbl>
            <c:dLbl>
              <c:idx val="2"/>
              <c:layout>
                <c:manualLayout>
                  <c:x val="-1.0262032772207551E-16"/>
                  <c:y val="0.246922101370544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BEB-458A-9FBF-36A97ED4061E}"/>
                </c:ext>
              </c:extLst>
            </c:dLbl>
            <c:dLbl>
              <c:idx val="3"/>
              <c:layout>
                <c:manualLayout>
                  <c:x val="0"/>
                  <c:y val="0.228791320803916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BEB-458A-9FBF-36A97ED4061E}"/>
                </c:ext>
              </c:extLst>
            </c:dLbl>
            <c:dLbl>
              <c:idx val="4"/>
              <c:layout>
                <c:manualLayout>
                  <c:x val="-1.0262032772207551E-16"/>
                  <c:y val="0.131518187672602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CBEB-458A-9FBF-36A97ED4061E}"/>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TABLICA!$B$4:$B$8</c:f>
              <c:strCache>
                <c:ptCount val="5"/>
                <c:pt idx="0">
                  <c:v>Olsztyn</c:v>
                </c:pt>
                <c:pt idx="1">
                  <c:v>Kielce</c:v>
                </c:pt>
                <c:pt idx="2">
                  <c:v>Białystok</c:v>
                </c:pt>
                <c:pt idx="3">
                  <c:v>Rzeszów</c:v>
                </c:pt>
                <c:pt idx="4">
                  <c:v>Lublin</c:v>
                </c:pt>
              </c:strCache>
            </c:strRef>
          </c:cat>
          <c:val>
            <c:numRef>
              <c:f>TABLICA!$E$4:$E$8</c:f>
              <c:numCache>
                <c:formatCode>#,##0.00</c:formatCode>
                <c:ptCount val="5"/>
                <c:pt idx="0">
                  <c:v>67587.41</c:v>
                </c:pt>
                <c:pt idx="1">
                  <c:v>68985.759999999995</c:v>
                </c:pt>
                <c:pt idx="2">
                  <c:v>102519.03</c:v>
                </c:pt>
                <c:pt idx="3">
                  <c:v>87730.03</c:v>
                </c:pt>
                <c:pt idx="4">
                  <c:v>128103.4</c:v>
                </c:pt>
              </c:numCache>
            </c:numRef>
          </c:val>
          <c:extLst>
            <c:ext xmlns:c16="http://schemas.microsoft.com/office/drawing/2014/chart" uri="{C3380CC4-5D6E-409C-BE32-E72D297353CC}">
              <c16:uniqueId val="{00000011-CBEB-458A-9FBF-36A97ED4061E}"/>
            </c:ext>
          </c:extLst>
        </c:ser>
        <c:dLbls>
          <c:showLegendKey val="0"/>
          <c:showVal val="0"/>
          <c:showCatName val="0"/>
          <c:showSerName val="0"/>
          <c:showPercent val="0"/>
          <c:showBubbleSize val="0"/>
        </c:dLbls>
        <c:gapWidth val="219"/>
        <c:overlap val="-27"/>
        <c:axId val="422037632"/>
        <c:axId val="422037960"/>
      </c:barChart>
      <c:catAx>
        <c:axId val="422037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2037960"/>
        <c:crosses val="autoZero"/>
        <c:auto val="1"/>
        <c:lblAlgn val="ctr"/>
        <c:lblOffset val="100"/>
        <c:noMultiLvlLbl val="0"/>
      </c:catAx>
      <c:valAx>
        <c:axId val="42203796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2037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TABLICA!$C$30</c:f>
              <c:strCache>
                <c:ptCount val="1"/>
                <c:pt idx="0">
                  <c:v>2017</c:v>
                </c:pt>
              </c:strCache>
            </c:strRef>
          </c:tx>
          <c:spPr>
            <a:solidFill>
              <a:schemeClr val="accent1"/>
            </a:solidFill>
            <a:ln>
              <a:noFill/>
            </a:ln>
            <a:effectLst/>
          </c:spPr>
          <c:invertIfNegative val="0"/>
          <c:dLbls>
            <c:dLbl>
              <c:idx val="0"/>
              <c:layout>
                <c:manualLayout>
                  <c:x val="2.7709860739403816E-3"/>
                  <c:y val="0.1805555555555554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40B-4850-B2E9-44F05FB75F33}"/>
                </c:ext>
              </c:extLst>
            </c:dLbl>
            <c:dLbl>
              <c:idx val="1"/>
              <c:layout>
                <c:manualLayout>
                  <c:x val="0"/>
                  <c:y val="0.185185185185185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40B-4850-B2E9-44F05FB75F33}"/>
                </c:ext>
              </c:extLst>
            </c:dLbl>
            <c:dLbl>
              <c:idx val="2"/>
              <c:layout>
                <c:manualLayout>
                  <c:x val="2.7709860739403816E-3"/>
                  <c:y val="0.1898148148148148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40B-4850-B2E9-44F05FB75F33}"/>
                </c:ext>
              </c:extLst>
            </c:dLbl>
            <c:dLbl>
              <c:idx val="3"/>
              <c:layout>
                <c:manualLayout>
                  <c:x val="-1.0160164900022806E-16"/>
                  <c:y val="0.185185185185185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40B-4850-B2E9-44F05FB75F33}"/>
                </c:ext>
              </c:extLst>
            </c:dLbl>
            <c:dLbl>
              <c:idx val="4"/>
              <c:layout>
                <c:manualLayout>
                  <c:x val="-1.0160164900022806E-16"/>
                  <c:y val="0.185185185185185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40B-4850-B2E9-44F05FB75F33}"/>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TABLICA!$B$31:$B$35</c:f>
              <c:strCache>
                <c:ptCount val="5"/>
                <c:pt idx="0">
                  <c:v>Olsztyn</c:v>
                </c:pt>
                <c:pt idx="1">
                  <c:v>Kielce</c:v>
                </c:pt>
                <c:pt idx="2">
                  <c:v>Białystok</c:v>
                </c:pt>
                <c:pt idx="3">
                  <c:v>Rzeszów</c:v>
                </c:pt>
                <c:pt idx="4">
                  <c:v>Lublin</c:v>
                </c:pt>
              </c:strCache>
            </c:strRef>
          </c:cat>
          <c:val>
            <c:numRef>
              <c:f>TABLICA!$C$31:$C$35</c:f>
              <c:numCache>
                <c:formatCode>#,##0.00</c:formatCode>
                <c:ptCount val="5"/>
                <c:pt idx="0">
                  <c:v>14747.28</c:v>
                </c:pt>
                <c:pt idx="1">
                  <c:v>15929.33</c:v>
                </c:pt>
                <c:pt idx="2">
                  <c:v>32955.35</c:v>
                </c:pt>
                <c:pt idx="3">
                  <c:v>20259.919999999998</c:v>
                </c:pt>
                <c:pt idx="4">
                  <c:v>29880.55</c:v>
                </c:pt>
              </c:numCache>
            </c:numRef>
          </c:val>
          <c:extLst>
            <c:ext xmlns:c16="http://schemas.microsoft.com/office/drawing/2014/chart" uri="{C3380CC4-5D6E-409C-BE32-E72D297353CC}">
              <c16:uniqueId val="{00000005-040B-4850-B2E9-44F05FB75F33}"/>
            </c:ext>
          </c:extLst>
        </c:ser>
        <c:ser>
          <c:idx val="1"/>
          <c:order val="1"/>
          <c:tx>
            <c:strRef>
              <c:f>TABLICA!$D$30</c:f>
              <c:strCache>
                <c:ptCount val="1"/>
                <c:pt idx="0">
                  <c:v>2018</c:v>
                </c:pt>
              </c:strCache>
            </c:strRef>
          </c:tx>
          <c:spPr>
            <a:solidFill>
              <a:schemeClr val="accent2"/>
            </a:solidFill>
            <a:ln>
              <a:noFill/>
            </a:ln>
            <a:effectLst/>
          </c:spPr>
          <c:invertIfNegative val="0"/>
          <c:dLbls>
            <c:dLbl>
              <c:idx val="0"/>
              <c:layout>
                <c:manualLayout>
                  <c:x val="0"/>
                  <c:y val="0.1805555555555554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40B-4850-B2E9-44F05FB75F33}"/>
                </c:ext>
              </c:extLst>
            </c:dLbl>
            <c:dLbl>
              <c:idx val="1"/>
              <c:layout>
                <c:manualLayout>
                  <c:x val="2.7709860739403309E-3"/>
                  <c:y val="0.180555555555555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40B-4850-B2E9-44F05FB75F33}"/>
                </c:ext>
              </c:extLst>
            </c:dLbl>
            <c:dLbl>
              <c:idx val="2"/>
              <c:layout>
                <c:manualLayout>
                  <c:x val="2.7709860739403816E-3"/>
                  <c:y val="0.194444444444444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40B-4850-B2E9-44F05FB75F33}"/>
                </c:ext>
              </c:extLst>
            </c:dLbl>
            <c:dLbl>
              <c:idx val="3"/>
              <c:layout>
                <c:manualLayout>
                  <c:x val="0"/>
                  <c:y val="0.185185185185185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40B-4850-B2E9-44F05FB75F33}"/>
                </c:ext>
              </c:extLst>
            </c:dLbl>
            <c:dLbl>
              <c:idx val="4"/>
              <c:layout>
                <c:manualLayout>
                  <c:x val="0"/>
                  <c:y val="0.1898148148148148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40B-4850-B2E9-44F05FB75F33}"/>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TABLICA!$B$31:$B$35</c:f>
              <c:strCache>
                <c:ptCount val="5"/>
                <c:pt idx="0">
                  <c:v>Olsztyn</c:v>
                </c:pt>
                <c:pt idx="1">
                  <c:v>Kielce</c:v>
                </c:pt>
                <c:pt idx="2">
                  <c:v>Białystok</c:v>
                </c:pt>
                <c:pt idx="3">
                  <c:v>Rzeszów</c:v>
                </c:pt>
                <c:pt idx="4">
                  <c:v>Lublin</c:v>
                </c:pt>
              </c:strCache>
            </c:strRef>
          </c:cat>
          <c:val>
            <c:numRef>
              <c:f>TABLICA!$D$31:$D$35</c:f>
              <c:numCache>
                <c:formatCode>#,##0.00</c:formatCode>
                <c:ptCount val="5"/>
                <c:pt idx="0">
                  <c:v>14899.06</c:v>
                </c:pt>
                <c:pt idx="1">
                  <c:v>16419.259999999998</c:v>
                </c:pt>
                <c:pt idx="2">
                  <c:v>34756.639999999999</c:v>
                </c:pt>
                <c:pt idx="3">
                  <c:v>27807.52</c:v>
                </c:pt>
                <c:pt idx="4">
                  <c:v>32604.13</c:v>
                </c:pt>
              </c:numCache>
            </c:numRef>
          </c:val>
          <c:extLst>
            <c:ext xmlns:c16="http://schemas.microsoft.com/office/drawing/2014/chart" uri="{C3380CC4-5D6E-409C-BE32-E72D297353CC}">
              <c16:uniqueId val="{0000000B-040B-4850-B2E9-44F05FB75F33}"/>
            </c:ext>
          </c:extLst>
        </c:ser>
        <c:ser>
          <c:idx val="2"/>
          <c:order val="2"/>
          <c:tx>
            <c:strRef>
              <c:f>TABLICA!$E$30</c:f>
              <c:strCache>
                <c:ptCount val="1"/>
                <c:pt idx="0">
                  <c:v>2019</c:v>
                </c:pt>
              </c:strCache>
            </c:strRef>
          </c:tx>
          <c:spPr>
            <a:solidFill>
              <a:schemeClr val="accent3"/>
            </a:solidFill>
            <a:ln>
              <a:noFill/>
            </a:ln>
            <a:effectLst/>
          </c:spPr>
          <c:invertIfNegative val="0"/>
          <c:dLbls>
            <c:dLbl>
              <c:idx val="0"/>
              <c:layout>
                <c:manualLayout>
                  <c:x val="-5.080082450011403E-17"/>
                  <c:y val="0.194444444444444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40B-4850-B2E9-44F05FB75F33}"/>
                </c:ext>
              </c:extLst>
            </c:dLbl>
            <c:dLbl>
              <c:idx val="1"/>
              <c:layout>
                <c:manualLayout>
                  <c:x val="-5.080082450011403E-17"/>
                  <c:y val="0.1851851851851852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40B-4850-B2E9-44F05FB75F33}"/>
                </c:ext>
              </c:extLst>
            </c:dLbl>
            <c:dLbl>
              <c:idx val="2"/>
              <c:layout>
                <c:manualLayout>
                  <c:x val="-1.0160164900022806E-16"/>
                  <c:y val="0.194444444444444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40B-4850-B2E9-44F05FB75F33}"/>
                </c:ext>
              </c:extLst>
            </c:dLbl>
            <c:dLbl>
              <c:idx val="3"/>
              <c:layout>
                <c:manualLayout>
                  <c:x val="-1.0160164900022806E-16"/>
                  <c:y val="0.1898148148148148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40B-4850-B2E9-44F05FB75F33}"/>
                </c:ext>
              </c:extLst>
            </c:dLbl>
            <c:dLbl>
              <c:idx val="4"/>
              <c:layout>
                <c:manualLayout>
                  <c:x val="-1.0160164900022806E-16"/>
                  <c:y val="0.1898148148148148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40B-4850-B2E9-44F05FB75F33}"/>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TABLICA!$B$31:$B$35</c:f>
              <c:strCache>
                <c:ptCount val="5"/>
                <c:pt idx="0">
                  <c:v>Olsztyn</c:v>
                </c:pt>
                <c:pt idx="1">
                  <c:v>Kielce</c:v>
                </c:pt>
                <c:pt idx="2">
                  <c:v>Białystok</c:v>
                </c:pt>
                <c:pt idx="3">
                  <c:v>Rzeszów</c:v>
                </c:pt>
                <c:pt idx="4">
                  <c:v>Lublin</c:v>
                </c:pt>
              </c:strCache>
            </c:strRef>
          </c:cat>
          <c:val>
            <c:numRef>
              <c:f>TABLICA!$E$31:$E$35</c:f>
              <c:numCache>
                <c:formatCode>#,##0.00</c:formatCode>
                <c:ptCount val="5"/>
                <c:pt idx="0">
                  <c:v>16132.18</c:v>
                </c:pt>
                <c:pt idx="1">
                  <c:v>18239.68</c:v>
                </c:pt>
                <c:pt idx="2">
                  <c:v>47808.27</c:v>
                </c:pt>
                <c:pt idx="3">
                  <c:v>26543.42</c:v>
                </c:pt>
                <c:pt idx="4">
                  <c:v>50671.06</c:v>
                </c:pt>
              </c:numCache>
            </c:numRef>
          </c:val>
          <c:extLst>
            <c:ext xmlns:c16="http://schemas.microsoft.com/office/drawing/2014/chart" uri="{C3380CC4-5D6E-409C-BE32-E72D297353CC}">
              <c16:uniqueId val="{00000011-040B-4850-B2E9-44F05FB75F33}"/>
            </c:ext>
          </c:extLst>
        </c:ser>
        <c:dLbls>
          <c:showLegendKey val="0"/>
          <c:showVal val="0"/>
          <c:showCatName val="0"/>
          <c:showSerName val="0"/>
          <c:showPercent val="0"/>
          <c:showBubbleSize val="0"/>
        </c:dLbls>
        <c:gapWidth val="219"/>
        <c:overlap val="-27"/>
        <c:axId val="127981984"/>
        <c:axId val="127982312"/>
      </c:barChart>
      <c:catAx>
        <c:axId val="127981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127982312"/>
        <c:crosses val="autoZero"/>
        <c:auto val="1"/>
        <c:lblAlgn val="ctr"/>
        <c:lblOffset val="100"/>
        <c:noMultiLvlLbl val="0"/>
      </c:catAx>
      <c:valAx>
        <c:axId val="127982312"/>
        <c:scaling>
          <c:orientation val="minMax"/>
          <c:max val="52000"/>
          <c:min val="1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127981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67473067333243"/>
          <c:y val="0.15790598290598293"/>
          <c:w val="0.85198157540352493"/>
          <c:h val="0.64519920586849722"/>
        </c:manualLayout>
      </c:layout>
      <c:barChart>
        <c:barDir val="col"/>
        <c:grouping val="clustered"/>
        <c:varyColors val="0"/>
        <c:ser>
          <c:idx val="0"/>
          <c:order val="0"/>
          <c:tx>
            <c:strRef>
              <c:f>TABLICA!$C$54</c:f>
              <c:strCache>
                <c:ptCount val="1"/>
                <c:pt idx="0">
                  <c:v>2017</c:v>
                </c:pt>
              </c:strCache>
            </c:strRef>
          </c:tx>
          <c:spPr>
            <a:solidFill>
              <a:schemeClr val="accent1"/>
            </a:solidFill>
            <a:ln>
              <a:noFill/>
            </a:ln>
            <a:effectLst/>
          </c:spPr>
          <c:invertIfNegative val="0"/>
          <c:dLbls>
            <c:dLbl>
              <c:idx val="0"/>
              <c:layout>
                <c:manualLayout>
                  <c:x val="0"/>
                  <c:y val="0.198480531813865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E25-43AA-ADFC-D9BADF5B59B4}"/>
                </c:ext>
              </c:extLst>
            </c:dLbl>
            <c:dLbl>
              <c:idx val="1"/>
              <c:layout>
                <c:manualLayout>
                  <c:x val="-2.7634745712511767E-3"/>
                  <c:y val="0.189458689458689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E25-43AA-ADFC-D9BADF5B59B4}"/>
                </c:ext>
              </c:extLst>
            </c:dLbl>
            <c:dLbl>
              <c:idx val="2"/>
              <c:layout>
                <c:manualLayout>
                  <c:x val="0"/>
                  <c:y val="0.198955365622032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E25-43AA-ADFC-D9BADF5B59B4}"/>
                </c:ext>
              </c:extLst>
            </c:dLbl>
            <c:dLbl>
              <c:idx val="3"/>
              <c:layout>
                <c:manualLayout>
                  <c:x val="0"/>
                  <c:y val="0.1894586894586893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E25-43AA-ADFC-D9BADF5B59B4}"/>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TABLICA!$B$55:$B$58</c:f>
              <c:strCache>
                <c:ptCount val="4"/>
                <c:pt idx="0">
                  <c:v>papier i tektura</c:v>
                </c:pt>
                <c:pt idx="1">
                  <c:v>szkło</c:v>
                </c:pt>
                <c:pt idx="2">
                  <c:v>tworzywa sztuczne</c:v>
                </c:pt>
                <c:pt idx="3">
                  <c:v>biodegradowalne</c:v>
                </c:pt>
              </c:strCache>
            </c:strRef>
          </c:cat>
          <c:val>
            <c:numRef>
              <c:f>TABLICA!$C$55:$C$58</c:f>
              <c:numCache>
                <c:formatCode>#,##0.00</c:formatCode>
                <c:ptCount val="4"/>
                <c:pt idx="0">
                  <c:v>2677.33</c:v>
                </c:pt>
                <c:pt idx="1">
                  <c:v>1600.34</c:v>
                </c:pt>
                <c:pt idx="2">
                  <c:v>1666.28</c:v>
                </c:pt>
                <c:pt idx="3">
                  <c:v>2888.49</c:v>
                </c:pt>
              </c:numCache>
            </c:numRef>
          </c:val>
          <c:extLst>
            <c:ext xmlns:c16="http://schemas.microsoft.com/office/drawing/2014/chart" uri="{C3380CC4-5D6E-409C-BE32-E72D297353CC}">
              <c16:uniqueId val="{00000004-EE25-43AA-ADFC-D9BADF5B59B4}"/>
            </c:ext>
          </c:extLst>
        </c:ser>
        <c:ser>
          <c:idx val="1"/>
          <c:order val="1"/>
          <c:tx>
            <c:strRef>
              <c:f>TABLICA!$D$54</c:f>
              <c:strCache>
                <c:ptCount val="1"/>
                <c:pt idx="0">
                  <c:v>2018</c:v>
                </c:pt>
              </c:strCache>
            </c:strRef>
          </c:tx>
          <c:spPr>
            <a:solidFill>
              <a:schemeClr val="accent2"/>
            </a:solidFill>
            <a:ln>
              <a:noFill/>
            </a:ln>
            <a:effectLst/>
          </c:spPr>
          <c:invertIfNegative val="0"/>
          <c:dLbls>
            <c:dLbl>
              <c:idx val="0"/>
              <c:layout>
                <c:manualLayout>
                  <c:x val="-5.1081419747976566E-17"/>
                  <c:y val="0.203228869895536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E25-43AA-ADFC-D9BADF5B59B4}"/>
                </c:ext>
              </c:extLst>
            </c:dLbl>
            <c:dLbl>
              <c:idx val="1"/>
              <c:layout>
                <c:manualLayout>
                  <c:x val="0"/>
                  <c:y val="0.199905033238366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E25-43AA-ADFC-D9BADF5B59B4}"/>
                </c:ext>
              </c:extLst>
            </c:dLbl>
            <c:dLbl>
              <c:idx val="2"/>
              <c:layout>
                <c:manualLayout>
                  <c:x val="0"/>
                  <c:y val="0.194681861348528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E25-43AA-ADFC-D9BADF5B59B4}"/>
                </c:ext>
              </c:extLst>
            </c:dLbl>
            <c:dLbl>
              <c:idx val="3"/>
              <c:layout>
                <c:manualLayout>
                  <c:x val="-2.7634745712511767E-3"/>
                  <c:y val="0.204178537511870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E25-43AA-ADFC-D9BADF5B59B4}"/>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TABLICA!$B$55:$B$58</c:f>
              <c:strCache>
                <c:ptCount val="4"/>
                <c:pt idx="0">
                  <c:v>papier i tektura</c:v>
                </c:pt>
                <c:pt idx="1">
                  <c:v>szkło</c:v>
                </c:pt>
                <c:pt idx="2">
                  <c:v>tworzywa sztuczne</c:v>
                </c:pt>
                <c:pt idx="3">
                  <c:v>biodegradowalne</c:v>
                </c:pt>
              </c:strCache>
            </c:strRef>
          </c:cat>
          <c:val>
            <c:numRef>
              <c:f>TABLICA!$D$55:$D$58</c:f>
              <c:numCache>
                <c:formatCode>#,##0.00</c:formatCode>
                <c:ptCount val="4"/>
                <c:pt idx="0">
                  <c:v>2608.88</c:v>
                </c:pt>
                <c:pt idx="1">
                  <c:v>1978.22</c:v>
                </c:pt>
                <c:pt idx="2">
                  <c:v>2127.7199999999998</c:v>
                </c:pt>
                <c:pt idx="3">
                  <c:v>4964.28</c:v>
                </c:pt>
              </c:numCache>
            </c:numRef>
          </c:val>
          <c:extLst>
            <c:ext xmlns:c16="http://schemas.microsoft.com/office/drawing/2014/chart" uri="{C3380CC4-5D6E-409C-BE32-E72D297353CC}">
              <c16:uniqueId val="{00000009-EE25-43AA-ADFC-D9BADF5B59B4}"/>
            </c:ext>
          </c:extLst>
        </c:ser>
        <c:ser>
          <c:idx val="2"/>
          <c:order val="2"/>
          <c:tx>
            <c:strRef>
              <c:f>TABLICA!$E$54</c:f>
              <c:strCache>
                <c:ptCount val="1"/>
                <c:pt idx="0">
                  <c:v>2019</c:v>
                </c:pt>
              </c:strCache>
            </c:strRef>
          </c:tx>
          <c:spPr>
            <a:solidFill>
              <a:schemeClr val="accent3"/>
            </a:solidFill>
            <a:ln>
              <a:noFill/>
            </a:ln>
            <a:effectLst/>
          </c:spPr>
          <c:invertIfNegative val="0"/>
          <c:dLbls>
            <c:dLbl>
              <c:idx val="0"/>
              <c:layout>
                <c:manualLayout>
                  <c:x val="0"/>
                  <c:y val="0.203703703703703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E25-43AA-ADFC-D9BADF5B59B4}"/>
                </c:ext>
              </c:extLst>
            </c:dLbl>
            <c:dLbl>
              <c:idx val="1"/>
              <c:layout>
                <c:manualLayout>
                  <c:x val="0"/>
                  <c:y val="0.203703703703703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E25-43AA-ADFC-D9BADF5B59B4}"/>
                </c:ext>
              </c:extLst>
            </c:dLbl>
            <c:dLbl>
              <c:idx val="2"/>
              <c:layout>
                <c:manualLayout>
                  <c:x val="-1.0216283949595313E-16"/>
                  <c:y val="0.2041785375118707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E25-43AA-ADFC-D9BADF5B59B4}"/>
                </c:ext>
              </c:extLst>
            </c:dLbl>
            <c:dLbl>
              <c:idx val="3"/>
              <c:layout>
                <c:manualLayout>
                  <c:x val="0"/>
                  <c:y val="0.2032288698955365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E25-43AA-ADFC-D9BADF5B59B4}"/>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TABLICA!$B$55:$B$58</c:f>
              <c:strCache>
                <c:ptCount val="4"/>
                <c:pt idx="0">
                  <c:v>papier i tektura</c:v>
                </c:pt>
                <c:pt idx="1">
                  <c:v>szkło</c:v>
                </c:pt>
                <c:pt idx="2">
                  <c:v>tworzywa sztuczne</c:v>
                </c:pt>
                <c:pt idx="3">
                  <c:v>biodegradowalne</c:v>
                </c:pt>
              </c:strCache>
            </c:strRef>
          </c:cat>
          <c:val>
            <c:numRef>
              <c:f>TABLICA!$E$55:$E$58</c:f>
              <c:numCache>
                <c:formatCode>#,##0.00</c:formatCode>
                <c:ptCount val="4"/>
                <c:pt idx="0">
                  <c:v>2926.24</c:v>
                </c:pt>
                <c:pt idx="1">
                  <c:v>2452.2399999999998</c:v>
                </c:pt>
                <c:pt idx="2">
                  <c:v>2469.92</c:v>
                </c:pt>
                <c:pt idx="3">
                  <c:v>4806.83</c:v>
                </c:pt>
              </c:numCache>
            </c:numRef>
          </c:val>
          <c:extLst>
            <c:ext xmlns:c16="http://schemas.microsoft.com/office/drawing/2014/chart" uri="{C3380CC4-5D6E-409C-BE32-E72D297353CC}">
              <c16:uniqueId val="{0000000E-EE25-43AA-ADFC-D9BADF5B59B4}"/>
            </c:ext>
          </c:extLst>
        </c:ser>
        <c:dLbls>
          <c:showLegendKey val="0"/>
          <c:showVal val="0"/>
          <c:showCatName val="0"/>
          <c:showSerName val="0"/>
          <c:showPercent val="0"/>
          <c:showBubbleSize val="0"/>
        </c:dLbls>
        <c:gapWidth val="219"/>
        <c:overlap val="-27"/>
        <c:axId val="309265464"/>
        <c:axId val="309266776"/>
      </c:barChart>
      <c:catAx>
        <c:axId val="309265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09266776"/>
        <c:crosses val="autoZero"/>
        <c:auto val="1"/>
        <c:lblAlgn val="ctr"/>
        <c:lblOffset val="100"/>
        <c:noMultiLvlLbl val="0"/>
      </c:catAx>
      <c:valAx>
        <c:axId val="3092667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09265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'OZE_do diagnozy MOF'!$C$4</c:f>
              <c:strCache>
                <c:ptCount val="1"/>
                <c:pt idx="0">
                  <c:v>2016</c:v>
                </c:pt>
              </c:strCache>
            </c:strRef>
          </c:tx>
          <c:spPr>
            <a:solidFill>
              <a:schemeClr val="accent1"/>
            </a:solidFill>
            <a:ln>
              <a:noFill/>
            </a:ln>
            <a:effectLst/>
          </c:spPr>
          <c:invertIfNegative val="0"/>
          <c:cat>
            <c:strRef>
              <c:f>'OZE_do diagnozy MOF'!$B$5:$B$20</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'OZE_do diagnozy MOF'!$C$5:$C$20</c:f>
              <c:numCache>
                <c:formatCode>General</c:formatCode>
                <c:ptCount val="16"/>
                <c:pt idx="0">
                  <c:v>50</c:v>
                </c:pt>
                <c:pt idx="1">
                  <c:v>22</c:v>
                </c:pt>
                <c:pt idx="2">
                  <c:v>14</c:v>
                </c:pt>
                <c:pt idx="3">
                  <c:v>10</c:v>
                </c:pt>
                <c:pt idx="4">
                  <c:v>50</c:v>
                </c:pt>
                <c:pt idx="5">
                  <c:v>34</c:v>
                </c:pt>
                <c:pt idx="6">
                  <c:v>31</c:v>
                </c:pt>
                <c:pt idx="7">
                  <c:v>17</c:v>
                </c:pt>
                <c:pt idx="8">
                  <c:v>14</c:v>
                </c:pt>
                <c:pt idx="9">
                  <c:v>11</c:v>
                </c:pt>
                <c:pt idx="10">
                  <c:v>40</c:v>
                </c:pt>
                <c:pt idx="11">
                  <c:v>42</c:v>
                </c:pt>
                <c:pt idx="12">
                  <c:v>24</c:v>
                </c:pt>
                <c:pt idx="13">
                  <c:v>55</c:v>
                </c:pt>
                <c:pt idx="14">
                  <c:v>20</c:v>
                </c:pt>
                <c:pt idx="15">
                  <c:v>37</c:v>
                </c:pt>
              </c:numCache>
            </c:numRef>
          </c:val>
          <c:extLst>
            <c:ext xmlns:c16="http://schemas.microsoft.com/office/drawing/2014/chart" uri="{C3380CC4-5D6E-409C-BE32-E72D297353CC}">
              <c16:uniqueId val="{00000000-57FE-4B1D-9378-C855B2CB7877}"/>
            </c:ext>
          </c:extLst>
        </c:ser>
        <c:ser>
          <c:idx val="1"/>
          <c:order val="1"/>
          <c:tx>
            <c:strRef>
              <c:f>'OZE_do diagnozy MOF'!$D$4</c:f>
              <c:strCache>
                <c:ptCount val="1"/>
                <c:pt idx="0">
                  <c:v>2018</c:v>
                </c:pt>
              </c:strCache>
            </c:strRef>
          </c:tx>
          <c:spPr>
            <a:solidFill>
              <a:schemeClr val="accent2"/>
            </a:solidFill>
            <a:ln>
              <a:noFill/>
            </a:ln>
            <a:effectLst/>
          </c:spPr>
          <c:invertIfNegative val="0"/>
          <c:cat>
            <c:strRef>
              <c:f>'OZE_do diagnozy MOF'!$B$5:$B$20</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'OZE_do diagnozy MOF'!$D$5:$D$20</c:f>
              <c:numCache>
                <c:formatCode>General</c:formatCode>
                <c:ptCount val="16"/>
                <c:pt idx="0">
                  <c:v>81</c:v>
                </c:pt>
                <c:pt idx="1">
                  <c:v>52</c:v>
                </c:pt>
                <c:pt idx="2">
                  <c:v>28</c:v>
                </c:pt>
                <c:pt idx="3">
                  <c:v>14</c:v>
                </c:pt>
                <c:pt idx="4">
                  <c:v>73</c:v>
                </c:pt>
                <c:pt idx="5">
                  <c:v>45</c:v>
                </c:pt>
                <c:pt idx="6">
                  <c:v>50</c:v>
                </c:pt>
                <c:pt idx="7">
                  <c:v>21</c:v>
                </c:pt>
                <c:pt idx="8">
                  <c:v>29</c:v>
                </c:pt>
                <c:pt idx="9">
                  <c:v>19</c:v>
                </c:pt>
                <c:pt idx="10">
                  <c:v>61</c:v>
                </c:pt>
                <c:pt idx="11">
                  <c:v>70</c:v>
                </c:pt>
                <c:pt idx="12">
                  <c:v>30</c:v>
                </c:pt>
                <c:pt idx="13">
                  <c:v>57</c:v>
                </c:pt>
                <c:pt idx="14">
                  <c:v>44</c:v>
                </c:pt>
                <c:pt idx="15">
                  <c:v>52</c:v>
                </c:pt>
              </c:numCache>
            </c:numRef>
          </c:val>
          <c:extLst>
            <c:ext xmlns:c16="http://schemas.microsoft.com/office/drawing/2014/chart" uri="{C3380CC4-5D6E-409C-BE32-E72D297353CC}">
              <c16:uniqueId val="{00000001-57FE-4B1D-9378-C855B2CB7877}"/>
            </c:ext>
          </c:extLst>
        </c:ser>
        <c:ser>
          <c:idx val="2"/>
          <c:order val="2"/>
          <c:tx>
            <c:strRef>
              <c:f>'OZE_do diagnozy MOF'!$E$4</c:f>
              <c:strCache>
                <c:ptCount val="1"/>
                <c:pt idx="0">
                  <c:v>2020 (sierpień)</c:v>
                </c:pt>
              </c:strCache>
            </c:strRef>
          </c:tx>
          <c:spPr>
            <a:solidFill>
              <a:schemeClr val="accent3"/>
            </a:solidFill>
            <a:ln>
              <a:noFill/>
            </a:ln>
            <a:effectLst/>
          </c:spPr>
          <c:invertIfNegative val="0"/>
          <c:dLbls>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7FE-4B1D-9378-C855B2CB7877}"/>
                </c:ext>
              </c:extLst>
            </c:dLbl>
            <c:dLbl>
              <c:idx val="8"/>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7FE-4B1D-9378-C855B2CB7877}"/>
                </c:ext>
              </c:extLst>
            </c:dLbl>
            <c:dLbl>
              <c:idx val="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7FE-4B1D-9378-C855B2CB7877}"/>
                </c:ext>
              </c:extLst>
            </c:dLbl>
            <c:dLbl>
              <c:idx val="1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7FE-4B1D-9378-C855B2CB7877}"/>
                </c:ext>
              </c:extLst>
            </c:dLbl>
            <c:dLbl>
              <c:idx val="1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7FE-4B1D-9378-C855B2CB7877}"/>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'OZE_do diagnozy MOF'!$B$5:$B$20</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'OZE_do diagnozy MOF'!$E$5:$E$20</c:f>
              <c:numCache>
                <c:formatCode>General</c:formatCode>
                <c:ptCount val="16"/>
                <c:pt idx="0">
                  <c:v>85</c:v>
                </c:pt>
                <c:pt idx="1">
                  <c:v>55</c:v>
                </c:pt>
                <c:pt idx="2">
                  <c:v>44</c:v>
                </c:pt>
                <c:pt idx="3">
                  <c:v>16</c:v>
                </c:pt>
                <c:pt idx="4">
                  <c:v>82</c:v>
                </c:pt>
                <c:pt idx="5">
                  <c:v>47</c:v>
                </c:pt>
                <c:pt idx="6">
                  <c:v>56</c:v>
                </c:pt>
                <c:pt idx="7">
                  <c:v>22</c:v>
                </c:pt>
                <c:pt idx="8">
                  <c:v>48</c:v>
                </c:pt>
                <c:pt idx="9">
                  <c:v>27</c:v>
                </c:pt>
                <c:pt idx="10">
                  <c:v>64</c:v>
                </c:pt>
                <c:pt idx="11">
                  <c:v>79</c:v>
                </c:pt>
                <c:pt idx="12">
                  <c:v>34</c:v>
                </c:pt>
                <c:pt idx="13">
                  <c:v>61</c:v>
                </c:pt>
                <c:pt idx="14">
                  <c:v>47</c:v>
                </c:pt>
                <c:pt idx="15">
                  <c:v>69</c:v>
                </c:pt>
              </c:numCache>
            </c:numRef>
          </c:val>
          <c:extLst>
            <c:ext xmlns:c16="http://schemas.microsoft.com/office/drawing/2014/chart" uri="{C3380CC4-5D6E-409C-BE32-E72D297353CC}">
              <c16:uniqueId val="{00000007-57FE-4B1D-9378-C855B2CB7877}"/>
            </c:ext>
          </c:extLst>
        </c:ser>
        <c:dLbls>
          <c:showLegendKey val="0"/>
          <c:showVal val="0"/>
          <c:showCatName val="0"/>
          <c:showSerName val="0"/>
          <c:showPercent val="0"/>
          <c:showBubbleSize val="0"/>
        </c:dLbls>
        <c:gapWidth val="219"/>
        <c:overlap val="-27"/>
        <c:axId val="443534112"/>
        <c:axId val="443539032"/>
      </c:barChart>
      <c:catAx>
        <c:axId val="443534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43539032"/>
        <c:crosses val="autoZero"/>
        <c:auto val="1"/>
        <c:lblAlgn val="ctr"/>
        <c:lblOffset val="100"/>
        <c:noMultiLvlLbl val="0"/>
      </c:catAx>
      <c:valAx>
        <c:axId val="443539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43534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455690869443921"/>
          <c:y val="7.2387536923738185E-2"/>
          <c:w val="0.46467715396746767"/>
          <c:h val="0.74639779783624605"/>
        </c:manualLayout>
      </c:layout>
      <c:pieChart>
        <c:varyColors val="1"/>
        <c:ser>
          <c:idx val="0"/>
          <c:order val="0"/>
          <c:explosion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7E4-426D-AD44-21992B00951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7E4-426D-AD44-21992B00951A}"/>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07E4-426D-AD44-21992B00951A}"/>
              </c:ext>
            </c:extLst>
          </c:dPt>
          <c:dPt>
            <c:idx val="3"/>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7-07E4-426D-AD44-21992B00951A}"/>
              </c:ext>
            </c:extLst>
          </c:dPt>
          <c:dLbls>
            <c:dLbl>
              <c:idx val="1"/>
              <c:layout>
                <c:manualLayout>
                  <c:x val="7.1678594405634219E-2"/>
                  <c:y val="-6.93498678518843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7E4-426D-AD44-21992B00951A}"/>
                </c:ext>
              </c:extLst>
            </c:dLbl>
            <c:dLbl>
              <c:idx val="3"/>
              <c:layout>
                <c:manualLayout>
                  <c:x val="1.6073923514441337E-2"/>
                  <c:y val="9.24411277858560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7E4-426D-AD44-21992B00951A}"/>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'[OZE wskaźniki.xlsx]OZE'!$B$89:$B$94</c:f>
              <c:strCache>
                <c:ptCount val="4"/>
                <c:pt idx="0">
                  <c:v>hydroenergia</c:v>
                </c:pt>
                <c:pt idx="1">
                  <c:v>energia wiatru</c:v>
                </c:pt>
                <c:pt idx="2">
                  <c:v>energia słoneczna</c:v>
                </c:pt>
                <c:pt idx="3">
                  <c:v>biogaz</c:v>
                </c:pt>
              </c:strCache>
              <c:extLst/>
            </c:strRef>
          </c:cat>
          <c:val>
            <c:numRef>
              <c:f>'[OZE wskaźniki.xlsx]OZE'!$D$89:$D$94</c:f>
              <c:numCache>
                <c:formatCode>0%</c:formatCode>
                <c:ptCount val="4"/>
                <c:pt idx="0">
                  <c:v>0.72131147540983609</c:v>
                </c:pt>
                <c:pt idx="1">
                  <c:v>3.2786885245901641E-2</c:v>
                </c:pt>
                <c:pt idx="2">
                  <c:v>0.21311475409836064</c:v>
                </c:pt>
                <c:pt idx="3">
                  <c:v>3.2786885245901641E-2</c:v>
                </c:pt>
              </c:numCache>
              <c:extLst/>
            </c:numRef>
          </c:val>
          <c:extLst>
            <c:ext xmlns:c16="http://schemas.microsoft.com/office/drawing/2014/chart" uri="{C3380CC4-5D6E-409C-BE32-E72D297353CC}">
              <c16:uniqueId val="{00000008-07E4-426D-AD44-21992B00951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'OZE_diagnoza Olsztyn'!$A$6</c:f>
              <c:strCache>
                <c:ptCount val="1"/>
                <c:pt idx="0">
                  <c:v>Olsztyn</c:v>
                </c:pt>
              </c:strCache>
            </c:strRef>
          </c:tx>
          <c:spPr>
            <a:solidFill>
              <a:schemeClr val="accent1"/>
            </a:solidFill>
            <a:ln>
              <a:noFill/>
            </a:ln>
            <a:effectLst/>
          </c:spPr>
          <c:invertIfNegative val="0"/>
          <c:dLbls>
            <c:dLbl>
              <c:idx val="0"/>
              <c:layout>
                <c:manualLayout>
                  <c:x val="0"/>
                  <c:y val="0.12922179251068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0FD-4688-8686-216216FB0960}"/>
                </c:ext>
              </c:extLst>
            </c:dLbl>
            <c:dLbl>
              <c:idx val="1"/>
              <c:layout>
                <c:manualLayout>
                  <c:x val="0"/>
                  <c:y val="0.123348074669291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0FD-4688-8686-216216FB0960}"/>
                </c:ext>
              </c:extLst>
            </c:dLbl>
            <c:dLbl>
              <c:idx val="2"/>
              <c:layout>
                <c:manualLayout>
                  <c:x val="-1.1409175761430136E-16"/>
                  <c:y val="0.123348074669291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0FD-4688-8686-216216FB0960}"/>
                </c:ext>
              </c:extLst>
            </c:dLbl>
            <c:dLbl>
              <c:idx val="3"/>
              <c:layout>
                <c:manualLayout>
                  <c:x val="0"/>
                  <c:y val="0.117474356827896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0FD-4688-8686-216216FB096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'OZE_diagnoza Olsztyn'!$B$5:$E$5</c:f>
              <c:numCache>
                <c:formatCode>General</c:formatCode>
                <c:ptCount val="4"/>
                <c:pt idx="0">
                  <c:v>2016</c:v>
                </c:pt>
                <c:pt idx="1">
                  <c:v>2017</c:v>
                </c:pt>
                <c:pt idx="2">
                  <c:v>2018</c:v>
                </c:pt>
                <c:pt idx="3">
                  <c:v>2019</c:v>
                </c:pt>
              </c:numCache>
            </c:numRef>
          </c:cat>
          <c:val>
            <c:numRef>
              <c:f>'OZE_diagnoza Olsztyn'!$B$6:$E$6</c:f>
              <c:numCache>
                <c:formatCode>General</c:formatCode>
                <c:ptCount val="4"/>
                <c:pt idx="0">
                  <c:v>2</c:v>
                </c:pt>
                <c:pt idx="1">
                  <c:v>2</c:v>
                </c:pt>
                <c:pt idx="2">
                  <c:v>3</c:v>
                </c:pt>
                <c:pt idx="3">
                  <c:v>3</c:v>
                </c:pt>
              </c:numCache>
            </c:numRef>
          </c:val>
          <c:extLst>
            <c:ext xmlns:c16="http://schemas.microsoft.com/office/drawing/2014/chart" uri="{C3380CC4-5D6E-409C-BE32-E72D297353CC}">
              <c16:uniqueId val="{00000004-40FD-4688-8686-216216FB0960}"/>
            </c:ext>
          </c:extLst>
        </c:ser>
        <c:dLbls>
          <c:showLegendKey val="0"/>
          <c:showVal val="0"/>
          <c:showCatName val="0"/>
          <c:showSerName val="0"/>
          <c:showPercent val="0"/>
          <c:showBubbleSize val="0"/>
        </c:dLbls>
        <c:gapWidth val="219"/>
        <c:overlap val="-27"/>
        <c:axId val="425590832"/>
        <c:axId val="425587224"/>
      </c:barChart>
      <c:catAx>
        <c:axId val="425590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5587224"/>
        <c:crosses val="autoZero"/>
        <c:auto val="1"/>
        <c:lblAlgn val="ctr"/>
        <c:lblOffset val="100"/>
        <c:noMultiLvlLbl val="0"/>
      </c:catAx>
      <c:valAx>
        <c:axId val="425587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55908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4079420627977"/>
          <c:y val="0.17485976542580317"/>
          <c:w val="0.85455502090016511"/>
          <c:h val="0.62588788461615674"/>
        </c:manualLayout>
      </c:layout>
      <c:barChart>
        <c:barDir val="col"/>
        <c:grouping val="clustered"/>
        <c:varyColors val="0"/>
        <c:ser>
          <c:idx val="0"/>
          <c:order val="0"/>
          <c:tx>
            <c:strRef>
              <c:f>TABLICA!$N$81</c:f>
              <c:strCache>
                <c:ptCount val="1"/>
                <c:pt idx="0">
                  <c:v>2013</c:v>
                </c:pt>
              </c:strCache>
            </c:strRef>
          </c:tx>
          <c:spPr>
            <a:solidFill>
              <a:schemeClr val="accent1"/>
            </a:solidFill>
            <a:ln>
              <a:noFill/>
            </a:ln>
            <a:effectLst/>
          </c:spPr>
          <c:invertIfNegative val="0"/>
          <c:dLbls>
            <c:dLbl>
              <c:idx val="0"/>
              <c:layout>
                <c:manualLayout>
                  <c:x val="-2.6591814912024885E-3"/>
                  <c:y val="0.150845422751528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C42-46B3-9B13-967504C9EB67}"/>
                </c:ext>
              </c:extLst>
            </c:dLbl>
            <c:dLbl>
              <c:idx val="1"/>
              <c:layout>
                <c:manualLayout>
                  <c:x val="-2.6591814912024885E-3"/>
                  <c:y val="0.1610443008749352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C42-46B3-9B13-967504C9EB67}"/>
                </c:ext>
              </c:extLst>
            </c:dLbl>
            <c:dLbl>
              <c:idx val="2"/>
              <c:layout>
                <c:manualLayout>
                  <c:x val="5.658370848008886E-17"/>
                  <c:y val="0.156836661353077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C42-46B3-9B13-967504C9EB67}"/>
                </c:ext>
              </c:extLst>
            </c:dLbl>
            <c:dLbl>
              <c:idx val="3"/>
              <c:layout>
                <c:manualLayout>
                  <c:x val="-2.231700204141149E-3"/>
                  <c:y val="0.1661437399366384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C42-46B3-9B13-967504C9EB67}"/>
                </c:ext>
              </c:extLst>
            </c:dLbl>
            <c:dLbl>
              <c:idx val="4"/>
              <c:layout>
                <c:manualLayout>
                  <c:x val="0"/>
                  <c:y val="0.1508454227515287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C42-46B3-9B13-967504C9EB67}"/>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TABLICA!$M$82:$M$86</c:f>
              <c:strCache>
                <c:ptCount val="5"/>
                <c:pt idx="0">
                  <c:v>Olsztyn</c:v>
                </c:pt>
                <c:pt idx="1">
                  <c:v>Kielce</c:v>
                </c:pt>
                <c:pt idx="2">
                  <c:v>Białystok</c:v>
                </c:pt>
                <c:pt idx="3">
                  <c:v>Rzeszów</c:v>
                </c:pt>
                <c:pt idx="4">
                  <c:v>Lublin</c:v>
                </c:pt>
              </c:strCache>
            </c:strRef>
          </c:cat>
          <c:val>
            <c:numRef>
              <c:f>TABLICA!$N$82:$N$86</c:f>
              <c:numCache>
                <c:formatCode>#,##0</c:formatCode>
                <c:ptCount val="5"/>
                <c:pt idx="0">
                  <c:v>1300</c:v>
                </c:pt>
                <c:pt idx="1">
                  <c:v>1443</c:v>
                </c:pt>
                <c:pt idx="2">
                  <c:v>1120</c:v>
                </c:pt>
                <c:pt idx="3">
                  <c:v>1294</c:v>
                </c:pt>
                <c:pt idx="4">
                  <c:v>1261</c:v>
                </c:pt>
              </c:numCache>
            </c:numRef>
          </c:val>
          <c:extLst>
            <c:ext xmlns:c16="http://schemas.microsoft.com/office/drawing/2014/chart" uri="{C3380CC4-5D6E-409C-BE32-E72D297353CC}">
              <c16:uniqueId val="{00000005-AC42-46B3-9B13-967504C9EB67}"/>
            </c:ext>
          </c:extLst>
        </c:ser>
        <c:ser>
          <c:idx val="1"/>
          <c:order val="1"/>
          <c:tx>
            <c:strRef>
              <c:f>TABLICA!$O$81</c:f>
              <c:strCache>
                <c:ptCount val="1"/>
                <c:pt idx="0">
                  <c:v>2019</c:v>
                </c:pt>
              </c:strCache>
            </c:strRef>
          </c:tx>
          <c:spPr>
            <a:solidFill>
              <a:schemeClr val="accent2"/>
            </a:solidFill>
            <a:ln>
              <a:noFill/>
            </a:ln>
            <a:effectLst/>
          </c:spPr>
          <c:invertIfNegative val="0"/>
          <c:dLbls>
            <c:dLbl>
              <c:idx val="0"/>
              <c:layout>
                <c:manualLayout>
                  <c:x val="0"/>
                  <c:y val="0.148420579248093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C42-46B3-9B13-967504C9EB67}"/>
                </c:ext>
              </c:extLst>
            </c:dLbl>
            <c:dLbl>
              <c:idx val="1"/>
              <c:layout>
                <c:manualLayout>
                  <c:x val="-5.658370848008886E-17"/>
                  <c:y val="0.1610443008749352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C42-46B3-9B13-967504C9EB67}"/>
                </c:ext>
              </c:extLst>
            </c:dLbl>
            <c:dLbl>
              <c:idx val="2"/>
              <c:layout>
                <c:manualLayout>
                  <c:x val="-2.6591814912024885E-3"/>
                  <c:y val="0.146637783229671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C42-46B3-9B13-967504C9EB67}"/>
                </c:ext>
              </c:extLst>
            </c:dLbl>
            <c:dLbl>
              <c:idx val="3"/>
              <c:layout>
                <c:manualLayout>
                  <c:x val="-2.6591814912026016E-3"/>
                  <c:y val="0.160152902865724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C42-46B3-9B13-967504C9EB67}"/>
                </c:ext>
              </c:extLst>
            </c:dLbl>
            <c:dLbl>
              <c:idx val="4"/>
              <c:layout>
                <c:manualLayout>
                  <c:x val="-3.5136580149704639E-3"/>
                  <c:y val="0.156836661353077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C42-46B3-9B13-967504C9EB67}"/>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TABLICA!$M$82:$M$86</c:f>
              <c:strCache>
                <c:ptCount val="5"/>
                <c:pt idx="0">
                  <c:v>Olsztyn</c:v>
                </c:pt>
                <c:pt idx="1">
                  <c:v>Kielce</c:v>
                </c:pt>
                <c:pt idx="2">
                  <c:v>Białystok</c:v>
                </c:pt>
                <c:pt idx="3">
                  <c:v>Rzeszów</c:v>
                </c:pt>
                <c:pt idx="4">
                  <c:v>Lublin</c:v>
                </c:pt>
              </c:strCache>
            </c:strRef>
          </c:cat>
          <c:val>
            <c:numRef>
              <c:f>TABLICA!$O$82:$O$86</c:f>
              <c:numCache>
                <c:formatCode>#,##0</c:formatCode>
                <c:ptCount val="5"/>
                <c:pt idx="0">
                  <c:v>1375</c:v>
                </c:pt>
                <c:pt idx="1">
                  <c:v>1479</c:v>
                </c:pt>
                <c:pt idx="2">
                  <c:v>1212</c:v>
                </c:pt>
                <c:pt idx="3">
                  <c:v>1496</c:v>
                </c:pt>
                <c:pt idx="4">
                  <c:v>1359</c:v>
                </c:pt>
              </c:numCache>
            </c:numRef>
          </c:val>
          <c:extLst>
            <c:ext xmlns:c16="http://schemas.microsoft.com/office/drawing/2014/chart" uri="{C3380CC4-5D6E-409C-BE32-E72D297353CC}">
              <c16:uniqueId val="{0000000B-AC42-46B3-9B13-967504C9EB67}"/>
            </c:ext>
          </c:extLst>
        </c:ser>
        <c:dLbls>
          <c:showLegendKey val="0"/>
          <c:showVal val="0"/>
          <c:showCatName val="0"/>
          <c:showSerName val="0"/>
          <c:showPercent val="0"/>
          <c:showBubbleSize val="0"/>
        </c:dLbls>
        <c:gapWidth val="219"/>
        <c:overlap val="-27"/>
        <c:axId val="448050176"/>
        <c:axId val="448048208"/>
      </c:barChart>
      <c:catAx>
        <c:axId val="448050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48048208"/>
        <c:crosses val="autoZero"/>
        <c:auto val="1"/>
        <c:lblAlgn val="ctr"/>
        <c:lblOffset val="100"/>
        <c:noMultiLvlLbl val="0"/>
      </c:catAx>
      <c:valAx>
        <c:axId val="4480482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48050176"/>
        <c:crosses val="autoZero"/>
        <c:crossBetween val="between"/>
      </c:valAx>
      <c:spPr>
        <a:noFill/>
        <a:ln>
          <a:noFill/>
        </a:ln>
        <a:effectLst/>
      </c:spPr>
    </c:plotArea>
    <c:legend>
      <c:legendPos val="b"/>
      <c:layout>
        <c:manualLayout>
          <c:xMode val="edge"/>
          <c:yMode val="edge"/>
          <c:x val="0.39582774375425289"/>
          <c:y val="0.90374748541439964"/>
          <c:w val="0.20834451249149413"/>
          <c:h val="8.6053636462193883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TABLICA!$A$120:$C$120</c:f>
              <c:strCache>
                <c:ptCount val="3"/>
                <c:pt idx="0">
                  <c:v>podmioty nowo zarejestrowane</c:v>
                </c:pt>
                <c:pt idx="2">
                  <c:v>2013</c:v>
                </c:pt>
              </c:strCache>
            </c:strRef>
          </c:tx>
          <c:spPr>
            <a:solidFill>
              <a:schemeClr val="accent1"/>
            </a:solidFill>
            <a:ln>
              <a:noFill/>
            </a:ln>
            <a:effectLst/>
          </c:spPr>
          <c:invertIfNegative val="0"/>
          <c:dLbls>
            <c:dLbl>
              <c:idx val="0"/>
              <c:layout>
                <c:manualLayout>
                  <c:x val="0"/>
                  <c:y val="0.271699092894730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0A1-44B5-9EFD-8F2310957732}"/>
                </c:ext>
              </c:extLst>
            </c:dLbl>
            <c:dLbl>
              <c:idx val="1"/>
              <c:layout>
                <c:manualLayout>
                  <c:x val="-4.2014716506356799E-17"/>
                  <c:y val="0.287483812795858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0A1-44B5-9EFD-8F2310957732}"/>
                </c:ext>
              </c:extLst>
            </c:dLbl>
            <c:dLbl>
              <c:idx val="2"/>
              <c:layout>
                <c:manualLayout>
                  <c:x val="0"/>
                  <c:y val="0.405640064982005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0A1-44B5-9EFD-8F2310957732}"/>
                </c:ext>
              </c:extLst>
            </c:dLbl>
            <c:dLbl>
              <c:idx val="3"/>
              <c:layout>
                <c:manualLayout>
                  <c:x val="-8.4029433012713598E-17"/>
                  <c:y val="0.338664448780032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0A1-44B5-9EFD-8F2310957732}"/>
                </c:ext>
              </c:extLst>
            </c:dLbl>
            <c:dLbl>
              <c:idx val="4"/>
              <c:layout>
                <c:manualLayout>
                  <c:x val="-1.680588660254272E-16"/>
                  <c:y val="0.51976712190344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0A1-44B5-9EFD-8F2310957732}"/>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TABLICA!$D$119:$H$119</c:f>
              <c:strCache>
                <c:ptCount val="5"/>
                <c:pt idx="0">
                  <c:v>Olsztyn</c:v>
                </c:pt>
                <c:pt idx="1">
                  <c:v>Kielce</c:v>
                </c:pt>
                <c:pt idx="2">
                  <c:v>Białystok</c:v>
                </c:pt>
                <c:pt idx="3">
                  <c:v>Rzeszów</c:v>
                </c:pt>
                <c:pt idx="4">
                  <c:v>Lublin</c:v>
                </c:pt>
              </c:strCache>
            </c:strRef>
          </c:cat>
          <c:val>
            <c:numRef>
              <c:f>TABLICA!$D$120:$H$120</c:f>
              <c:numCache>
                <c:formatCode>#,##0</c:formatCode>
                <c:ptCount val="5"/>
                <c:pt idx="0">
                  <c:v>2152</c:v>
                </c:pt>
                <c:pt idx="1">
                  <c:v>2195</c:v>
                </c:pt>
                <c:pt idx="2">
                  <c:v>3118</c:v>
                </c:pt>
                <c:pt idx="3">
                  <c:v>2641</c:v>
                </c:pt>
                <c:pt idx="4">
                  <c:v>4167</c:v>
                </c:pt>
              </c:numCache>
            </c:numRef>
          </c:val>
          <c:extLst>
            <c:ext xmlns:c16="http://schemas.microsoft.com/office/drawing/2014/chart" uri="{C3380CC4-5D6E-409C-BE32-E72D297353CC}">
              <c16:uniqueId val="{00000005-C0A1-44B5-9EFD-8F2310957732}"/>
            </c:ext>
          </c:extLst>
        </c:ser>
        <c:ser>
          <c:idx val="1"/>
          <c:order val="1"/>
          <c:tx>
            <c:strRef>
              <c:f>TABLICA!$A$121:$C$121</c:f>
              <c:strCache>
                <c:ptCount val="3"/>
                <c:pt idx="0">
                  <c:v>podmioty nowo zarejestrowane</c:v>
                </c:pt>
                <c:pt idx="2">
                  <c:v>2019</c:v>
                </c:pt>
              </c:strCache>
            </c:strRef>
          </c:tx>
          <c:spPr>
            <a:solidFill>
              <a:schemeClr val="accent2"/>
            </a:solidFill>
            <a:ln>
              <a:noFill/>
            </a:ln>
            <a:effectLst/>
          </c:spPr>
          <c:invertIfNegative val="0"/>
          <c:dLbls>
            <c:dLbl>
              <c:idx val="0"/>
              <c:layout>
                <c:manualLayout>
                  <c:x val="0"/>
                  <c:y val="0.248128569115947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0A1-44B5-9EFD-8F2310957732}"/>
                </c:ext>
              </c:extLst>
            </c:dLbl>
            <c:dLbl>
              <c:idx val="1"/>
              <c:layout>
                <c:manualLayout>
                  <c:x val="4.1535728361738148E-17"/>
                  <c:y val="0.267821312696578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0A1-44B5-9EFD-8F2310957732}"/>
                </c:ext>
              </c:extLst>
            </c:dLbl>
            <c:dLbl>
              <c:idx val="2"/>
              <c:layout>
                <c:manualLayout>
                  <c:x val="-8.4029433012713598E-17"/>
                  <c:y val="0.42925123007205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0A1-44B5-9EFD-8F2310957732}"/>
                </c:ext>
              </c:extLst>
            </c:dLbl>
            <c:dLbl>
              <c:idx val="3"/>
              <c:layout>
                <c:manualLayout>
                  <c:x val="0"/>
                  <c:y val="0.2914222198039657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0A1-44B5-9EFD-8F2310957732}"/>
                </c:ext>
              </c:extLst>
            </c:dLbl>
            <c:dLbl>
              <c:idx val="4"/>
              <c:layout>
                <c:manualLayout>
                  <c:x val="-2.2917382834880258E-3"/>
                  <c:y val="0.5118899969685427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0A1-44B5-9EFD-8F2310957732}"/>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TABLICA!$D$119:$H$119</c:f>
              <c:strCache>
                <c:ptCount val="5"/>
                <c:pt idx="0">
                  <c:v>Olsztyn</c:v>
                </c:pt>
                <c:pt idx="1">
                  <c:v>Kielce</c:v>
                </c:pt>
                <c:pt idx="2">
                  <c:v>Białystok</c:v>
                </c:pt>
                <c:pt idx="3">
                  <c:v>Rzeszów</c:v>
                </c:pt>
                <c:pt idx="4">
                  <c:v>Lublin</c:v>
                </c:pt>
              </c:strCache>
            </c:strRef>
          </c:cat>
          <c:val>
            <c:numRef>
              <c:f>TABLICA!$D$121:$H$121</c:f>
              <c:numCache>
                <c:formatCode>#,##0</c:formatCode>
                <c:ptCount val="5"/>
                <c:pt idx="0">
                  <c:v>1898</c:v>
                </c:pt>
                <c:pt idx="1">
                  <c:v>2036</c:v>
                </c:pt>
                <c:pt idx="2">
                  <c:v>3396</c:v>
                </c:pt>
                <c:pt idx="3">
                  <c:v>2262</c:v>
                </c:pt>
                <c:pt idx="4">
                  <c:v>4134</c:v>
                </c:pt>
              </c:numCache>
            </c:numRef>
          </c:val>
          <c:extLst>
            <c:ext xmlns:c16="http://schemas.microsoft.com/office/drawing/2014/chart" uri="{C3380CC4-5D6E-409C-BE32-E72D297353CC}">
              <c16:uniqueId val="{0000000B-C0A1-44B5-9EFD-8F2310957732}"/>
            </c:ext>
          </c:extLst>
        </c:ser>
        <c:dLbls>
          <c:showLegendKey val="0"/>
          <c:showVal val="0"/>
          <c:showCatName val="0"/>
          <c:showSerName val="0"/>
          <c:showPercent val="0"/>
          <c:showBubbleSize val="0"/>
        </c:dLbls>
        <c:gapWidth val="219"/>
        <c:axId val="440997632"/>
        <c:axId val="440998616"/>
      </c:barChart>
      <c:lineChart>
        <c:grouping val="standard"/>
        <c:varyColors val="0"/>
        <c:ser>
          <c:idx val="2"/>
          <c:order val="2"/>
          <c:tx>
            <c:strRef>
              <c:f>TABLICA!$A$122:$C$122</c:f>
              <c:strCache>
                <c:ptCount val="3"/>
                <c:pt idx="0">
                  <c:v>podmioty wyrejestrowane</c:v>
                </c:pt>
                <c:pt idx="2">
                  <c:v>2013</c:v>
                </c:pt>
              </c:strCache>
            </c:strRef>
          </c:tx>
          <c:spPr>
            <a:ln w="28575" cap="rnd">
              <a:solidFill>
                <a:schemeClr val="accent3"/>
              </a:solidFill>
              <a:round/>
            </a:ln>
            <a:effectLst/>
          </c:spPr>
          <c:marker>
            <c:symbol val="none"/>
          </c:marker>
          <c:dLbls>
            <c:dLbl>
              <c:idx val="0"/>
              <c:layout>
                <c:manualLayout>
                  <c:x val="-6.3437117956825301E-2"/>
                  <c:y val="-1.18156461483785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0A1-44B5-9EFD-8F2310957732}"/>
                </c:ext>
              </c:extLst>
            </c:dLbl>
            <c:dLbl>
              <c:idx val="1"/>
              <c:layout>
                <c:manualLayout>
                  <c:x val="-6.3437117956825342E-2"/>
                  <c:y val="-3.15083897290093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0A1-44B5-9EFD-8F2310957732}"/>
                </c:ext>
              </c:extLst>
            </c:dLbl>
            <c:dLbl>
              <c:idx val="2"/>
              <c:layout>
                <c:manualLayout>
                  <c:x val="-6.3437117956825301E-2"/>
                  <c:y val="-1.96927435806307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0A1-44B5-9EFD-8F2310957732}"/>
                </c:ext>
              </c:extLst>
            </c:dLbl>
            <c:dLbl>
              <c:idx val="3"/>
              <c:layout>
                <c:manualLayout>
                  <c:x val="-6.5702729312426197E-2"/>
                  <c:y val="-5.90782307418923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0A1-44B5-9EFD-8F2310957732}"/>
                </c:ext>
              </c:extLst>
            </c:dLbl>
            <c:dLbl>
              <c:idx val="4"/>
              <c:layout>
                <c:manualLayout>
                  <c:x val="-6.3437117956825301E-2"/>
                  <c:y val="5.12011333096400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C0A1-44B5-9EFD-8F231095773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TABLICA!$D$119:$H$119</c:f>
              <c:strCache>
                <c:ptCount val="5"/>
                <c:pt idx="0">
                  <c:v>Olsztyn</c:v>
                </c:pt>
                <c:pt idx="1">
                  <c:v>Kielce</c:v>
                </c:pt>
                <c:pt idx="2">
                  <c:v>Białystok</c:v>
                </c:pt>
                <c:pt idx="3">
                  <c:v>Rzeszów</c:v>
                </c:pt>
                <c:pt idx="4">
                  <c:v>Lublin</c:v>
                </c:pt>
              </c:strCache>
            </c:strRef>
          </c:cat>
          <c:val>
            <c:numRef>
              <c:f>TABLICA!$D$122:$H$122</c:f>
              <c:numCache>
                <c:formatCode>#,##0</c:formatCode>
                <c:ptCount val="5"/>
                <c:pt idx="0">
                  <c:v>1524</c:v>
                </c:pt>
                <c:pt idx="1">
                  <c:v>1806</c:v>
                </c:pt>
                <c:pt idx="2">
                  <c:v>2364</c:v>
                </c:pt>
                <c:pt idx="3">
                  <c:v>1378</c:v>
                </c:pt>
                <c:pt idx="4">
                  <c:v>2976</c:v>
                </c:pt>
              </c:numCache>
            </c:numRef>
          </c:val>
          <c:smooth val="0"/>
          <c:extLst>
            <c:ext xmlns:c16="http://schemas.microsoft.com/office/drawing/2014/chart" uri="{C3380CC4-5D6E-409C-BE32-E72D297353CC}">
              <c16:uniqueId val="{00000011-C0A1-44B5-9EFD-8F2310957732}"/>
            </c:ext>
          </c:extLst>
        </c:ser>
        <c:ser>
          <c:idx val="3"/>
          <c:order val="3"/>
          <c:tx>
            <c:strRef>
              <c:f>TABLICA!$A$123:$C$123</c:f>
              <c:strCache>
                <c:ptCount val="3"/>
                <c:pt idx="0">
                  <c:v>podmioty wyrejestrowane</c:v>
                </c:pt>
                <c:pt idx="2">
                  <c:v>2019</c:v>
                </c:pt>
              </c:strCache>
            </c:strRef>
          </c:tx>
          <c:spPr>
            <a:ln w="28575" cap="rnd">
              <a:solidFill>
                <a:schemeClr val="accent4"/>
              </a:solidFill>
              <a:round/>
            </a:ln>
            <a:effectLst/>
          </c:spPr>
          <c:marker>
            <c:symbol val="none"/>
          </c:marker>
          <c:dLbls>
            <c:dLbl>
              <c:idx val="0"/>
              <c:layout>
                <c:manualLayout>
                  <c:x val="-1.812489084480725E-2"/>
                  <c:y val="-2.3631292296756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C0A1-44B5-9EFD-8F2310957732}"/>
                </c:ext>
              </c:extLst>
            </c:dLbl>
            <c:dLbl>
              <c:idx val="1"/>
              <c:layout>
                <c:manualLayout>
                  <c:x val="-1.8124890844807229E-2"/>
                  <c:y val="1.18156461483784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C0A1-44B5-9EFD-8F2310957732}"/>
                </c:ext>
              </c:extLst>
            </c:dLbl>
            <c:dLbl>
              <c:idx val="2"/>
              <c:layout>
                <c:manualLayout>
                  <c:x val="-2.0390502200408132E-2"/>
                  <c:y val="-1.18156461483785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C0A1-44B5-9EFD-8F2310957732}"/>
                </c:ext>
              </c:extLst>
            </c:dLbl>
            <c:dLbl>
              <c:idx val="3"/>
              <c:layout>
                <c:manualLayout>
                  <c:x val="-1.3593668133605338E-2"/>
                  <c:y val="3.93854871612608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C0A1-44B5-9EFD-8F2310957732}"/>
                </c:ext>
              </c:extLst>
            </c:dLbl>
            <c:dLbl>
              <c:idx val="4"/>
              <c:layout>
                <c:manualLayout>
                  <c:x val="-2.0390502200408132E-2"/>
                  <c:y val="-4.33240358773877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C0A1-44B5-9EFD-8F231095773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TABLICA!$D$119:$H$119</c:f>
              <c:strCache>
                <c:ptCount val="5"/>
                <c:pt idx="0">
                  <c:v>Olsztyn</c:v>
                </c:pt>
                <c:pt idx="1">
                  <c:v>Kielce</c:v>
                </c:pt>
                <c:pt idx="2">
                  <c:v>Białystok</c:v>
                </c:pt>
                <c:pt idx="3">
                  <c:v>Rzeszów</c:v>
                </c:pt>
                <c:pt idx="4">
                  <c:v>Lublin</c:v>
                </c:pt>
              </c:strCache>
            </c:strRef>
          </c:cat>
          <c:val>
            <c:numRef>
              <c:f>TABLICA!$D$123:$H$123</c:f>
              <c:numCache>
                <c:formatCode>#,##0</c:formatCode>
                <c:ptCount val="5"/>
                <c:pt idx="0">
                  <c:v>1122</c:v>
                </c:pt>
                <c:pt idx="1">
                  <c:v>1420</c:v>
                </c:pt>
                <c:pt idx="2">
                  <c:v>3076</c:v>
                </c:pt>
                <c:pt idx="3">
                  <c:v>1257</c:v>
                </c:pt>
                <c:pt idx="4">
                  <c:v>3115</c:v>
                </c:pt>
              </c:numCache>
            </c:numRef>
          </c:val>
          <c:smooth val="0"/>
          <c:extLst>
            <c:ext xmlns:c16="http://schemas.microsoft.com/office/drawing/2014/chart" uri="{C3380CC4-5D6E-409C-BE32-E72D297353CC}">
              <c16:uniqueId val="{00000017-C0A1-44B5-9EFD-8F2310957732}"/>
            </c:ext>
          </c:extLst>
        </c:ser>
        <c:dLbls>
          <c:showLegendKey val="0"/>
          <c:showVal val="0"/>
          <c:showCatName val="0"/>
          <c:showSerName val="0"/>
          <c:showPercent val="0"/>
          <c:showBubbleSize val="0"/>
        </c:dLbls>
        <c:marker val="1"/>
        <c:smooth val="0"/>
        <c:axId val="440997632"/>
        <c:axId val="440998616"/>
      </c:lineChart>
      <c:catAx>
        <c:axId val="440997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40998616"/>
        <c:crosses val="autoZero"/>
        <c:auto val="1"/>
        <c:lblAlgn val="ctr"/>
        <c:lblOffset val="100"/>
        <c:noMultiLvlLbl val="0"/>
      </c:catAx>
      <c:valAx>
        <c:axId val="4409986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40997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94183894883175"/>
          <c:y val="0.12981760528664879"/>
          <c:w val="0.85762235466933878"/>
          <c:h val="0.62678444382269471"/>
        </c:manualLayout>
      </c:layout>
      <c:barChart>
        <c:barDir val="col"/>
        <c:grouping val="clustered"/>
        <c:varyColors val="0"/>
        <c:ser>
          <c:idx val="0"/>
          <c:order val="0"/>
          <c:tx>
            <c:strRef>
              <c:f>TABLICA!$W$181</c:f>
              <c:strCache>
                <c:ptCount val="1"/>
                <c:pt idx="0">
                  <c:v>2013</c:v>
                </c:pt>
              </c:strCache>
            </c:strRef>
          </c:tx>
          <c:spPr>
            <a:solidFill>
              <a:schemeClr val="accent1"/>
            </a:solidFill>
            <a:ln>
              <a:noFill/>
            </a:ln>
            <a:effectLst/>
          </c:spPr>
          <c:invertIfNegative val="0"/>
          <c:cat>
            <c:strRef>
              <c:f>TABLICA!$V$182:$V$186</c:f>
              <c:strCache>
                <c:ptCount val="5"/>
                <c:pt idx="0">
                  <c:v>Olsztyn</c:v>
                </c:pt>
                <c:pt idx="1">
                  <c:v>Kielce</c:v>
                </c:pt>
                <c:pt idx="2">
                  <c:v>Białystok</c:v>
                </c:pt>
                <c:pt idx="3">
                  <c:v>Rzeszów</c:v>
                </c:pt>
                <c:pt idx="4">
                  <c:v>Lublin</c:v>
                </c:pt>
              </c:strCache>
            </c:strRef>
          </c:cat>
          <c:val>
            <c:numRef>
              <c:f>TABLICA!$W$182:$W$186</c:f>
              <c:numCache>
                <c:formatCode>0.0%</c:formatCode>
                <c:ptCount val="5"/>
                <c:pt idx="0">
                  <c:v>1.8932722789714689E-2</c:v>
                </c:pt>
                <c:pt idx="1">
                  <c:v>2.5418732877899919E-2</c:v>
                </c:pt>
                <c:pt idx="2">
                  <c:v>1.9192987758803084E-2</c:v>
                </c:pt>
                <c:pt idx="3">
                  <c:v>2.4806986457410453E-2</c:v>
                </c:pt>
                <c:pt idx="4">
                  <c:v>2.3884247934647159E-2</c:v>
                </c:pt>
              </c:numCache>
            </c:numRef>
          </c:val>
          <c:extLst>
            <c:ext xmlns:c16="http://schemas.microsoft.com/office/drawing/2014/chart" uri="{C3380CC4-5D6E-409C-BE32-E72D297353CC}">
              <c16:uniqueId val="{00000000-5056-476A-901E-1FD0EA52DE2D}"/>
            </c:ext>
          </c:extLst>
        </c:ser>
        <c:ser>
          <c:idx val="1"/>
          <c:order val="1"/>
          <c:tx>
            <c:strRef>
              <c:f>TABLICA!$X$181</c:f>
              <c:strCache>
                <c:ptCount val="1"/>
                <c:pt idx="0">
                  <c:v>2019</c:v>
                </c:pt>
              </c:strCache>
            </c:strRef>
          </c:tx>
          <c:spPr>
            <a:solidFill>
              <a:schemeClr val="accent2"/>
            </a:solidFill>
            <a:ln>
              <a:noFill/>
            </a:ln>
            <a:effectLst/>
          </c:spPr>
          <c:invertIfNegative val="0"/>
          <c:cat>
            <c:strRef>
              <c:f>TABLICA!$V$182:$V$186</c:f>
              <c:strCache>
                <c:ptCount val="5"/>
                <c:pt idx="0">
                  <c:v>Olsztyn</c:v>
                </c:pt>
                <c:pt idx="1">
                  <c:v>Kielce</c:v>
                </c:pt>
                <c:pt idx="2">
                  <c:v>Białystok</c:v>
                </c:pt>
                <c:pt idx="3">
                  <c:v>Rzeszów</c:v>
                </c:pt>
                <c:pt idx="4">
                  <c:v>Lublin</c:v>
                </c:pt>
              </c:strCache>
            </c:strRef>
          </c:cat>
          <c:val>
            <c:numRef>
              <c:f>TABLICA!$X$182:$X$186</c:f>
              <c:numCache>
                <c:formatCode>0.0%</c:formatCode>
                <c:ptCount val="5"/>
                <c:pt idx="0">
                  <c:v>2.2408253001860307E-2</c:v>
                </c:pt>
                <c:pt idx="1">
                  <c:v>2.716297786720322E-2</c:v>
                </c:pt>
                <c:pt idx="2">
                  <c:v>2.1872920825016632E-2</c:v>
                </c:pt>
                <c:pt idx="3">
                  <c:v>2.3581530073266313E-2</c:v>
                </c:pt>
                <c:pt idx="4">
                  <c:v>2.451277609354699E-2</c:v>
                </c:pt>
              </c:numCache>
            </c:numRef>
          </c:val>
          <c:extLst>
            <c:ext xmlns:c16="http://schemas.microsoft.com/office/drawing/2014/chart" uri="{C3380CC4-5D6E-409C-BE32-E72D297353CC}">
              <c16:uniqueId val="{00000001-5056-476A-901E-1FD0EA52DE2D}"/>
            </c:ext>
          </c:extLst>
        </c:ser>
        <c:dLbls>
          <c:showLegendKey val="0"/>
          <c:showVal val="0"/>
          <c:showCatName val="0"/>
          <c:showSerName val="0"/>
          <c:showPercent val="0"/>
          <c:showBubbleSize val="0"/>
        </c:dLbls>
        <c:gapWidth val="219"/>
        <c:overlap val="-27"/>
        <c:axId val="447765536"/>
        <c:axId val="447766848"/>
      </c:barChart>
      <c:catAx>
        <c:axId val="447765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47766848"/>
        <c:crosses val="autoZero"/>
        <c:auto val="1"/>
        <c:lblAlgn val="ctr"/>
        <c:lblOffset val="100"/>
        <c:noMultiLvlLbl val="0"/>
      </c:catAx>
      <c:valAx>
        <c:axId val="4477668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47765536"/>
        <c:crosses val="autoZero"/>
        <c:crossBetween val="between"/>
      </c:valAx>
      <c:spPr>
        <a:noFill/>
        <a:ln>
          <a:noFill/>
        </a:ln>
        <a:effectLst/>
      </c:spPr>
    </c:plotArea>
    <c:legend>
      <c:legendPos val="b"/>
      <c:layout>
        <c:manualLayout>
          <c:xMode val="edge"/>
          <c:yMode val="edge"/>
          <c:x val="0.38395444251779004"/>
          <c:y val="0.88814744823563707"/>
          <c:w val="0.23209084424013784"/>
          <c:h val="0.10000069991251094"/>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przyrost!$B$20</c:f>
              <c:strCache>
                <c:ptCount val="1"/>
                <c:pt idx="0">
                  <c:v>Olsztyn</c:v>
                </c:pt>
              </c:strCache>
            </c:strRef>
          </c:tx>
          <c:spPr>
            <a:solidFill>
              <a:schemeClr val="accent1"/>
            </a:solidFill>
            <a:ln>
              <a:noFill/>
            </a:ln>
            <a:effectLst/>
          </c:spPr>
          <c:invertIfNegative val="0"/>
          <c:cat>
            <c:strRef>
              <c:f>przyrost!$C$19:$K$19</c:f>
              <c:strCache>
                <c:ptCount val="9"/>
                <c:pt idx="0">
                  <c:v>2013</c:v>
                </c:pt>
                <c:pt idx="1">
                  <c:v>2014</c:v>
                </c:pt>
                <c:pt idx="2">
                  <c:v>2015</c:v>
                </c:pt>
                <c:pt idx="3">
                  <c:v>2016</c:v>
                </c:pt>
                <c:pt idx="4">
                  <c:v>2017</c:v>
                </c:pt>
                <c:pt idx="5">
                  <c:v>2018</c:v>
                </c:pt>
                <c:pt idx="6">
                  <c:v>2019</c:v>
                </c:pt>
                <c:pt idx="7">
                  <c:v>2020</c:v>
                </c:pt>
                <c:pt idx="8">
                  <c:v>2030</c:v>
                </c:pt>
              </c:strCache>
            </c:strRef>
          </c:cat>
          <c:val>
            <c:numRef>
              <c:f>przyrost!$C$20:$K$20</c:f>
              <c:numCache>
                <c:formatCode>#\ ##0.0</c:formatCode>
                <c:ptCount val="9"/>
                <c:pt idx="0">
                  <c:v>0.8</c:v>
                </c:pt>
                <c:pt idx="1">
                  <c:v>1.4</c:v>
                </c:pt>
                <c:pt idx="2">
                  <c:v>0.7</c:v>
                </c:pt>
                <c:pt idx="3">
                  <c:v>0.8</c:v>
                </c:pt>
                <c:pt idx="4">
                  <c:v>2.2000000000000002</c:v>
                </c:pt>
                <c:pt idx="5">
                  <c:v>2.2999999999999998</c:v>
                </c:pt>
                <c:pt idx="6">
                  <c:v>0.3</c:v>
                </c:pt>
                <c:pt idx="7">
                  <c:v>-1.24</c:v>
                </c:pt>
                <c:pt idx="8">
                  <c:v>-3.05</c:v>
                </c:pt>
              </c:numCache>
            </c:numRef>
          </c:val>
          <c:extLst>
            <c:ext xmlns:c16="http://schemas.microsoft.com/office/drawing/2014/chart" uri="{C3380CC4-5D6E-409C-BE32-E72D297353CC}">
              <c16:uniqueId val="{00000000-5459-4BF1-A1FD-D9F7111BF8BB}"/>
            </c:ext>
          </c:extLst>
        </c:ser>
        <c:ser>
          <c:idx val="1"/>
          <c:order val="1"/>
          <c:tx>
            <c:strRef>
              <c:f>przyrost!$B$21</c:f>
              <c:strCache>
                <c:ptCount val="1"/>
                <c:pt idx="0">
                  <c:v>Kielce</c:v>
                </c:pt>
              </c:strCache>
            </c:strRef>
          </c:tx>
          <c:spPr>
            <a:solidFill>
              <a:schemeClr val="accent2"/>
            </a:solidFill>
            <a:ln>
              <a:noFill/>
            </a:ln>
            <a:effectLst/>
          </c:spPr>
          <c:invertIfNegative val="0"/>
          <c:cat>
            <c:strRef>
              <c:f>przyrost!$C$19:$K$19</c:f>
              <c:strCache>
                <c:ptCount val="9"/>
                <c:pt idx="0">
                  <c:v>2013</c:v>
                </c:pt>
                <c:pt idx="1">
                  <c:v>2014</c:v>
                </c:pt>
                <c:pt idx="2">
                  <c:v>2015</c:v>
                </c:pt>
                <c:pt idx="3">
                  <c:v>2016</c:v>
                </c:pt>
                <c:pt idx="4">
                  <c:v>2017</c:v>
                </c:pt>
                <c:pt idx="5">
                  <c:v>2018</c:v>
                </c:pt>
                <c:pt idx="6">
                  <c:v>2019</c:v>
                </c:pt>
                <c:pt idx="7">
                  <c:v>2020</c:v>
                </c:pt>
                <c:pt idx="8">
                  <c:v>2030</c:v>
                </c:pt>
              </c:strCache>
            </c:strRef>
          </c:cat>
          <c:val>
            <c:numRef>
              <c:f>przyrost!$C$21:$K$21</c:f>
              <c:numCache>
                <c:formatCode>#\ ##0.0</c:formatCode>
                <c:ptCount val="9"/>
                <c:pt idx="0">
                  <c:v>-1.3</c:v>
                </c:pt>
                <c:pt idx="1">
                  <c:v>-1.1000000000000001</c:v>
                </c:pt>
                <c:pt idx="2">
                  <c:v>-1.7</c:v>
                </c:pt>
                <c:pt idx="3">
                  <c:v>-1.4</c:v>
                </c:pt>
                <c:pt idx="4">
                  <c:v>-0.8</c:v>
                </c:pt>
                <c:pt idx="5">
                  <c:v>-1.7</c:v>
                </c:pt>
                <c:pt idx="6">
                  <c:v>-2.5</c:v>
                </c:pt>
                <c:pt idx="7">
                  <c:v>-2.88</c:v>
                </c:pt>
                <c:pt idx="8">
                  <c:v>-5.72</c:v>
                </c:pt>
              </c:numCache>
            </c:numRef>
          </c:val>
          <c:extLst>
            <c:ext xmlns:c16="http://schemas.microsoft.com/office/drawing/2014/chart" uri="{C3380CC4-5D6E-409C-BE32-E72D297353CC}">
              <c16:uniqueId val="{00000001-5459-4BF1-A1FD-D9F7111BF8BB}"/>
            </c:ext>
          </c:extLst>
        </c:ser>
        <c:ser>
          <c:idx val="2"/>
          <c:order val="2"/>
          <c:tx>
            <c:strRef>
              <c:f>przyrost!$B$22</c:f>
              <c:strCache>
                <c:ptCount val="1"/>
                <c:pt idx="0">
                  <c:v>Białystok</c:v>
                </c:pt>
              </c:strCache>
            </c:strRef>
          </c:tx>
          <c:spPr>
            <a:solidFill>
              <a:schemeClr val="accent3"/>
            </a:solidFill>
            <a:ln>
              <a:noFill/>
            </a:ln>
            <a:effectLst/>
          </c:spPr>
          <c:invertIfNegative val="0"/>
          <c:cat>
            <c:strRef>
              <c:f>przyrost!$C$19:$K$19</c:f>
              <c:strCache>
                <c:ptCount val="9"/>
                <c:pt idx="0">
                  <c:v>2013</c:v>
                </c:pt>
                <c:pt idx="1">
                  <c:v>2014</c:v>
                </c:pt>
                <c:pt idx="2">
                  <c:v>2015</c:v>
                </c:pt>
                <c:pt idx="3">
                  <c:v>2016</c:v>
                </c:pt>
                <c:pt idx="4">
                  <c:v>2017</c:v>
                </c:pt>
                <c:pt idx="5">
                  <c:v>2018</c:v>
                </c:pt>
                <c:pt idx="6">
                  <c:v>2019</c:v>
                </c:pt>
                <c:pt idx="7">
                  <c:v>2020</c:v>
                </c:pt>
                <c:pt idx="8">
                  <c:v>2030</c:v>
                </c:pt>
              </c:strCache>
            </c:strRef>
          </c:cat>
          <c:val>
            <c:numRef>
              <c:f>przyrost!$C$22:$K$22</c:f>
              <c:numCache>
                <c:formatCode>#\ ##0.0</c:formatCode>
                <c:ptCount val="9"/>
                <c:pt idx="0">
                  <c:v>1.1000000000000001</c:v>
                </c:pt>
                <c:pt idx="1">
                  <c:v>1.6</c:v>
                </c:pt>
                <c:pt idx="2">
                  <c:v>1.8</c:v>
                </c:pt>
                <c:pt idx="3">
                  <c:v>2.5</c:v>
                </c:pt>
                <c:pt idx="4">
                  <c:v>3.4</c:v>
                </c:pt>
                <c:pt idx="5">
                  <c:v>2.7</c:v>
                </c:pt>
                <c:pt idx="6">
                  <c:v>2.5</c:v>
                </c:pt>
                <c:pt idx="7">
                  <c:v>0.43</c:v>
                </c:pt>
                <c:pt idx="8">
                  <c:v>-2.2999999999999998</c:v>
                </c:pt>
              </c:numCache>
            </c:numRef>
          </c:val>
          <c:extLst>
            <c:ext xmlns:c16="http://schemas.microsoft.com/office/drawing/2014/chart" uri="{C3380CC4-5D6E-409C-BE32-E72D297353CC}">
              <c16:uniqueId val="{00000002-5459-4BF1-A1FD-D9F7111BF8BB}"/>
            </c:ext>
          </c:extLst>
        </c:ser>
        <c:ser>
          <c:idx val="3"/>
          <c:order val="3"/>
          <c:tx>
            <c:strRef>
              <c:f>przyrost!$B$23</c:f>
              <c:strCache>
                <c:ptCount val="1"/>
                <c:pt idx="0">
                  <c:v>Rzeszów</c:v>
                </c:pt>
              </c:strCache>
            </c:strRef>
          </c:tx>
          <c:spPr>
            <a:solidFill>
              <a:schemeClr val="accent4"/>
            </a:solidFill>
            <a:ln>
              <a:noFill/>
            </a:ln>
            <a:effectLst/>
          </c:spPr>
          <c:invertIfNegative val="0"/>
          <c:cat>
            <c:strRef>
              <c:f>przyrost!$C$19:$K$19</c:f>
              <c:strCache>
                <c:ptCount val="9"/>
                <c:pt idx="0">
                  <c:v>2013</c:v>
                </c:pt>
                <c:pt idx="1">
                  <c:v>2014</c:v>
                </c:pt>
                <c:pt idx="2">
                  <c:v>2015</c:v>
                </c:pt>
                <c:pt idx="3">
                  <c:v>2016</c:v>
                </c:pt>
                <c:pt idx="4">
                  <c:v>2017</c:v>
                </c:pt>
                <c:pt idx="5">
                  <c:v>2018</c:v>
                </c:pt>
                <c:pt idx="6">
                  <c:v>2019</c:v>
                </c:pt>
                <c:pt idx="7">
                  <c:v>2020</c:v>
                </c:pt>
                <c:pt idx="8">
                  <c:v>2030</c:v>
                </c:pt>
              </c:strCache>
            </c:strRef>
          </c:cat>
          <c:val>
            <c:numRef>
              <c:f>przyrost!$C$23:$K$23</c:f>
              <c:numCache>
                <c:formatCode>#\ ##0.0</c:formatCode>
                <c:ptCount val="9"/>
                <c:pt idx="0">
                  <c:v>3.1</c:v>
                </c:pt>
                <c:pt idx="1">
                  <c:v>3.3</c:v>
                </c:pt>
                <c:pt idx="2">
                  <c:v>2.2000000000000002</c:v>
                </c:pt>
                <c:pt idx="3">
                  <c:v>3.7</c:v>
                </c:pt>
                <c:pt idx="4">
                  <c:v>4.2</c:v>
                </c:pt>
                <c:pt idx="5">
                  <c:v>4.2</c:v>
                </c:pt>
                <c:pt idx="6">
                  <c:v>3.3</c:v>
                </c:pt>
                <c:pt idx="7">
                  <c:v>2.23</c:v>
                </c:pt>
                <c:pt idx="8">
                  <c:v>0.09</c:v>
                </c:pt>
              </c:numCache>
            </c:numRef>
          </c:val>
          <c:extLst>
            <c:ext xmlns:c16="http://schemas.microsoft.com/office/drawing/2014/chart" uri="{C3380CC4-5D6E-409C-BE32-E72D297353CC}">
              <c16:uniqueId val="{00000003-5459-4BF1-A1FD-D9F7111BF8BB}"/>
            </c:ext>
          </c:extLst>
        </c:ser>
        <c:ser>
          <c:idx val="4"/>
          <c:order val="4"/>
          <c:tx>
            <c:strRef>
              <c:f>przyrost!$B$24</c:f>
              <c:strCache>
                <c:ptCount val="1"/>
                <c:pt idx="0">
                  <c:v>Lublin</c:v>
                </c:pt>
              </c:strCache>
            </c:strRef>
          </c:tx>
          <c:spPr>
            <a:solidFill>
              <a:schemeClr val="accent5"/>
            </a:solidFill>
            <a:ln>
              <a:noFill/>
            </a:ln>
            <a:effectLst/>
          </c:spPr>
          <c:invertIfNegative val="0"/>
          <c:cat>
            <c:strRef>
              <c:f>przyrost!$C$19:$K$19</c:f>
              <c:strCache>
                <c:ptCount val="9"/>
                <c:pt idx="0">
                  <c:v>2013</c:v>
                </c:pt>
                <c:pt idx="1">
                  <c:v>2014</c:v>
                </c:pt>
                <c:pt idx="2">
                  <c:v>2015</c:v>
                </c:pt>
                <c:pt idx="3">
                  <c:v>2016</c:v>
                </c:pt>
                <c:pt idx="4">
                  <c:v>2017</c:v>
                </c:pt>
                <c:pt idx="5">
                  <c:v>2018</c:v>
                </c:pt>
                <c:pt idx="6">
                  <c:v>2019</c:v>
                </c:pt>
                <c:pt idx="7">
                  <c:v>2020</c:v>
                </c:pt>
                <c:pt idx="8">
                  <c:v>2030</c:v>
                </c:pt>
              </c:strCache>
            </c:strRef>
          </c:cat>
          <c:val>
            <c:numRef>
              <c:f>przyrost!$C$24:$K$24</c:f>
              <c:numCache>
                <c:formatCode>#\ ##0.0</c:formatCode>
                <c:ptCount val="9"/>
                <c:pt idx="0">
                  <c:v>0.1</c:v>
                </c:pt>
                <c:pt idx="1">
                  <c:v>0.4</c:v>
                </c:pt>
                <c:pt idx="2">
                  <c:v>0.6</c:v>
                </c:pt>
                <c:pt idx="3">
                  <c:v>0.4</c:v>
                </c:pt>
                <c:pt idx="4">
                  <c:v>0.1</c:v>
                </c:pt>
                <c:pt idx="5">
                  <c:v>0.2</c:v>
                </c:pt>
                <c:pt idx="6">
                  <c:v>0.1</c:v>
                </c:pt>
                <c:pt idx="7">
                  <c:v>-1.03</c:v>
                </c:pt>
                <c:pt idx="8">
                  <c:v>-3.93</c:v>
                </c:pt>
              </c:numCache>
            </c:numRef>
          </c:val>
          <c:extLst>
            <c:ext xmlns:c16="http://schemas.microsoft.com/office/drawing/2014/chart" uri="{C3380CC4-5D6E-409C-BE32-E72D297353CC}">
              <c16:uniqueId val="{00000004-5459-4BF1-A1FD-D9F7111BF8BB}"/>
            </c:ext>
          </c:extLst>
        </c:ser>
        <c:dLbls>
          <c:showLegendKey val="0"/>
          <c:showVal val="0"/>
          <c:showCatName val="0"/>
          <c:showSerName val="0"/>
          <c:showPercent val="0"/>
          <c:showBubbleSize val="0"/>
        </c:dLbls>
        <c:gapWidth val="219"/>
        <c:overlap val="-27"/>
        <c:axId val="426144896"/>
        <c:axId val="426144568"/>
      </c:barChart>
      <c:catAx>
        <c:axId val="426144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6144568"/>
        <c:crosses val="autoZero"/>
        <c:auto val="1"/>
        <c:lblAlgn val="ctr"/>
        <c:lblOffset val="100"/>
        <c:noMultiLvlLbl val="0"/>
      </c:catAx>
      <c:valAx>
        <c:axId val="426144568"/>
        <c:scaling>
          <c:orientation val="minMax"/>
          <c:min val="-6"/>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6144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TABLICA!$J$47</c:f>
              <c:strCache>
                <c:ptCount val="1"/>
                <c:pt idx="0">
                  <c:v>2013</c:v>
                </c:pt>
              </c:strCache>
            </c:strRef>
          </c:tx>
          <c:spPr>
            <a:solidFill>
              <a:schemeClr val="accent1"/>
            </a:solidFill>
            <a:ln>
              <a:noFill/>
            </a:ln>
            <a:effectLst/>
          </c:spPr>
          <c:invertIfNegative val="0"/>
          <c:dLbls>
            <c:dLbl>
              <c:idx val="0"/>
              <c:layout>
                <c:manualLayout>
                  <c:x val="0"/>
                  <c:y val="0.183611939284288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977-4DBB-AF30-D41D95CAA822}"/>
                </c:ext>
              </c:extLst>
            </c:dLbl>
            <c:dLbl>
              <c:idx val="1"/>
              <c:layout>
                <c:manualLayout>
                  <c:x val="-5.2515386844883386E-17"/>
                  <c:y val="0.160463861920172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977-4DBB-AF30-D41D95CAA822}"/>
                </c:ext>
              </c:extLst>
            </c:dLbl>
            <c:dLbl>
              <c:idx val="2"/>
              <c:layout>
                <c:manualLayout>
                  <c:x val="0"/>
                  <c:y val="0.160463861920172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977-4DBB-AF30-D41D95CAA822}"/>
                </c:ext>
              </c:extLst>
            </c:dLbl>
            <c:dLbl>
              <c:idx val="3"/>
              <c:layout>
                <c:manualLayout>
                  <c:x val="-2.8645087367516471E-3"/>
                  <c:y val="0.189005682542109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977-4DBB-AF30-D41D95CAA822}"/>
                </c:ext>
              </c:extLst>
            </c:dLbl>
            <c:dLbl>
              <c:idx val="4"/>
              <c:layout>
                <c:manualLayout>
                  <c:x val="-1.0503077368976677E-16"/>
                  <c:y val="0.160463861920172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977-4DBB-AF30-D41D95CAA822}"/>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TABLICA!$I$48:$I$52</c:f>
              <c:strCache>
                <c:ptCount val="5"/>
                <c:pt idx="0">
                  <c:v>Olsztyn</c:v>
                </c:pt>
                <c:pt idx="1">
                  <c:v>Kielce</c:v>
                </c:pt>
                <c:pt idx="2">
                  <c:v>Białystok</c:v>
                </c:pt>
                <c:pt idx="3">
                  <c:v>Rzeszów</c:v>
                </c:pt>
                <c:pt idx="4">
                  <c:v>Lublin</c:v>
                </c:pt>
              </c:strCache>
            </c:strRef>
          </c:cat>
          <c:val>
            <c:numRef>
              <c:f>TABLICA!$J$48:$J$52</c:f>
              <c:numCache>
                <c:formatCode>#,##0</c:formatCode>
                <c:ptCount val="5"/>
                <c:pt idx="0">
                  <c:v>18762</c:v>
                </c:pt>
                <c:pt idx="1">
                  <c:v>8383</c:v>
                </c:pt>
                <c:pt idx="2">
                  <c:v>6942</c:v>
                </c:pt>
                <c:pt idx="3">
                  <c:v>10671</c:v>
                </c:pt>
                <c:pt idx="4">
                  <c:v>6281</c:v>
                </c:pt>
              </c:numCache>
            </c:numRef>
          </c:val>
          <c:extLst>
            <c:ext xmlns:c16="http://schemas.microsoft.com/office/drawing/2014/chart" uri="{C3380CC4-5D6E-409C-BE32-E72D297353CC}">
              <c16:uniqueId val="{00000005-3977-4DBB-AF30-D41D95CAA822}"/>
            </c:ext>
          </c:extLst>
        </c:ser>
        <c:ser>
          <c:idx val="1"/>
          <c:order val="1"/>
          <c:tx>
            <c:strRef>
              <c:f>TABLICA!$K$47</c:f>
              <c:strCache>
                <c:ptCount val="1"/>
                <c:pt idx="0">
                  <c:v>2019</c:v>
                </c:pt>
              </c:strCache>
            </c:strRef>
          </c:tx>
          <c:spPr>
            <a:solidFill>
              <a:schemeClr val="accent2"/>
            </a:solidFill>
            <a:ln>
              <a:noFill/>
            </a:ln>
            <a:effectLst/>
          </c:spPr>
          <c:invertIfNegative val="0"/>
          <c:dLbls>
            <c:dLbl>
              <c:idx val="0"/>
              <c:layout>
                <c:manualLayout>
                  <c:x val="0"/>
                  <c:y val="0.19439942579993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977-4DBB-AF30-D41D95CAA822}"/>
                </c:ext>
              </c:extLst>
            </c:dLbl>
            <c:dLbl>
              <c:idx val="1"/>
              <c:layout>
                <c:manualLayout>
                  <c:x val="-5.2515386844883386E-17"/>
                  <c:y val="0.19516346864408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977-4DBB-AF30-D41D95CAA822}"/>
                </c:ext>
              </c:extLst>
            </c:dLbl>
            <c:dLbl>
              <c:idx val="2"/>
              <c:layout>
                <c:manualLayout>
                  <c:x val="0"/>
                  <c:y val="0.160463861920172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977-4DBB-AF30-D41D95CAA822}"/>
                </c:ext>
              </c:extLst>
            </c:dLbl>
            <c:dLbl>
              <c:idx val="3"/>
              <c:layout>
                <c:manualLayout>
                  <c:x val="-1.0503077368976677E-16"/>
                  <c:y val="0.199793169057751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977-4DBB-AF30-D41D95CAA822}"/>
                </c:ext>
              </c:extLst>
            </c:dLbl>
            <c:dLbl>
              <c:idx val="4"/>
              <c:layout>
                <c:manualLayout>
                  <c:x val="0"/>
                  <c:y val="0.1897697253862683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977-4DBB-AF30-D41D95CAA822}"/>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TABLICA!$I$48:$I$52</c:f>
              <c:strCache>
                <c:ptCount val="5"/>
                <c:pt idx="0">
                  <c:v>Olsztyn</c:v>
                </c:pt>
                <c:pt idx="1">
                  <c:v>Kielce</c:v>
                </c:pt>
                <c:pt idx="2">
                  <c:v>Białystok</c:v>
                </c:pt>
                <c:pt idx="3">
                  <c:v>Rzeszów</c:v>
                </c:pt>
                <c:pt idx="4">
                  <c:v>Lublin</c:v>
                </c:pt>
              </c:strCache>
            </c:strRef>
          </c:cat>
          <c:val>
            <c:numRef>
              <c:f>TABLICA!$K$48:$K$52</c:f>
              <c:numCache>
                <c:formatCode>#,##0</c:formatCode>
                <c:ptCount val="5"/>
                <c:pt idx="0">
                  <c:v>17890</c:v>
                </c:pt>
                <c:pt idx="1">
                  <c:v>14644</c:v>
                </c:pt>
                <c:pt idx="2">
                  <c:v>8205</c:v>
                </c:pt>
                <c:pt idx="3">
                  <c:v>17135</c:v>
                </c:pt>
                <c:pt idx="4">
                  <c:v>13250</c:v>
                </c:pt>
              </c:numCache>
            </c:numRef>
          </c:val>
          <c:extLst>
            <c:ext xmlns:c16="http://schemas.microsoft.com/office/drawing/2014/chart" uri="{C3380CC4-5D6E-409C-BE32-E72D297353CC}">
              <c16:uniqueId val="{0000000B-3977-4DBB-AF30-D41D95CAA822}"/>
            </c:ext>
          </c:extLst>
        </c:ser>
        <c:dLbls>
          <c:showLegendKey val="0"/>
          <c:showVal val="0"/>
          <c:showCatName val="0"/>
          <c:showSerName val="0"/>
          <c:showPercent val="0"/>
          <c:showBubbleSize val="0"/>
        </c:dLbls>
        <c:gapWidth val="219"/>
        <c:overlap val="-27"/>
        <c:axId val="219558168"/>
        <c:axId val="219556200"/>
      </c:barChart>
      <c:catAx>
        <c:axId val="219558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19556200"/>
        <c:crosses val="autoZero"/>
        <c:auto val="1"/>
        <c:lblAlgn val="ctr"/>
        <c:lblOffset val="100"/>
        <c:noMultiLvlLbl val="0"/>
      </c:catAx>
      <c:valAx>
        <c:axId val="2195562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19558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TABLICA!$W$47</c:f>
              <c:strCache>
                <c:ptCount val="1"/>
                <c:pt idx="0">
                  <c:v>2013</c:v>
                </c:pt>
              </c:strCache>
            </c:strRef>
          </c:tx>
          <c:spPr>
            <a:solidFill>
              <a:schemeClr val="accent1"/>
            </a:solidFill>
            <a:ln>
              <a:noFill/>
            </a:ln>
            <a:effectLst/>
          </c:spPr>
          <c:invertIfNegative val="0"/>
          <c:dLbls>
            <c:dLbl>
              <c:idx val="0"/>
              <c:layout>
                <c:manualLayout>
                  <c:x val="0"/>
                  <c:y val="0.189180419228418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E42-4770-B068-42EF9D0BDD45}"/>
                </c:ext>
              </c:extLst>
            </c:dLbl>
            <c:dLbl>
              <c:idx val="1"/>
              <c:layout>
                <c:manualLayout>
                  <c:x val="2.8855864954552015E-3"/>
                  <c:y val="0.1638761550354150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E42-4770-B068-42EF9D0BDD45}"/>
                </c:ext>
              </c:extLst>
            </c:dLbl>
            <c:dLbl>
              <c:idx val="2"/>
              <c:layout>
                <c:manualLayout>
                  <c:x val="0"/>
                  <c:y val="0.177764894114263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E42-4770-B068-42EF9D0BDD45}"/>
                </c:ext>
              </c:extLst>
            </c:dLbl>
            <c:dLbl>
              <c:idx val="3"/>
              <c:layout>
                <c:manualLayout>
                  <c:x val="0"/>
                  <c:y val="0.170872433753999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E42-4770-B068-42EF9D0BDD45}"/>
                </c:ext>
              </c:extLst>
            </c:dLbl>
            <c:dLbl>
              <c:idx val="4"/>
              <c:layout>
                <c:manualLayout>
                  <c:x val="-1.058036159142911E-16"/>
                  <c:y val="0.170872433753999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E42-4770-B068-42EF9D0BDD45}"/>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TABLICA!$V$48:$V$52</c:f>
              <c:strCache>
                <c:ptCount val="5"/>
                <c:pt idx="0">
                  <c:v>Olsztyn</c:v>
                </c:pt>
                <c:pt idx="1">
                  <c:v>Kielce</c:v>
                </c:pt>
                <c:pt idx="2">
                  <c:v>Białystok</c:v>
                </c:pt>
                <c:pt idx="3">
                  <c:v>Rzeszów</c:v>
                </c:pt>
                <c:pt idx="4">
                  <c:v>Lublin</c:v>
                </c:pt>
              </c:strCache>
            </c:strRef>
          </c:cat>
          <c:val>
            <c:numRef>
              <c:f>TABLICA!$W$48:$W$52</c:f>
              <c:numCache>
                <c:formatCode>#,##0</c:formatCode>
                <c:ptCount val="5"/>
                <c:pt idx="0">
                  <c:v>3149</c:v>
                </c:pt>
                <c:pt idx="1">
                  <c:v>1301</c:v>
                </c:pt>
                <c:pt idx="2">
                  <c:v>4255</c:v>
                </c:pt>
                <c:pt idx="3">
                  <c:v>3193</c:v>
                </c:pt>
                <c:pt idx="4">
                  <c:v>2225</c:v>
                </c:pt>
              </c:numCache>
            </c:numRef>
          </c:val>
          <c:extLst>
            <c:ext xmlns:c16="http://schemas.microsoft.com/office/drawing/2014/chart" uri="{C3380CC4-5D6E-409C-BE32-E72D297353CC}">
              <c16:uniqueId val="{00000005-DE42-4770-B068-42EF9D0BDD45}"/>
            </c:ext>
          </c:extLst>
        </c:ser>
        <c:ser>
          <c:idx val="1"/>
          <c:order val="1"/>
          <c:tx>
            <c:strRef>
              <c:f>TABLICA!$X$47</c:f>
              <c:strCache>
                <c:ptCount val="1"/>
                <c:pt idx="0">
                  <c:v>2019</c:v>
                </c:pt>
              </c:strCache>
            </c:strRef>
          </c:tx>
          <c:spPr>
            <a:solidFill>
              <a:schemeClr val="accent2"/>
            </a:solidFill>
            <a:ln>
              <a:noFill/>
            </a:ln>
            <a:effectLst/>
          </c:spPr>
          <c:invertIfNegative val="0"/>
          <c:dLbls>
            <c:dLbl>
              <c:idx val="0"/>
              <c:layout>
                <c:manualLayout>
                  <c:x val="2.885586495455175E-3"/>
                  <c:y val="0.182287958868155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E42-4770-B068-42EF9D0BDD45}"/>
                </c:ext>
              </c:extLst>
            </c:dLbl>
            <c:dLbl>
              <c:idx val="1"/>
              <c:layout>
                <c:manualLayout>
                  <c:x val="0"/>
                  <c:y val="0.176580196311077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E42-4770-B068-42EF9D0BDD45}"/>
                </c:ext>
              </c:extLst>
            </c:dLbl>
            <c:dLbl>
              <c:idx val="2"/>
              <c:layout>
                <c:manualLayout>
                  <c:x val="0"/>
                  <c:y val="0.175997734872182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E42-4770-B068-42EF9D0BDD45}"/>
                </c:ext>
              </c:extLst>
            </c:dLbl>
            <c:dLbl>
              <c:idx val="3"/>
              <c:layout>
                <c:manualLayout>
                  <c:x val="0"/>
                  <c:y val="0.153749365935193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E42-4770-B068-42EF9D0BDD45}"/>
                </c:ext>
              </c:extLst>
            </c:dLbl>
            <c:dLbl>
              <c:idx val="4"/>
              <c:layout>
                <c:manualLayout>
                  <c:x val="0"/>
                  <c:y val="0.1588743447997000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E42-4770-B068-42EF9D0BDD45}"/>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TABLICA!$V$48:$V$52</c:f>
              <c:strCache>
                <c:ptCount val="5"/>
                <c:pt idx="0">
                  <c:v>Olsztyn</c:v>
                </c:pt>
                <c:pt idx="1">
                  <c:v>Kielce</c:v>
                </c:pt>
                <c:pt idx="2">
                  <c:v>Białystok</c:v>
                </c:pt>
                <c:pt idx="3">
                  <c:v>Rzeszów</c:v>
                </c:pt>
                <c:pt idx="4">
                  <c:v>Lublin</c:v>
                </c:pt>
              </c:strCache>
            </c:strRef>
          </c:cat>
          <c:val>
            <c:numRef>
              <c:f>TABLICA!$X$48:$X$52</c:f>
              <c:numCache>
                <c:formatCode>#,##0</c:formatCode>
                <c:ptCount val="5"/>
                <c:pt idx="0">
                  <c:v>3067</c:v>
                </c:pt>
                <c:pt idx="1">
                  <c:v>2675</c:v>
                </c:pt>
                <c:pt idx="2">
                  <c:v>3895</c:v>
                </c:pt>
                <c:pt idx="3">
                  <c:v>5206</c:v>
                </c:pt>
                <c:pt idx="4">
                  <c:v>3632</c:v>
                </c:pt>
              </c:numCache>
            </c:numRef>
          </c:val>
          <c:extLst>
            <c:ext xmlns:c16="http://schemas.microsoft.com/office/drawing/2014/chart" uri="{C3380CC4-5D6E-409C-BE32-E72D297353CC}">
              <c16:uniqueId val="{0000000B-DE42-4770-B068-42EF9D0BDD45}"/>
            </c:ext>
          </c:extLst>
        </c:ser>
        <c:dLbls>
          <c:showLegendKey val="0"/>
          <c:showVal val="0"/>
          <c:showCatName val="0"/>
          <c:showSerName val="0"/>
          <c:showPercent val="0"/>
          <c:showBubbleSize val="0"/>
        </c:dLbls>
        <c:gapWidth val="219"/>
        <c:overlap val="-27"/>
        <c:axId val="432209184"/>
        <c:axId val="432207544"/>
      </c:barChart>
      <c:catAx>
        <c:axId val="432209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32207544"/>
        <c:crosses val="autoZero"/>
        <c:auto val="1"/>
        <c:lblAlgn val="ctr"/>
        <c:lblOffset val="100"/>
        <c:noMultiLvlLbl val="0"/>
      </c:catAx>
      <c:valAx>
        <c:axId val="4322075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32209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TABLICA!$C$47</c:f>
              <c:strCache>
                <c:ptCount val="1"/>
                <c:pt idx="0">
                  <c:v>2013</c:v>
                </c:pt>
              </c:strCache>
            </c:strRef>
          </c:tx>
          <c:spPr>
            <a:solidFill>
              <a:schemeClr val="accent1"/>
            </a:solidFill>
            <a:ln>
              <a:noFill/>
            </a:ln>
            <a:effectLst/>
          </c:spPr>
          <c:invertIfNegative val="0"/>
          <c:dLbls>
            <c:dLbl>
              <c:idx val="0"/>
              <c:layout>
                <c:manualLayout>
                  <c:x val="-2.777777777777803E-3"/>
                  <c:y val="7.87037037037037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F55-42E3-9C66-201119FBE914}"/>
                </c:ext>
              </c:extLst>
            </c:dLbl>
            <c:dLbl>
              <c:idx val="1"/>
              <c:layout>
                <c:manualLayout>
                  <c:x val="-5.0925337632079971E-17"/>
                  <c:y val="9.7222222222222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F55-42E3-9C66-201119FBE914}"/>
                </c:ext>
              </c:extLst>
            </c:dLbl>
            <c:dLbl>
              <c:idx val="2"/>
              <c:layout>
                <c:manualLayout>
                  <c:x val="0"/>
                  <c:y val="8.79629629629629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F55-42E3-9C66-201119FBE914}"/>
                </c:ext>
              </c:extLst>
            </c:dLbl>
            <c:dLbl>
              <c:idx val="3"/>
              <c:layout>
                <c:manualLayout>
                  <c:x val="0"/>
                  <c:y val="9.25925925925925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F55-42E3-9C66-201119FBE914}"/>
                </c:ext>
              </c:extLst>
            </c:dLbl>
            <c:dLbl>
              <c:idx val="4"/>
              <c:layout>
                <c:manualLayout>
                  <c:x val="0"/>
                  <c:y val="9.7222222222222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F55-42E3-9C66-201119FBE91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TABLICA!$B$48:$B$52</c:f>
              <c:strCache>
                <c:ptCount val="5"/>
                <c:pt idx="0">
                  <c:v>Olsztyn</c:v>
                </c:pt>
                <c:pt idx="1">
                  <c:v>Kielce</c:v>
                </c:pt>
                <c:pt idx="2">
                  <c:v>Białystok</c:v>
                </c:pt>
                <c:pt idx="3">
                  <c:v>Rzeszów</c:v>
                </c:pt>
                <c:pt idx="4">
                  <c:v>Lublin</c:v>
                </c:pt>
              </c:strCache>
            </c:strRef>
          </c:cat>
          <c:val>
            <c:numRef>
              <c:f>TABLICA!$C$48:$C$52</c:f>
              <c:numCache>
                <c:formatCode>#,##0</c:formatCode>
                <c:ptCount val="5"/>
                <c:pt idx="0">
                  <c:v>26</c:v>
                </c:pt>
                <c:pt idx="1">
                  <c:v>29</c:v>
                </c:pt>
                <c:pt idx="2">
                  <c:v>27</c:v>
                </c:pt>
                <c:pt idx="3">
                  <c:v>36</c:v>
                </c:pt>
                <c:pt idx="4">
                  <c:v>29</c:v>
                </c:pt>
              </c:numCache>
            </c:numRef>
          </c:val>
          <c:extLst>
            <c:ext xmlns:c16="http://schemas.microsoft.com/office/drawing/2014/chart" uri="{C3380CC4-5D6E-409C-BE32-E72D297353CC}">
              <c16:uniqueId val="{00000005-BF55-42E3-9C66-201119FBE914}"/>
            </c:ext>
          </c:extLst>
        </c:ser>
        <c:ser>
          <c:idx val="1"/>
          <c:order val="1"/>
          <c:tx>
            <c:strRef>
              <c:f>TABLICA!$D$47</c:f>
              <c:strCache>
                <c:ptCount val="1"/>
                <c:pt idx="0">
                  <c:v>2019</c:v>
                </c:pt>
              </c:strCache>
            </c:strRef>
          </c:tx>
          <c:spPr>
            <a:solidFill>
              <a:schemeClr val="accent2"/>
            </a:solidFill>
            <a:ln>
              <a:noFill/>
            </a:ln>
            <a:effectLst/>
          </c:spPr>
          <c:invertIfNegative val="0"/>
          <c:dLbls>
            <c:dLbl>
              <c:idx val="0"/>
              <c:layout>
                <c:manualLayout>
                  <c:x val="-2.5462668816039986E-17"/>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F55-42E3-9C66-201119FBE914}"/>
                </c:ext>
              </c:extLst>
            </c:dLbl>
            <c:dLbl>
              <c:idx val="1"/>
              <c:layout>
                <c:manualLayout>
                  <c:x val="0"/>
                  <c:y val="9.25925925925925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F55-42E3-9C66-201119FBE914}"/>
                </c:ext>
              </c:extLst>
            </c:dLbl>
            <c:dLbl>
              <c:idx val="2"/>
              <c:layout>
                <c:manualLayout>
                  <c:x val="-1.0185067526415994E-16"/>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F55-42E3-9C66-201119FBE914}"/>
                </c:ext>
              </c:extLst>
            </c:dLbl>
            <c:dLbl>
              <c:idx val="3"/>
              <c:layout>
                <c:manualLayout>
                  <c:x val="0"/>
                  <c:y val="9.7222222222222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F55-42E3-9C66-201119FBE914}"/>
                </c:ext>
              </c:extLst>
            </c:dLbl>
            <c:dLbl>
              <c:idx val="4"/>
              <c:layout>
                <c:manualLayout>
                  <c:x val="-1.0185067526415994E-16"/>
                  <c:y val="9.25925925925925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F55-42E3-9C66-201119FBE91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TABLICA!$B$48:$B$52</c:f>
              <c:strCache>
                <c:ptCount val="5"/>
                <c:pt idx="0">
                  <c:v>Olsztyn</c:v>
                </c:pt>
                <c:pt idx="1">
                  <c:v>Kielce</c:v>
                </c:pt>
                <c:pt idx="2">
                  <c:v>Białystok</c:v>
                </c:pt>
                <c:pt idx="3">
                  <c:v>Rzeszów</c:v>
                </c:pt>
                <c:pt idx="4">
                  <c:v>Lublin</c:v>
                </c:pt>
              </c:strCache>
            </c:strRef>
          </c:cat>
          <c:val>
            <c:numRef>
              <c:f>TABLICA!$D$48:$D$52</c:f>
              <c:numCache>
                <c:formatCode>#,##0</c:formatCode>
                <c:ptCount val="5"/>
                <c:pt idx="0">
                  <c:v>26</c:v>
                </c:pt>
                <c:pt idx="1">
                  <c:v>38</c:v>
                </c:pt>
                <c:pt idx="2">
                  <c:v>31</c:v>
                </c:pt>
                <c:pt idx="3">
                  <c:v>46</c:v>
                </c:pt>
                <c:pt idx="4">
                  <c:v>55</c:v>
                </c:pt>
              </c:numCache>
            </c:numRef>
          </c:val>
          <c:extLst>
            <c:ext xmlns:c16="http://schemas.microsoft.com/office/drawing/2014/chart" uri="{C3380CC4-5D6E-409C-BE32-E72D297353CC}">
              <c16:uniqueId val="{0000000B-BF55-42E3-9C66-201119FBE914}"/>
            </c:ext>
          </c:extLst>
        </c:ser>
        <c:dLbls>
          <c:showLegendKey val="0"/>
          <c:showVal val="0"/>
          <c:showCatName val="0"/>
          <c:showSerName val="0"/>
          <c:showPercent val="0"/>
          <c:showBubbleSize val="0"/>
        </c:dLbls>
        <c:gapWidth val="219"/>
        <c:overlap val="-27"/>
        <c:axId val="222783808"/>
        <c:axId val="222781840"/>
      </c:barChart>
      <c:catAx>
        <c:axId val="222783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22781840"/>
        <c:crosses val="autoZero"/>
        <c:auto val="1"/>
        <c:lblAlgn val="ctr"/>
        <c:lblOffset val="100"/>
        <c:noMultiLvlLbl val="0"/>
      </c:catAx>
      <c:valAx>
        <c:axId val="2227818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22783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chemeClr val="tx1"/>
          </a:solidFill>
        </a:defRPr>
      </a:pPr>
      <a:endParaRPr lang="pl-PL"/>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TABLICA!$C$74</c:f>
              <c:strCache>
                <c:ptCount val="1"/>
                <c:pt idx="0">
                  <c:v>2013</c:v>
                </c:pt>
              </c:strCache>
            </c:strRef>
          </c:tx>
          <c:spPr>
            <a:solidFill>
              <a:schemeClr val="accent1"/>
            </a:solidFill>
            <a:ln>
              <a:noFill/>
            </a:ln>
            <a:effectLst/>
          </c:spPr>
          <c:invertIfNegative val="0"/>
          <c:dLbls>
            <c:dLbl>
              <c:idx val="0"/>
              <c:layout>
                <c:manualLayout>
                  <c:x val="0"/>
                  <c:y val="0.121862682885411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052-4BF8-89A4-474E1F28549A}"/>
                </c:ext>
              </c:extLst>
            </c:dLbl>
            <c:dLbl>
              <c:idx val="1"/>
              <c:layout>
                <c:manualLayout>
                  <c:x val="0"/>
                  <c:y val="0.165174238293993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052-4BF8-89A4-474E1F28549A}"/>
                </c:ext>
              </c:extLst>
            </c:dLbl>
            <c:dLbl>
              <c:idx val="2"/>
              <c:layout>
                <c:manualLayout>
                  <c:x val="0"/>
                  <c:y val="0.139488054912545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052-4BF8-89A4-474E1F28549A}"/>
                </c:ext>
              </c:extLst>
            </c:dLbl>
            <c:dLbl>
              <c:idx val="3"/>
              <c:layout>
                <c:manualLayout>
                  <c:x val="0"/>
                  <c:y val="0.172941002976217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052-4BF8-89A4-474E1F28549A}"/>
                </c:ext>
              </c:extLst>
            </c:dLbl>
            <c:dLbl>
              <c:idx val="4"/>
              <c:layout>
                <c:manualLayout>
                  <c:x val="0"/>
                  <c:y val="0.134858383905190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052-4BF8-89A4-474E1F28549A}"/>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TABLICA!$B$75:$B$79</c:f>
              <c:strCache>
                <c:ptCount val="5"/>
                <c:pt idx="0">
                  <c:v>Olsztyn</c:v>
                </c:pt>
                <c:pt idx="1">
                  <c:v>Kielce</c:v>
                </c:pt>
                <c:pt idx="2">
                  <c:v>Białystok</c:v>
                </c:pt>
                <c:pt idx="3">
                  <c:v>Rzeszów</c:v>
                </c:pt>
                <c:pt idx="4">
                  <c:v>Lublin</c:v>
                </c:pt>
              </c:strCache>
            </c:strRef>
          </c:cat>
          <c:val>
            <c:numRef>
              <c:f>TABLICA!$C$75:$C$79</c:f>
              <c:numCache>
                <c:formatCode>#,##0.00</c:formatCode>
                <c:ptCount val="5"/>
                <c:pt idx="0">
                  <c:v>37.28</c:v>
                </c:pt>
                <c:pt idx="1">
                  <c:v>10.8</c:v>
                </c:pt>
                <c:pt idx="2">
                  <c:v>7.54</c:v>
                </c:pt>
                <c:pt idx="3">
                  <c:v>12.72</c:v>
                </c:pt>
                <c:pt idx="4">
                  <c:v>6.48</c:v>
                </c:pt>
              </c:numCache>
            </c:numRef>
          </c:val>
          <c:extLst>
            <c:ext xmlns:c16="http://schemas.microsoft.com/office/drawing/2014/chart" uri="{C3380CC4-5D6E-409C-BE32-E72D297353CC}">
              <c16:uniqueId val="{00000005-C052-4BF8-89A4-474E1F28549A}"/>
            </c:ext>
          </c:extLst>
        </c:ser>
        <c:ser>
          <c:idx val="1"/>
          <c:order val="1"/>
          <c:tx>
            <c:strRef>
              <c:f>TABLICA!$D$74</c:f>
              <c:strCache>
                <c:ptCount val="1"/>
                <c:pt idx="0">
                  <c:v>2019</c:v>
                </c:pt>
              </c:strCache>
            </c:strRef>
          </c:tx>
          <c:spPr>
            <a:solidFill>
              <a:schemeClr val="accent2"/>
            </a:solidFill>
            <a:ln>
              <a:noFill/>
            </a:ln>
            <a:effectLst/>
          </c:spPr>
          <c:invertIfNegative val="0"/>
          <c:dLbls>
            <c:dLbl>
              <c:idx val="0"/>
              <c:layout>
                <c:manualLayout>
                  <c:x val="0"/>
                  <c:y val="0.167265634077238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052-4BF8-89A4-474E1F28549A}"/>
                </c:ext>
              </c:extLst>
            </c:dLbl>
            <c:dLbl>
              <c:idx val="1"/>
              <c:layout>
                <c:manualLayout>
                  <c:x val="0"/>
                  <c:y val="0.18429174077417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052-4BF8-89A4-474E1F28549A}"/>
                </c:ext>
              </c:extLst>
            </c:dLbl>
            <c:dLbl>
              <c:idx val="2"/>
              <c:layout>
                <c:manualLayout>
                  <c:x val="0"/>
                  <c:y val="0.1441177259199013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052-4BF8-89A4-474E1F28549A}"/>
                </c:ext>
              </c:extLst>
            </c:dLbl>
            <c:dLbl>
              <c:idx val="3"/>
              <c:layout>
                <c:manualLayout>
                  <c:x val="0"/>
                  <c:y val="0.1796620697668183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052-4BF8-89A4-474E1F28549A}"/>
                </c:ext>
              </c:extLst>
            </c:dLbl>
            <c:dLbl>
              <c:idx val="4"/>
              <c:layout>
                <c:manualLayout>
                  <c:x val="-1.064641204851846E-16"/>
                  <c:y val="0.167265634077238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052-4BF8-89A4-474E1F28549A}"/>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TABLICA!$B$75:$B$79</c:f>
              <c:strCache>
                <c:ptCount val="5"/>
                <c:pt idx="0">
                  <c:v>Olsztyn</c:v>
                </c:pt>
                <c:pt idx="1">
                  <c:v>Kielce</c:v>
                </c:pt>
                <c:pt idx="2">
                  <c:v>Białystok</c:v>
                </c:pt>
                <c:pt idx="3">
                  <c:v>Rzeszów</c:v>
                </c:pt>
                <c:pt idx="4">
                  <c:v>Lublin</c:v>
                </c:pt>
              </c:strCache>
            </c:strRef>
          </c:cat>
          <c:val>
            <c:numRef>
              <c:f>TABLICA!$D$75:$D$79</c:f>
              <c:numCache>
                <c:formatCode>#,##0.00</c:formatCode>
                <c:ptCount val="5"/>
                <c:pt idx="0">
                  <c:v>34.03</c:v>
                </c:pt>
                <c:pt idx="1">
                  <c:v>21.49</c:v>
                </c:pt>
                <c:pt idx="2">
                  <c:v>9.4</c:v>
                </c:pt>
                <c:pt idx="3">
                  <c:v>26.31</c:v>
                </c:pt>
                <c:pt idx="4">
                  <c:v>13.58</c:v>
                </c:pt>
              </c:numCache>
            </c:numRef>
          </c:val>
          <c:extLst>
            <c:ext xmlns:c16="http://schemas.microsoft.com/office/drawing/2014/chart" uri="{C3380CC4-5D6E-409C-BE32-E72D297353CC}">
              <c16:uniqueId val="{0000000B-C052-4BF8-89A4-474E1F28549A}"/>
            </c:ext>
          </c:extLst>
        </c:ser>
        <c:dLbls>
          <c:showLegendKey val="0"/>
          <c:showVal val="0"/>
          <c:showCatName val="0"/>
          <c:showSerName val="0"/>
          <c:showPercent val="0"/>
          <c:showBubbleSize val="0"/>
        </c:dLbls>
        <c:gapWidth val="219"/>
        <c:overlap val="-27"/>
        <c:axId val="189312464"/>
        <c:axId val="189312792"/>
      </c:barChart>
      <c:catAx>
        <c:axId val="189312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189312792"/>
        <c:crosses val="autoZero"/>
        <c:auto val="1"/>
        <c:lblAlgn val="ctr"/>
        <c:lblOffset val="100"/>
        <c:noMultiLvlLbl val="0"/>
      </c:catAx>
      <c:valAx>
        <c:axId val="1893127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189312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TABLICA!$Q$75</c:f>
              <c:strCache>
                <c:ptCount val="1"/>
                <c:pt idx="0">
                  <c:v>2013</c:v>
                </c:pt>
              </c:strCache>
            </c:strRef>
          </c:tx>
          <c:spPr>
            <a:solidFill>
              <a:schemeClr val="accent1"/>
            </a:solidFill>
            <a:ln>
              <a:noFill/>
            </a:ln>
            <a:effectLst/>
          </c:spPr>
          <c:invertIfNegative val="0"/>
          <c:dLbls>
            <c:dLbl>
              <c:idx val="0"/>
              <c:layout>
                <c:manualLayout>
                  <c:x val="-2.5328954980212685E-17"/>
                  <c:y val="0.189814814814814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16D-41DE-B0CD-01D9062FC4CC}"/>
                </c:ext>
              </c:extLst>
            </c:dLbl>
            <c:dLbl>
              <c:idx val="1"/>
              <c:layout>
                <c:manualLayout>
                  <c:x val="0"/>
                  <c:y val="0.157407407407407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16D-41DE-B0CD-01D9062FC4CC}"/>
                </c:ext>
              </c:extLst>
            </c:dLbl>
            <c:dLbl>
              <c:idx val="2"/>
              <c:layout>
                <c:manualLayout>
                  <c:x val="0"/>
                  <c:y val="0.162037037037036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16D-41DE-B0CD-01D9062FC4CC}"/>
                </c:ext>
              </c:extLst>
            </c:dLbl>
            <c:dLbl>
              <c:idx val="3"/>
              <c:layout>
                <c:manualLayout>
                  <c:x val="-1.0131581992085074E-16"/>
                  <c:y val="0.162037037037037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16D-41DE-B0CD-01D9062FC4CC}"/>
                </c:ext>
              </c:extLst>
            </c:dLbl>
            <c:dLbl>
              <c:idx val="4"/>
              <c:layout>
                <c:manualLayout>
                  <c:x val="0"/>
                  <c:y val="0.157407407407407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16D-41DE-B0CD-01D9062FC4CC}"/>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TABLICA!$P$76:$P$80</c:f>
              <c:strCache>
                <c:ptCount val="5"/>
                <c:pt idx="0">
                  <c:v>Olsztyn</c:v>
                </c:pt>
                <c:pt idx="1">
                  <c:v>Kielce</c:v>
                </c:pt>
                <c:pt idx="2">
                  <c:v>Białystok</c:v>
                </c:pt>
                <c:pt idx="3">
                  <c:v>Rzeszów</c:v>
                </c:pt>
                <c:pt idx="4">
                  <c:v>Lublin</c:v>
                </c:pt>
              </c:strCache>
            </c:strRef>
          </c:cat>
          <c:val>
            <c:numRef>
              <c:f>TABLICA!$Q$76:$Q$80</c:f>
              <c:numCache>
                <c:formatCode>#,##0.00</c:formatCode>
                <c:ptCount val="5"/>
                <c:pt idx="0">
                  <c:v>1111.57</c:v>
                </c:pt>
                <c:pt idx="1">
                  <c:v>554.30999999999995</c:v>
                </c:pt>
                <c:pt idx="2">
                  <c:v>839.32</c:v>
                </c:pt>
                <c:pt idx="3">
                  <c:v>906.2</c:v>
                </c:pt>
                <c:pt idx="4">
                  <c:v>558.85</c:v>
                </c:pt>
              </c:numCache>
            </c:numRef>
          </c:val>
          <c:extLst>
            <c:ext xmlns:c16="http://schemas.microsoft.com/office/drawing/2014/chart" uri="{C3380CC4-5D6E-409C-BE32-E72D297353CC}">
              <c16:uniqueId val="{00000005-A16D-41DE-B0CD-01D9062FC4CC}"/>
            </c:ext>
          </c:extLst>
        </c:ser>
        <c:ser>
          <c:idx val="1"/>
          <c:order val="1"/>
          <c:tx>
            <c:strRef>
              <c:f>TABLICA!$R$75</c:f>
              <c:strCache>
                <c:ptCount val="1"/>
                <c:pt idx="0">
                  <c:v>2019</c:v>
                </c:pt>
              </c:strCache>
            </c:strRef>
          </c:tx>
          <c:spPr>
            <a:solidFill>
              <a:schemeClr val="accent2"/>
            </a:solidFill>
            <a:ln>
              <a:noFill/>
            </a:ln>
            <a:effectLst/>
          </c:spPr>
          <c:invertIfNegative val="0"/>
          <c:dLbls>
            <c:dLbl>
              <c:idx val="0"/>
              <c:layout>
                <c:manualLayout>
                  <c:x val="2.7631906453594933E-3"/>
                  <c:y val="0.185185185185185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16D-41DE-B0CD-01D9062FC4CC}"/>
                </c:ext>
              </c:extLst>
            </c:dLbl>
            <c:dLbl>
              <c:idx val="1"/>
              <c:layout>
                <c:manualLayout>
                  <c:x val="0"/>
                  <c:y val="0.162037037037037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16D-41DE-B0CD-01D9062FC4CC}"/>
                </c:ext>
              </c:extLst>
            </c:dLbl>
            <c:dLbl>
              <c:idx val="2"/>
              <c:layout>
                <c:manualLayout>
                  <c:x val="-1.0131581992085074E-16"/>
                  <c:y val="0.162037037037036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16D-41DE-B0CD-01D9062FC4CC}"/>
                </c:ext>
              </c:extLst>
            </c:dLbl>
            <c:dLbl>
              <c:idx val="3"/>
              <c:layout>
                <c:manualLayout>
                  <c:x val="1.0131581992085074E-16"/>
                  <c:y val="0.194444444444444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16D-41DE-B0CD-01D9062FC4CC}"/>
                </c:ext>
              </c:extLst>
            </c:dLbl>
            <c:dLbl>
              <c:idx val="4"/>
              <c:layout>
                <c:manualLayout>
                  <c:x val="0"/>
                  <c:y val="0.194444444444444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16D-41DE-B0CD-01D9062FC4CC}"/>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TABLICA!$P$76:$P$80</c:f>
              <c:strCache>
                <c:ptCount val="5"/>
                <c:pt idx="0">
                  <c:v>Olsztyn</c:v>
                </c:pt>
                <c:pt idx="1">
                  <c:v>Kielce</c:v>
                </c:pt>
                <c:pt idx="2">
                  <c:v>Białystok</c:v>
                </c:pt>
                <c:pt idx="3">
                  <c:v>Rzeszów</c:v>
                </c:pt>
                <c:pt idx="4">
                  <c:v>Lublin</c:v>
                </c:pt>
              </c:strCache>
            </c:strRef>
          </c:cat>
          <c:val>
            <c:numRef>
              <c:f>TABLICA!$R$76:$R$80</c:f>
              <c:numCache>
                <c:formatCode>#,##0.00</c:formatCode>
                <c:ptCount val="5"/>
                <c:pt idx="0">
                  <c:v>1105.0899999999999</c:v>
                </c:pt>
                <c:pt idx="1">
                  <c:v>906.41</c:v>
                </c:pt>
                <c:pt idx="2">
                  <c:v>873.29</c:v>
                </c:pt>
                <c:pt idx="3">
                  <c:v>1561.39</c:v>
                </c:pt>
                <c:pt idx="4">
                  <c:v>1073.29</c:v>
                </c:pt>
              </c:numCache>
            </c:numRef>
          </c:val>
          <c:extLst>
            <c:ext xmlns:c16="http://schemas.microsoft.com/office/drawing/2014/chart" uri="{C3380CC4-5D6E-409C-BE32-E72D297353CC}">
              <c16:uniqueId val="{0000000B-A16D-41DE-B0CD-01D9062FC4CC}"/>
            </c:ext>
          </c:extLst>
        </c:ser>
        <c:dLbls>
          <c:showLegendKey val="0"/>
          <c:showVal val="0"/>
          <c:showCatName val="0"/>
          <c:showSerName val="0"/>
          <c:showPercent val="0"/>
          <c:showBubbleSize val="0"/>
        </c:dLbls>
        <c:gapWidth val="219"/>
        <c:overlap val="-27"/>
        <c:axId val="431142336"/>
        <c:axId val="431147256"/>
      </c:barChart>
      <c:catAx>
        <c:axId val="431142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31147256"/>
        <c:crosses val="autoZero"/>
        <c:auto val="1"/>
        <c:lblAlgn val="ctr"/>
        <c:lblOffset val="100"/>
        <c:noMultiLvlLbl val="0"/>
      </c:catAx>
      <c:valAx>
        <c:axId val="4311472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31142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layout>
                <c:manualLayout>
                  <c:x val="0"/>
                  <c:y val="0.197847420069642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037-4CDA-982F-A577BAB05DCD}"/>
                </c:ext>
              </c:extLst>
            </c:dLbl>
            <c:dLbl>
              <c:idx val="1"/>
              <c:layout>
                <c:manualLayout>
                  <c:x val="0"/>
                  <c:y val="0.212686163517309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037-4CDA-982F-A577BAB05DCD}"/>
                </c:ext>
              </c:extLst>
            </c:dLbl>
            <c:dLbl>
              <c:idx val="2"/>
              <c:layout>
                <c:manualLayout>
                  <c:x val="0"/>
                  <c:y val="0.25775574349502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037-4CDA-982F-A577BAB05DCD}"/>
                </c:ext>
              </c:extLst>
            </c:dLbl>
            <c:dLbl>
              <c:idx val="3"/>
              <c:layout>
                <c:manualLayout>
                  <c:x val="0"/>
                  <c:y val="0.270417978379483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037-4CDA-982F-A577BAB05DCD}"/>
                </c:ext>
              </c:extLst>
            </c:dLbl>
            <c:dLbl>
              <c:idx val="4"/>
              <c:layout>
                <c:manualLayout>
                  <c:x val="0"/>
                  <c:y val="0.2657882864357055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037-4CDA-982F-A577BAB05DCD}"/>
                </c:ext>
              </c:extLst>
            </c:dLbl>
            <c:dLbl>
              <c:idx val="5"/>
              <c:layout>
                <c:manualLayout>
                  <c:x val="-1.0885035800830512E-16"/>
                  <c:y val="0.2674897119341563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037-4CDA-982F-A577BAB05DCD}"/>
                </c:ext>
              </c:extLst>
            </c:dLbl>
            <c:dLbl>
              <c:idx val="6"/>
              <c:layout>
                <c:manualLayout>
                  <c:x val="0"/>
                  <c:y val="0.21050965495409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037-4CDA-982F-A577BAB05DCD}"/>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TABLICA!$C$90:$I$90</c:f>
              <c:strCache>
                <c:ptCount val="7"/>
                <c:pt idx="0">
                  <c:v>2013</c:v>
                </c:pt>
                <c:pt idx="1">
                  <c:v>2014</c:v>
                </c:pt>
                <c:pt idx="2">
                  <c:v>2015</c:v>
                </c:pt>
                <c:pt idx="3">
                  <c:v>2016</c:v>
                </c:pt>
                <c:pt idx="4">
                  <c:v>2017</c:v>
                </c:pt>
                <c:pt idx="5">
                  <c:v>2018</c:v>
                </c:pt>
                <c:pt idx="6">
                  <c:v>2019</c:v>
                </c:pt>
              </c:strCache>
            </c:strRef>
          </c:cat>
          <c:val>
            <c:numRef>
              <c:f>TABLICA!$C$91:$I$91</c:f>
              <c:numCache>
                <c:formatCode>#,##0.00</c:formatCode>
                <c:ptCount val="7"/>
                <c:pt idx="0">
                  <c:v>1111.57</c:v>
                </c:pt>
                <c:pt idx="1">
                  <c:v>975.35</c:v>
                </c:pt>
                <c:pt idx="2">
                  <c:v>1009.54</c:v>
                </c:pt>
                <c:pt idx="3">
                  <c:v>1066.1199999999999</c:v>
                </c:pt>
                <c:pt idx="4">
                  <c:v>1060.05</c:v>
                </c:pt>
                <c:pt idx="5">
                  <c:v>1067.8800000000001</c:v>
                </c:pt>
                <c:pt idx="6">
                  <c:v>1105.0899999999999</c:v>
                </c:pt>
              </c:numCache>
            </c:numRef>
          </c:val>
          <c:extLst>
            <c:ext xmlns:c16="http://schemas.microsoft.com/office/drawing/2014/chart" uri="{C3380CC4-5D6E-409C-BE32-E72D297353CC}">
              <c16:uniqueId val="{00000007-C037-4CDA-982F-A577BAB05DCD}"/>
            </c:ext>
          </c:extLst>
        </c:ser>
        <c:dLbls>
          <c:showLegendKey val="0"/>
          <c:showVal val="0"/>
          <c:showCatName val="0"/>
          <c:showSerName val="0"/>
          <c:showPercent val="0"/>
          <c:showBubbleSize val="0"/>
        </c:dLbls>
        <c:gapWidth val="219"/>
        <c:overlap val="-27"/>
        <c:axId val="219209008"/>
        <c:axId val="219209664"/>
      </c:barChart>
      <c:catAx>
        <c:axId val="219209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19209664"/>
        <c:crosses val="autoZero"/>
        <c:auto val="1"/>
        <c:lblAlgn val="ctr"/>
        <c:lblOffset val="100"/>
        <c:noMultiLvlLbl val="0"/>
      </c:catAx>
      <c:valAx>
        <c:axId val="2192096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19209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TABLICA!$C$181</c:f>
              <c:strCache>
                <c:ptCount val="1"/>
                <c:pt idx="0">
                  <c:v>2013</c:v>
                </c:pt>
              </c:strCache>
            </c:strRef>
          </c:tx>
          <c:spPr>
            <a:solidFill>
              <a:schemeClr val="accent1"/>
            </a:solidFill>
            <a:ln>
              <a:noFill/>
            </a:ln>
            <a:effectLst/>
          </c:spPr>
          <c:invertIfNegative val="0"/>
          <c:dLbls>
            <c:dLbl>
              <c:idx val="0"/>
              <c:layout>
                <c:manualLayout>
                  <c:x val="-2.7465350633031894E-17"/>
                  <c:y val="0.131386861313868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351-4117-AC59-83EC08ECF953}"/>
                </c:ext>
              </c:extLst>
            </c:dLbl>
            <c:dLbl>
              <c:idx val="1"/>
              <c:layout>
                <c:manualLayout>
                  <c:x val="0"/>
                  <c:y val="0.147924715033553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351-4117-AC59-83EC08ECF953}"/>
                </c:ext>
              </c:extLst>
            </c:dLbl>
            <c:dLbl>
              <c:idx val="2"/>
              <c:layout>
                <c:manualLayout>
                  <c:x val="2.9962546816478851E-3"/>
                  <c:y val="0.157657415204576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351-4117-AC59-83EC08ECF953}"/>
                </c:ext>
              </c:extLst>
            </c:dLbl>
            <c:dLbl>
              <c:idx val="3"/>
              <c:layout>
                <c:manualLayout>
                  <c:x val="0"/>
                  <c:y val="0.142412035871480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351-4117-AC59-83EC08ECF953}"/>
                </c:ext>
              </c:extLst>
            </c:dLbl>
            <c:dLbl>
              <c:idx val="4"/>
              <c:layout>
                <c:manualLayout>
                  <c:x val="-2.9962546816479402E-3"/>
                  <c:y val="0.158303744281137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351-4117-AC59-83EC08ECF953}"/>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TABLICA!$B$182:$B$186</c:f>
              <c:strCache>
                <c:ptCount val="5"/>
                <c:pt idx="0">
                  <c:v>Olsztyn</c:v>
                </c:pt>
                <c:pt idx="1">
                  <c:v>Kielce</c:v>
                </c:pt>
                <c:pt idx="2">
                  <c:v>Białystok</c:v>
                </c:pt>
                <c:pt idx="3">
                  <c:v>Rzeszów</c:v>
                </c:pt>
                <c:pt idx="4">
                  <c:v>Lublin</c:v>
                </c:pt>
              </c:strCache>
            </c:strRef>
          </c:cat>
          <c:val>
            <c:numRef>
              <c:f>TABLICA!$C$182:$C$186</c:f>
              <c:numCache>
                <c:formatCode>0.0%</c:formatCode>
                <c:ptCount val="5"/>
                <c:pt idx="0">
                  <c:v>8.0000000000000002E-3</c:v>
                </c:pt>
                <c:pt idx="1">
                  <c:v>3.0000000000000001E-3</c:v>
                </c:pt>
                <c:pt idx="2">
                  <c:v>7.0000000000000001E-3</c:v>
                </c:pt>
                <c:pt idx="3">
                  <c:v>3.0000000000000001E-3</c:v>
                </c:pt>
                <c:pt idx="4">
                  <c:v>4.0000000000000001E-3</c:v>
                </c:pt>
              </c:numCache>
            </c:numRef>
          </c:val>
          <c:extLst>
            <c:ext xmlns:c16="http://schemas.microsoft.com/office/drawing/2014/chart" uri="{C3380CC4-5D6E-409C-BE32-E72D297353CC}">
              <c16:uniqueId val="{00000000-235E-4208-973E-5E82C873BA1A}"/>
            </c:ext>
          </c:extLst>
        </c:ser>
        <c:ser>
          <c:idx val="1"/>
          <c:order val="1"/>
          <c:tx>
            <c:strRef>
              <c:f>TABLICA!$D$181</c:f>
              <c:strCache>
                <c:ptCount val="1"/>
                <c:pt idx="0">
                  <c:v>2019</c:v>
                </c:pt>
              </c:strCache>
            </c:strRef>
          </c:tx>
          <c:spPr>
            <a:solidFill>
              <a:schemeClr val="accent2"/>
            </a:solidFill>
            <a:ln>
              <a:noFill/>
            </a:ln>
            <a:effectLst/>
          </c:spPr>
          <c:invertIfNegative val="0"/>
          <c:dLbls>
            <c:dLbl>
              <c:idx val="0"/>
              <c:layout>
                <c:manualLayout>
                  <c:x val="-2.9962546816479402E-3"/>
                  <c:y val="0.163170094366649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351-4117-AC59-83EC08ECF953}"/>
                </c:ext>
              </c:extLst>
            </c:dLbl>
            <c:dLbl>
              <c:idx val="1"/>
              <c:layout>
                <c:manualLayout>
                  <c:x val="-5.4930701266063787E-17"/>
                  <c:y val="0.148571478179339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351-4117-AC59-83EC08ECF953}"/>
                </c:ext>
              </c:extLst>
            </c:dLbl>
            <c:dLbl>
              <c:idx val="2"/>
              <c:layout>
                <c:manualLayout>
                  <c:x val="0"/>
                  <c:y val="0.158950073357699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351-4117-AC59-83EC08ECF953}"/>
                </c:ext>
              </c:extLst>
            </c:dLbl>
            <c:dLbl>
              <c:idx val="3"/>
              <c:layout>
                <c:manualLayout>
                  <c:x val="0"/>
                  <c:y val="0.158303744281137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351-4117-AC59-83EC08ECF953}"/>
                </c:ext>
              </c:extLst>
            </c:dLbl>
            <c:dLbl>
              <c:idx val="4"/>
              <c:layout>
                <c:manualLayout>
                  <c:x val="-1.0986140253212757E-16"/>
                  <c:y val="0.147924715033553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351-4117-AC59-83EC08ECF953}"/>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TABLICA!$B$182:$B$186</c:f>
              <c:strCache>
                <c:ptCount val="5"/>
                <c:pt idx="0">
                  <c:v>Olsztyn</c:v>
                </c:pt>
                <c:pt idx="1">
                  <c:v>Kielce</c:v>
                </c:pt>
                <c:pt idx="2">
                  <c:v>Białystok</c:v>
                </c:pt>
                <c:pt idx="3">
                  <c:v>Rzeszów</c:v>
                </c:pt>
                <c:pt idx="4">
                  <c:v>Lublin</c:v>
                </c:pt>
              </c:strCache>
            </c:strRef>
          </c:cat>
          <c:val>
            <c:numRef>
              <c:f>TABLICA!$D$182:$D$186</c:f>
              <c:numCache>
                <c:formatCode>0.0%</c:formatCode>
                <c:ptCount val="5"/>
                <c:pt idx="0">
                  <c:v>7.0000000000000001E-3</c:v>
                </c:pt>
                <c:pt idx="1">
                  <c:v>3.0000000000000001E-3</c:v>
                </c:pt>
                <c:pt idx="2">
                  <c:v>6.0000000000000001E-3</c:v>
                </c:pt>
                <c:pt idx="3">
                  <c:v>4.0000000000000001E-3</c:v>
                </c:pt>
                <c:pt idx="4">
                  <c:v>4.0000000000000001E-3</c:v>
                </c:pt>
              </c:numCache>
            </c:numRef>
          </c:val>
          <c:extLst>
            <c:ext xmlns:c16="http://schemas.microsoft.com/office/drawing/2014/chart" uri="{C3380CC4-5D6E-409C-BE32-E72D297353CC}">
              <c16:uniqueId val="{00000001-235E-4208-973E-5E82C873BA1A}"/>
            </c:ext>
          </c:extLst>
        </c:ser>
        <c:dLbls>
          <c:showLegendKey val="0"/>
          <c:showVal val="0"/>
          <c:showCatName val="0"/>
          <c:showSerName val="0"/>
          <c:showPercent val="0"/>
          <c:showBubbleSize val="0"/>
        </c:dLbls>
        <c:gapWidth val="219"/>
        <c:overlap val="-27"/>
        <c:axId val="446242480"/>
        <c:axId val="446241496"/>
      </c:barChart>
      <c:catAx>
        <c:axId val="446242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46241496"/>
        <c:crosses val="autoZero"/>
        <c:auto val="1"/>
        <c:lblAlgn val="ctr"/>
        <c:lblOffset val="100"/>
        <c:noMultiLvlLbl val="0"/>
      </c:catAx>
      <c:valAx>
        <c:axId val="4462414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46242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52871419336378"/>
          <c:y val="0.12753457027150975"/>
          <c:w val="0.85918864785239668"/>
          <c:h val="0.65136532168424655"/>
        </c:manualLayout>
      </c:layout>
      <c:barChart>
        <c:barDir val="col"/>
        <c:grouping val="clustered"/>
        <c:varyColors val="0"/>
        <c:ser>
          <c:idx val="0"/>
          <c:order val="0"/>
          <c:tx>
            <c:strRef>
              <c:f>TABLICA!$M$181</c:f>
              <c:strCache>
                <c:ptCount val="1"/>
                <c:pt idx="0">
                  <c:v>2013</c:v>
                </c:pt>
              </c:strCache>
            </c:strRef>
          </c:tx>
          <c:spPr>
            <a:solidFill>
              <a:schemeClr val="accent1"/>
            </a:solidFill>
            <a:ln>
              <a:noFill/>
            </a:ln>
            <a:effectLst/>
          </c:spPr>
          <c:invertIfNegative val="0"/>
          <c:dLbls>
            <c:dLbl>
              <c:idx val="0"/>
              <c:layout>
                <c:manualLayout>
                  <c:x val="0"/>
                  <c:y val="0.163839226608444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027-4115-BC60-DD9DE4B14578}"/>
                </c:ext>
              </c:extLst>
            </c:dLbl>
            <c:dLbl>
              <c:idx val="1"/>
              <c:layout>
                <c:manualLayout>
                  <c:x val="0"/>
                  <c:y val="0.163839226608444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027-4115-BC60-DD9DE4B14578}"/>
                </c:ext>
              </c:extLst>
            </c:dLbl>
            <c:dLbl>
              <c:idx val="2"/>
              <c:layout>
                <c:manualLayout>
                  <c:x val="0"/>
                  <c:y val="0.168774989949857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027-4115-BC60-DD9DE4B14578}"/>
                </c:ext>
              </c:extLst>
            </c:dLbl>
            <c:dLbl>
              <c:idx val="3"/>
              <c:layout>
                <c:manualLayout>
                  <c:x val="0"/>
                  <c:y val="0.168774989949857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027-4115-BC60-DD9DE4B14578}"/>
                </c:ext>
              </c:extLst>
            </c:dLbl>
            <c:dLbl>
              <c:idx val="4"/>
              <c:layout>
                <c:manualLayout>
                  <c:x val="-1.0919071797229774E-16"/>
                  <c:y val="0.169953564731342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027-4115-BC60-DD9DE4B14578}"/>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TABLICA!$L$182:$L$186</c:f>
              <c:strCache>
                <c:ptCount val="5"/>
                <c:pt idx="0">
                  <c:v>Olsztyn</c:v>
                </c:pt>
                <c:pt idx="1">
                  <c:v>Kielce</c:v>
                </c:pt>
                <c:pt idx="2">
                  <c:v>Białystok</c:v>
                </c:pt>
                <c:pt idx="3">
                  <c:v>Rzeszów</c:v>
                </c:pt>
                <c:pt idx="4">
                  <c:v>Lublin</c:v>
                </c:pt>
              </c:strCache>
            </c:strRef>
          </c:cat>
          <c:val>
            <c:numRef>
              <c:f>TABLICA!$M$182:$M$186</c:f>
              <c:numCache>
                <c:formatCode>0.0%</c:formatCode>
                <c:ptCount val="5"/>
                <c:pt idx="0">
                  <c:v>5.939591405424445E-2</c:v>
                </c:pt>
                <c:pt idx="1">
                  <c:v>7.3308596594652706E-2</c:v>
                </c:pt>
                <c:pt idx="2">
                  <c:v>6.6525615837993046E-2</c:v>
                </c:pt>
                <c:pt idx="3">
                  <c:v>6.4717546302155843E-2</c:v>
                </c:pt>
                <c:pt idx="4">
                  <c:v>7.0660451377671116E-2</c:v>
                </c:pt>
              </c:numCache>
            </c:numRef>
          </c:val>
          <c:extLst>
            <c:ext xmlns:c16="http://schemas.microsoft.com/office/drawing/2014/chart" uri="{C3380CC4-5D6E-409C-BE32-E72D297353CC}">
              <c16:uniqueId val="{00000000-E792-44FC-B96C-646F0DC53747}"/>
            </c:ext>
          </c:extLst>
        </c:ser>
        <c:ser>
          <c:idx val="1"/>
          <c:order val="1"/>
          <c:tx>
            <c:strRef>
              <c:f>TABLICA!$N$181</c:f>
              <c:strCache>
                <c:ptCount val="1"/>
                <c:pt idx="0">
                  <c:v>2019</c:v>
                </c:pt>
              </c:strCache>
            </c:strRef>
          </c:tx>
          <c:spPr>
            <a:solidFill>
              <a:schemeClr val="accent2"/>
            </a:solidFill>
            <a:ln>
              <a:noFill/>
            </a:ln>
            <a:effectLst/>
          </c:spPr>
          <c:invertIfNegative val="0"/>
          <c:dLbls>
            <c:dLbl>
              <c:idx val="0"/>
              <c:layout>
                <c:manualLayout>
                  <c:x val="-2.7297679493074435E-17"/>
                  <c:y val="0.173710753291271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027-4115-BC60-DD9DE4B14578}"/>
                </c:ext>
              </c:extLst>
            </c:dLbl>
            <c:dLbl>
              <c:idx val="1"/>
              <c:layout>
                <c:manualLayout>
                  <c:x val="-2.9643629269391308E-3"/>
                  <c:y val="0.168774989949857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027-4115-BC60-DD9DE4B14578}"/>
                </c:ext>
              </c:extLst>
            </c:dLbl>
            <c:dLbl>
              <c:idx val="2"/>
              <c:layout>
                <c:manualLayout>
                  <c:x val="-1.0919071797229774E-16"/>
                  <c:y val="0.169953564731342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027-4115-BC60-DD9DE4B14578}"/>
                </c:ext>
              </c:extLst>
            </c:dLbl>
            <c:dLbl>
              <c:idx val="3"/>
              <c:layout>
                <c:manualLayout>
                  <c:x val="-1.0919071797229774E-16"/>
                  <c:y val="0.162660651826959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027-4115-BC60-DD9DE4B14578}"/>
                </c:ext>
              </c:extLst>
            </c:dLbl>
            <c:dLbl>
              <c:idx val="4"/>
              <c:layout>
                <c:manualLayout>
                  <c:x val="1.0919071797229774E-16"/>
                  <c:y val="0.176067902854240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027-4115-BC60-DD9DE4B14578}"/>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TABLICA!$L$182:$L$186</c:f>
              <c:strCache>
                <c:ptCount val="5"/>
                <c:pt idx="0">
                  <c:v>Olsztyn</c:v>
                </c:pt>
                <c:pt idx="1">
                  <c:v>Kielce</c:v>
                </c:pt>
                <c:pt idx="2">
                  <c:v>Białystok</c:v>
                </c:pt>
                <c:pt idx="3">
                  <c:v>Rzeszów</c:v>
                </c:pt>
                <c:pt idx="4">
                  <c:v>Lublin</c:v>
                </c:pt>
              </c:strCache>
            </c:strRef>
          </c:cat>
          <c:val>
            <c:numRef>
              <c:f>TABLICA!$N$182:$N$186</c:f>
              <c:numCache>
                <c:formatCode>0.0%</c:formatCode>
                <c:ptCount val="5"/>
                <c:pt idx="0">
                  <c:v>5.6401150008455941E-2</c:v>
                </c:pt>
                <c:pt idx="1">
                  <c:v>6.9832789842503296E-2</c:v>
                </c:pt>
                <c:pt idx="2">
                  <c:v>6.1294078509647375E-2</c:v>
                </c:pt>
                <c:pt idx="3">
                  <c:v>5.8953825183165789E-2</c:v>
                </c:pt>
                <c:pt idx="4">
                  <c:v>6.4530099610220881E-2</c:v>
                </c:pt>
              </c:numCache>
            </c:numRef>
          </c:val>
          <c:extLst>
            <c:ext xmlns:c16="http://schemas.microsoft.com/office/drawing/2014/chart" uri="{C3380CC4-5D6E-409C-BE32-E72D297353CC}">
              <c16:uniqueId val="{00000001-E792-44FC-B96C-646F0DC53747}"/>
            </c:ext>
          </c:extLst>
        </c:ser>
        <c:dLbls>
          <c:showLegendKey val="0"/>
          <c:showVal val="0"/>
          <c:showCatName val="0"/>
          <c:showSerName val="0"/>
          <c:showPercent val="0"/>
          <c:showBubbleSize val="0"/>
        </c:dLbls>
        <c:gapWidth val="219"/>
        <c:overlap val="-27"/>
        <c:axId val="448051160"/>
        <c:axId val="448050832"/>
      </c:barChart>
      <c:catAx>
        <c:axId val="448051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48050832"/>
        <c:crosses val="autoZero"/>
        <c:auto val="1"/>
        <c:lblAlgn val="ctr"/>
        <c:lblOffset val="100"/>
        <c:noMultiLvlLbl val="0"/>
      </c:catAx>
      <c:valAx>
        <c:axId val="4480508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48051160"/>
        <c:crosses val="autoZero"/>
        <c:crossBetween val="between"/>
      </c:valAx>
      <c:spPr>
        <a:noFill/>
        <a:ln>
          <a:noFill/>
        </a:ln>
        <a:effectLst/>
      </c:spPr>
    </c:plotArea>
    <c:legend>
      <c:legendPos val="b"/>
      <c:layout>
        <c:manualLayout>
          <c:xMode val="edge"/>
          <c:yMode val="edge"/>
          <c:x val="0.38643401405241573"/>
          <c:y val="0.88458119564322768"/>
          <c:w val="0.22713197189516857"/>
          <c:h val="9.7997201569316031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TABLICA!$AN$99</c:f>
              <c:strCache>
                <c:ptCount val="1"/>
                <c:pt idx="0">
                  <c:v>2013</c:v>
                </c:pt>
              </c:strCache>
            </c:strRef>
          </c:tx>
          <c:spPr>
            <a:solidFill>
              <a:schemeClr val="accent1"/>
            </a:solidFill>
            <a:ln>
              <a:noFill/>
            </a:ln>
            <a:effectLst/>
          </c:spPr>
          <c:invertIfNegative val="0"/>
          <c:dLbls>
            <c:dLbl>
              <c:idx val="0"/>
              <c:layout>
                <c:manualLayout>
                  <c:x val="-2.1270022629665622E-17"/>
                  <c:y val="0.119987785270453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7B3-40BC-9BD6-E7B11A07F042}"/>
                </c:ext>
              </c:extLst>
            </c:dLbl>
            <c:dLbl>
              <c:idx val="1"/>
              <c:layout>
                <c:manualLayout>
                  <c:x val="0"/>
                  <c:y val="0.119987785270453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7B3-40BC-9BD6-E7B11A07F042}"/>
                </c:ext>
              </c:extLst>
            </c:dLbl>
            <c:dLbl>
              <c:idx val="2"/>
              <c:layout>
                <c:manualLayout>
                  <c:x val="0"/>
                  <c:y val="0.1285583413611999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7B3-40BC-9BD6-E7B11A07F042}"/>
                </c:ext>
              </c:extLst>
            </c:dLbl>
            <c:dLbl>
              <c:idx val="3"/>
              <c:layout>
                <c:manualLayout>
                  <c:x val="-8.5080090518662489E-17"/>
                  <c:y val="0.119987785270453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7B3-40BC-9BD6-E7B11A07F042}"/>
                </c:ext>
              </c:extLst>
            </c:dLbl>
            <c:dLbl>
              <c:idx val="4"/>
              <c:layout>
                <c:manualLayout>
                  <c:x val="0"/>
                  <c:y val="0.124273063315826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7B3-40BC-9BD6-E7B11A07F042}"/>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TABLICA!$AM$100:$AM$104</c:f>
              <c:strCache>
                <c:ptCount val="5"/>
                <c:pt idx="0">
                  <c:v>Olsztyn</c:v>
                </c:pt>
                <c:pt idx="1">
                  <c:v>Kielce</c:v>
                </c:pt>
                <c:pt idx="2">
                  <c:v>Białystok</c:v>
                </c:pt>
                <c:pt idx="3">
                  <c:v>Rzeszów</c:v>
                </c:pt>
                <c:pt idx="4">
                  <c:v>Lublin</c:v>
                </c:pt>
              </c:strCache>
            </c:strRef>
          </c:cat>
          <c:val>
            <c:numRef>
              <c:f>TABLICA!$AN$100:$AN$104</c:f>
              <c:numCache>
                <c:formatCode>#,##0</c:formatCode>
                <c:ptCount val="5"/>
                <c:pt idx="0">
                  <c:v>3928</c:v>
                </c:pt>
                <c:pt idx="1">
                  <c:v>4710</c:v>
                </c:pt>
                <c:pt idx="2">
                  <c:v>5240</c:v>
                </c:pt>
                <c:pt idx="3">
                  <c:v>4776</c:v>
                </c:pt>
                <c:pt idx="4">
                  <c:v>7290</c:v>
                </c:pt>
              </c:numCache>
            </c:numRef>
          </c:val>
          <c:extLst>
            <c:ext xmlns:c16="http://schemas.microsoft.com/office/drawing/2014/chart" uri="{C3380CC4-5D6E-409C-BE32-E72D297353CC}">
              <c16:uniqueId val="{00000005-B7B3-40BC-9BD6-E7B11A07F042}"/>
            </c:ext>
          </c:extLst>
        </c:ser>
        <c:ser>
          <c:idx val="1"/>
          <c:order val="1"/>
          <c:tx>
            <c:strRef>
              <c:f>TABLICA!$AO$99</c:f>
              <c:strCache>
                <c:ptCount val="1"/>
                <c:pt idx="0">
                  <c:v>2014</c:v>
                </c:pt>
              </c:strCache>
            </c:strRef>
          </c:tx>
          <c:spPr>
            <a:solidFill>
              <a:schemeClr val="accent2"/>
            </a:solidFill>
            <a:ln>
              <a:noFill/>
            </a:ln>
            <a:effectLst/>
          </c:spPr>
          <c:invertIfNegative val="0"/>
          <c:cat>
            <c:strRef>
              <c:f>TABLICA!$AM$100:$AM$104</c:f>
              <c:strCache>
                <c:ptCount val="5"/>
                <c:pt idx="0">
                  <c:v>Olsztyn</c:v>
                </c:pt>
                <c:pt idx="1">
                  <c:v>Kielce</c:v>
                </c:pt>
                <c:pt idx="2">
                  <c:v>Białystok</c:v>
                </c:pt>
                <c:pt idx="3">
                  <c:v>Rzeszów</c:v>
                </c:pt>
                <c:pt idx="4">
                  <c:v>Lublin</c:v>
                </c:pt>
              </c:strCache>
            </c:strRef>
          </c:cat>
          <c:val>
            <c:numRef>
              <c:f>TABLICA!$AO$100:$AO$104</c:f>
              <c:numCache>
                <c:formatCode>#,##0</c:formatCode>
                <c:ptCount val="5"/>
                <c:pt idx="0">
                  <c:v>3986</c:v>
                </c:pt>
                <c:pt idx="1">
                  <c:v>4729</c:v>
                </c:pt>
                <c:pt idx="2">
                  <c:v>5448</c:v>
                </c:pt>
                <c:pt idx="3">
                  <c:v>5259</c:v>
                </c:pt>
                <c:pt idx="4">
                  <c:v>7512</c:v>
                </c:pt>
              </c:numCache>
            </c:numRef>
          </c:val>
          <c:extLst>
            <c:ext xmlns:c16="http://schemas.microsoft.com/office/drawing/2014/chart" uri="{C3380CC4-5D6E-409C-BE32-E72D297353CC}">
              <c16:uniqueId val="{00000006-B7B3-40BC-9BD6-E7B11A07F042}"/>
            </c:ext>
          </c:extLst>
        </c:ser>
        <c:ser>
          <c:idx val="2"/>
          <c:order val="2"/>
          <c:tx>
            <c:strRef>
              <c:f>TABLICA!$AP$99</c:f>
              <c:strCache>
                <c:ptCount val="1"/>
                <c:pt idx="0">
                  <c:v>2015</c:v>
                </c:pt>
              </c:strCache>
            </c:strRef>
          </c:tx>
          <c:spPr>
            <a:solidFill>
              <a:schemeClr val="accent3"/>
            </a:solidFill>
            <a:ln>
              <a:noFill/>
            </a:ln>
            <a:effectLst/>
          </c:spPr>
          <c:invertIfNegative val="0"/>
          <c:cat>
            <c:strRef>
              <c:f>TABLICA!$AM$100:$AM$104</c:f>
              <c:strCache>
                <c:ptCount val="5"/>
                <c:pt idx="0">
                  <c:v>Olsztyn</c:v>
                </c:pt>
                <c:pt idx="1">
                  <c:v>Kielce</c:v>
                </c:pt>
                <c:pt idx="2">
                  <c:v>Białystok</c:v>
                </c:pt>
                <c:pt idx="3">
                  <c:v>Rzeszów</c:v>
                </c:pt>
                <c:pt idx="4">
                  <c:v>Lublin</c:v>
                </c:pt>
              </c:strCache>
            </c:strRef>
          </c:cat>
          <c:val>
            <c:numRef>
              <c:f>TABLICA!$AP$100:$AP$104</c:f>
              <c:numCache>
                <c:formatCode>#,##0</c:formatCode>
                <c:ptCount val="5"/>
                <c:pt idx="0">
                  <c:v>4122</c:v>
                </c:pt>
                <c:pt idx="1">
                  <c:v>4802</c:v>
                </c:pt>
                <c:pt idx="2">
                  <c:v>5743</c:v>
                </c:pt>
                <c:pt idx="3">
                  <c:v>5561</c:v>
                </c:pt>
                <c:pt idx="4">
                  <c:v>7904</c:v>
                </c:pt>
              </c:numCache>
            </c:numRef>
          </c:val>
          <c:extLst>
            <c:ext xmlns:c16="http://schemas.microsoft.com/office/drawing/2014/chart" uri="{C3380CC4-5D6E-409C-BE32-E72D297353CC}">
              <c16:uniqueId val="{00000007-B7B3-40BC-9BD6-E7B11A07F042}"/>
            </c:ext>
          </c:extLst>
        </c:ser>
        <c:ser>
          <c:idx val="3"/>
          <c:order val="3"/>
          <c:tx>
            <c:strRef>
              <c:f>TABLICA!$AQ$99</c:f>
              <c:strCache>
                <c:ptCount val="1"/>
                <c:pt idx="0">
                  <c:v>2016</c:v>
                </c:pt>
              </c:strCache>
            </c:strRef>
          </c:tx>
          <c:spPr>
            <a:solidFill>
              <a:schemeClr val="accent4"/>
            </a:solidFill>
            <a:ln>
              <a:noFill/>
            </a:ln>
            <a:effectLst/>
          </c:spPr>
          <c:invertIfNegative val="0"/>
          <c:cat>
            <c:strRef>
              <c:f>TABLICA!$AM$100:$AM$104</c:f>
              <c:strCache>
                <c:ptCount val="5"/>
                <c:pt idx="0">
                  <c:v>Olsztyn</c:v>
                </c:pt>
                <c:pt idx="1">
                  <c:v>Kielce</c:v>
                </c:pt>
                <c:pt idx="2">
                  <c:v>Białystok</c:v>
                </c:pt>
                <c:pt idx="3">
                  <c:v>Rzeszów</c:v>
                </c:pt>
                <c:pt idx="4">
                  <c:v>Lublin</c:v>
                </c:pt>
              </c:strCache>
            </c:strRef>
          </c:cat>
          <c:val>
            <c:numRef>
              <c:f>TABLICA!$AQ$100:$AQ$104</c:f>
              <c:numCache>
                <c:formatCode>#,##0</c:formatCode>
                <c:ptCount val="5"/>
                <c:pt idx="0">
                  <c:v>4181</c:v>
                </c:pt>
                <c:pt idx="1">
                  <c:v>4938</c:v>
                </c:pt>
                <c:pt idx="2">
                  <c:v>6033</c:v>
                </c:pt>
                <c:pt idx="3">
                  <c:v>5872</c:v>
                </c:pt>
                <c:pt idx="4">
                  <c:v>8384</c:v>
                </c:pt>
              </c:numCache>
            </c:numRef>
          </c:val>
          <c:extLst>
            <c:ext xmlns:c16="http://schemas.microsoft.com/office/drawing/2014/chart" uri="{C3380CC4-5D6E-409C-BE32-E72D297353CC}">
              <c16:uniqueId val="{00000008-B7B3-40BC-9BD6-E7B11A07F042}"/>
            </c:ext>
          </c:extLst>
        </c:ser>
        <c:ser>
          <c:idx val="4"/>
          <c:order val="4"/>
          <c:tx>
            <c:strRef>
              <c:f>TABLICA!$AR$99</c:f>
              <c:strCache>
                <c:ptCount val="1"/>
                <c:pt idx="0">
                  <c:v>2017</c:v>
                </c:pt>
              </c:strCache>
            </c:strRef>
          </c:tx>
          <c:spPr>
            <a:solidFill>
              <a:schemeClr val="accent5"/>
            </a:solidFill>
            <a:ln>
              <a:noFill/>
            </a:ln>
            <a:effectLst/>
          </c:spPr>
          <c:invertIfNegative val="0"/>
          <c:cat>
            <c:strRef>
              <c:f>TABLICA!$AM$100:$AM$104</c:f>
              <c:strCache>
                <c:ptCount val="5"/>
                <c:pt idx="0">
                  <c:v>Olsztyn</c:v>
                </c:pt>
                <c:pt idx="1">
                  <c:v>Kielce</c:v>
                </c:pt>
                <c:pt idx="2">
                  <c:v>Białystok</c:v>
                </c:pt>
                <c:pt idx="3">
                  <c:v>Rzeszów</c:v>
                </c:pt>
                <c:pt idx="4">
                  <c:v>Lublin</c:v>
                </c:pt>
              </c:strCache>
            </c:strRef>
          </c:cat>
          <c:val>
            <c:numRef>
              <c:f>TABLICA!$AR$100:$AR$104</c:f>
              <c:numCache>
                <c:formatCode>#,##0</c:formatCode>
                <c:ptCount val="5"/>
                <c:pt idx="0">
                  <c:v>4248</c:v>
                </c:pt>
                <c:pt idx="1">
                  <c:v>5035</c:v>
                </c:pt>
                <c:pt idx="2">
                  <c:v>6359</c:v>
                </c:pt>
                <c:pt idx="3">
                  <c:v>6335</c:v>
                </c:pt>
                <c:pt idx="4">
                  <c:v>8757</c:v>
                </c:pt>
              </c:numCache>
            </c:numRef>
          </c:val>
          <c:extLst>
            <c:ext xmlns:c16="http://schemas.microsoft.com/office/drawing/2014/chart" uri="{C3380CC4-5D6E-409C-BE32-E72D297353CC}">
              <c16:uniqueId val="{00000009-B7B3-40BC-9BD6-E7B11A07F042}"/>
            </c:ext>
          </c:extLst>
        </c:ser>
        <c:ser>
          <c:idx val="5"/>
          <c:order val="5"/>
          <c:tx>
            <c:strRef>
              <c:f>TABLICA!$AS$99</c:f>
              <c:strCache>
                <c:ptCount val="1"/>
                <c:pt idx="0">
                  <c:v>2018</c:v>
                </c:pt>
              </c:strCache>
            </c:strRef>
          </c:tx>
          <c:spPr>
            <a:solidFill>
              <a:schemeClr val="accent6"/>
            </a:solidFill>
            <a:ln>
              <a:noFill/>
            </a:ln>
            <a:effectLst/>
          </c:spPr>
          <c:invertIfNegative val="0"/>
          <c:cat>
            <c:strRef>
              <c:f>TABLICA!$AM$100:$AM$104</c:f>
              <c:strCache>
                <c:ptCount val="5"/>
                <c:pt idx="0">
                  <c:v>Olsztyn</c:v>
                </c:pt>
                <c:pt idx="1">
                  <c:v>Kielce</c:v>
                </c:pt>
                <c:pt idx="2">
                  <c:v>Białystok</c:v>
                </c:pt>
                <c:pt idx="3">
                  <c:v>Rzeszów</c:v>
                </c:pt>
                <c:pt idx="4">
                  <c:v>Lublin</c:v>
                </c:pt>
              </c:strCache>
            </c:strRef>
          </c:cat>
          <c:val>
            <c:numRef>
              <c:f>TABLICA!$AS$100:$AS$104</c:f>
              <c:numCache>
                <c:formatCode>#,##0</c:formatCode>
                <c:ptCount val="5"/>
                <c:pt idx="0">
                  <c:v>4344</c:v>
                </c:pt>
                <c:pt idx="1">
                  <c:v>5091</c:v>
                </c:pt>
                <c:pt idx="2">
                  <c:v>6705</c:v>
                </c:pt>
                <c:pt idx="3">
                  <c:v>6781</c:v>
                </c:pt>
                <c:pt idx="4">
                  <c:v>9054</c:v>
                </c:pt>
              </c:numCache>
            </c:numRef>
          </c:val>
          <c:extLst>
            <c:ext xmlns:c16="http://schemas.microsoft.com/office/drawing/2014/chart" uri="{C3380CC4-5D6E-409C-BE32-E72D297353CC}">
              <c16:uniqueId val="{0000000A-B7B3-40BC-9BD6-E7B11A07F042}"/>
            </c:ext>
          </c:extLst>
        </c:ser>
        <c:ser>
          <c:idx val="6"/>
          <c:order val="6"/>
          <c:tx>
            <c:strRef>
              <c:f>TABLICA!$AT$99</c:f>
              <c:strCache>
                <c:ptCount val="1"/>
                <c:pt idx="0">
                  <c:v>2019</c:v>
                </c:pt>
              </c:strCache>
            </c:strRef>
          </c:tx>
          <c:spPr>
            <a:solidFill>
              <a:schemeClr val="accent1">
                <a:lumMod val="60000"/>
              </a:schemeClr>
            </a:solidFill>
            <a:ln>
              <a:noFill/>
            </a:ln>
            <a:effectLst/>
          </c:spPr>
          <c:invertIfNegative val="0"/>
          <c:dLbls>
            <c:dLbl>
              <c:idx val="0"/>
              <c:layout>
                <c:manualLayout>
                  <c:x val="-4.2540045259331245E-17"/>
                  <c:y val="0.124273063315826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7B3-40BC-9BD6-E7B11A07F042}"/>
                </c:ext>
              </c:extLst>
            </c:dLbl>
            <c:dLbl>
              <c:idx val="1"/>
              <c:layout>
                <c:manualLayout>
                  <c:x val="0"/>
                  <c:y val="0.12427306331582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7B3-40BC-9BD6-E7B11A07F042}"/>
                </c:ext>
              </c:extLst>
            </c:dLbl>
            <c:dLbl>
              <c:idx val="2"/>
              <c:layout>
                <c:manualLayout>
                  <c:x val="-8.5080090518662489E-17"/>
                  <c:y val="0.124273063315826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7B3-40BC-9BD6-E7B11A07F042}"/>
                </c:ext>
              </c:extLst>
            </c:dLbl>
            <c:dLbl>
              <c:idx val="3"/>
              <c:layout>
                <c:manualLayout>
                  <c:x val="0"/>
                  <c:y val="0.12427306331582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7B3-40BC-9BD6-E7B11A07F042}"/>
                </c:ext>
              </c:extLst>
            </c:dLbl>
            <c:dLbl>
              <c:idx val="4"/>
              <c:layout>
                <c:manualLayout>
                  <c:x val="0"/>
                  <c:y val="0.119987785270453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B7B3-40BC-9BD6-E7B11A07F042}"/>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TABLICA!$AM$100:$AM$104</c:f>
              <c:strCache>
                <c:ptCount val="5"/>
                <c:pt idx="0">
                  <c:v>Olsztyn</c:v>
                </c:pt>
                <c:pt idx="1">
                  <c:v>Kielce</c:v>
                </c:pt>
                <c:pt idx="2">
                  <c:v>Białystok</c:v>
                </c:pt>
                <c:pt idx="3">
                  <c:v>Rzeszów</c:v>
                </c:pt>
                <c:pt idx="4">
                  <c:v>Lublin</c:v>
                </c:pt>
              </c:strCache>
            </c:strRef>
          </c:cat>
          <c:val>
            <c:numRef>
              <c:f>TABLICA!$AT$100:$AT$104</c:f>
              <c:numCache>
                <c:formatCode>#,##0</c:formatCode>
                <c:ptCount val="5"/>
                <c:pt idx="0">
                  <c:v>4512</c:v>
                </c:pt>
                <c:pt idx="1">
                  <c:v>5276</c:v>
                </c:pt>
                <c:pt idx="2">
                  <c:v>7016</c:v>
                </c:pt>
                <c:pt idx="3">
                  <c:v>7204</c:v>
                </c:pt>
                <c:pt idx="4">
                  <c:v>9579</c:v>
                </c:pt>
              </c:numCache>
            </c:numRef>
          </c:val>
          <c:extLst>
            <c:ext xmlns:c16="http://schemas.microsoft.com/office/drawing/2014/chart" uri="{C3380CC4-5D6E-409C-BE32-E72D297353CC}">
              <c16:uniqueId val="{00000010-B7B3-40BC-9BD6-E7B11A07F042}"/>
            </c:ext>
          </c:extLst>
        </c:ser>
        <c:dLbls>
          <c:showLegendKey val="0"/>
          <c:showVal val="0"/>
          <c:showCatName val="0"/>
          <c:showSerName val="0"/>
          <c:showPercent val="0"/>
          <c:showBubbleSize val="0"/>
        </c:dLbls>
        <c:gapWidth val="219"/>
        <c:overlap val="-27"/>
        <c:axId val="327033720"/>
        <c:axId val="327031096"/>
      </c:barChart>
      <c:catAx>
        <c:axId val="327033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27031096"/>
        <c:crosses val="autoZero"/>
        <c:auto val="1"/>
        <c:lblAlgn val="ctr"/>
        <c:lblOffset val="100"/>
        <c:noMultiLvlLbl val="0"/>
      </c:catAx>
      <c:valAx>
        <c:axId val="3270310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27033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TABLICA!$W$120</c:f>
              <c:strCache>
                <c:ptCount val="1"/>
                <c:pt idx="0">
                  <c:v>2013</c:v>
                </c:pt>
              </c:strCache>
            </c:strRef>
          </c:tx>
          <c:spPr>
            <a:solidFill>
              <a:schemeClr val="accent1"/>
            </a:solidFill>
            <a:ln>
              <a:noFill/>
            </a:ln>
            <a:effectLst/>
          </c:spPr>
          <c:invertIfNegative val="0"/>
          <c:dLbls>
            <c:dLbl>
              <c:idx val="0"/>
              <c:layout>
                <c:manualLayout>
                  <c:x val="0"/>
                  <c:y val="0.168336140302904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9B2-47F4-B188-9C89C8626079}"/>
                </c:ext>
              </c:extLst>
            </c:dLbl>
            <c:dLbl>
              <c:idx val="1"/>
              <c:layout>
                <c:manualLayout>
                  <c:x val="0"/>
                  <c:y val="0.174876068668212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9B2-47F4-B188-9C89C8626079}"/>
                </c:ext>
              </c:extLst>
            </c:dLbl>
            <c:dLbl>
              <c:idx val="2"/>
              <c:layout>
                <c:manualLayout>
                  <c:x val="0"/>
                  <c:y val="0.168336140302904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9B2-47F4-B188-9C89C8626079}"/>
                </c:ext>
              </c:extLst>
            </c:dLbl>
            <c:dLbl>
              <c:idx val="3"/>
              <c:layout>
                <c:manualLayout>
                  <c:x val="-1.0227682871714806E-16"/>
                  <c:y val="0.1637132375027707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9B2-47F4-B188-9C89C8626079}"/>
                </c:ext>
              </c:extLst>
            </c:dLbl>
            <c:dLbl>
              <c:idx val="4"/>
              <c:layout>
                <c:manualLayout>
                  <c:x val="-2.7894002789401301E-3"/>
                  <c:y val="0.1735979135204784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9B2-47F4-B188-9C89C8626079}"/>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TABLICA!$V$121:$V$125</c:f>
              <c:strCache>
                <c:ptCount val="5"/>
                <c:pt idx="0">
                  <c:v>Olsztyn</c:v>
                </c:pt>
                <c:pt idx="1">
                  <c:v>Kielce</c:v>
                </c:pt>
                <c:pt idx="2">
                  <c:v>Białystok</c:v>
                </c:pt>
                <c:pt idx="3">
                  <c:v>Rzeszów</c:v>
                </c:pt>
                <c:pt idx="4">
                  <c:v>Lublin</c:v>
                </c:pt>
              </c:strCache>
            </c:strRef>
          </c:cat>
          <c:val>
            <c:numRef>
              <c:f>TABLICA!$W$121:$W$125</c:f>
              <c:numCache>
                <c:formatCode>0.0%</c:formatCode>
                <c:ptCount val="5"/>
                <c:pt idx="0">
                  <c:v>0.19520000000000001</c:v>
                </c:pt>
                <c:pt idx="1">
                  <c:v>0.2082</c:v>
                </c:pt>
                <c:pt idx="2">
                  <c:v>0.1825</c:v>
                </c:pt>
                <c:pt idx="3">
                  <c:v>0.18890000000000001</c:v>
                </c:pt>
                <c:pt idx="4">
                  <c:v>0.1951</c:v>
                </c:pt>
              </c:numCache>
            </c:numRef>
          </c:val>
          <c:extLst>
            <c:ext xmlns:c16="http://schemas.microsoft.com/office/drawing/2014/chart" uri="{C3380CC4-5D6E-409C-BE32-E72D297353CC}">
              <c16:uniqueId val="{00000005-09B2-47F4-B188-9C89C8626079}"/>
            </c:ext>
          </c:extLst>
        </c:ser>
        <c:ser>
          <c:idx val="1"/>
          <c:order val="1"/>
          <c:tx>
            <c:strRef>
              <c:f>TABLICA!$X$120</c:f>
              <c:strCache>
                <c:ptCount val="1"/>
                <c:pt idx="0">
                  <c:v>2019</c:v>
                </c:pt>
              </c:strCache>
            </c:strRef>
          </c:tx>
          <c:spPr>
            <a:solidFill>
              <a:schemeClr val="accent2"/>
            </a:solidFill>
            <a:ln>
              <a:noFill/>
            </a:ln>
            <a:effectLst/>
          </c:spPr>
          <c:invertIfNegative val="0"/>
          <c:dLbls>
            <c:dLbl>
              <c:idx val="0"/>
              <c:layout>
                <c:manualLayout>
                  <c:x val="0"/>
                  <c:y val="0.179498557155493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9B2-47F4-B188-9C89C8626079}"/>
                </c:ext>
              </c:extLst>
            </c:dLbl>
            <c:dLbl>
              <c:idx val="1"/>
              <c:layout>
                <c:manualLayout>
                  <c:x val="-5.113841435857403E-17"/>
                  <c:y val="0.170253165868078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9B2-47F4-B188-9C89C8626079}"/>
                </c:ext>
              </c:extLst>
            </c:dLbl>
            <c:dLbl>
              <c:idx val="2"/>
              <c:layout>
                <c:manualLayout>
                  <c:x val="0"/>
                  <c:y val="0.1696142954506377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9B2-47F4-B188-9C89C8626079}"/>
                </c:ext>
              </c:extLst>
            </c:dLbl>
            <c:dLbl>
              <c:idx val="3"/>
              <c:layout>
                <c:manualLayout>
                  <c:x val="0"/>
                  <c:y val="0.136126630580017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9B2-47F4-B188-9C89C8626079}"/>
                </c:ext>
              </c:extLst>
            </c:dLbl>
            <c:dLbl>
              <c:idx val="4"/>
              <c:layout>
                <c:manualLayout>
                  <c:x val="1.0227682871714806E-16"/>
                  <c:y val="0.1696142954506377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9B2-47F4-B188-9C89C8626079}"/>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TABLICA!$V$121:$V$125</c:f>
              <c:strCache>
                <c:ptCount val="5"/>
                <c:pt idx="0">
                  <c:v>Olsztyn</c:v>
                </c:pt>
                <c:pt idx="1">
                  <c:v>Kielce</c:v>
                </c:pt>
                <c:pt idx="2">
                  <c:v>Białystok</c:v>
                </c:pt>
                <c:pt idx="3">
                  <c:v>Rzeszów</c:v>
                </c:pt>
                <c:pt idx="4">
                  <c:v>Lublin</c:v>
                </c:pt>
              </c:strCache>
            </c:strRef>
          </c:cat>
          <c:val>
            <c:numRef>
              <c:f>TABLICA!$X$121:$X$125</c:f>
              <c:numCache>
                <c:formatCode>0.0%</c:formatCode>
                <c:ptCount val="5"/>
                <c:pt idx="0">
                  <c:v>0.2155</c:v>
                </c:pt>
                <c:pt idx="1">
                  <c:v>0.19989999999999999</c:v>
                </c:pt>
                <c:pt idx="2">
                  <c:v>0.22109999999999999</c:v>
                </c:pt>
                <c:pt idx="3">
                  <c:v>0.27229999999999999</c:v>
                </c:pt>
                <c:pt idx="4">
                  <c:v>0.2576</c:v>
                </c:pt>
              </c:numCache>
            </c:numRef>
          </c:val>
          <c:extLst>
            <c:ext xmlns:c16="http://schemas.microsoft.com/office/drawing/2014/chart" uri="{C3380CC4-5D6E-409C-BE32-E72D297353CC}">
              <c16:uniqueId val="{0000000B-09B2-47F4-B188-9C89C8626079}"/>
            </c:ext>
          </c:extLst>
        </c:ser>
        <c:dLbls>
          <c:showLegendKey val="0"/>
          <c:showVal val="0"/>
          <c:showCatName val="0"/>
          <c:showSerName val="0"/>
          <c:showPercent val="0"/>
          <c:showBubbleSize val="0"/>
        </c:dLbls>
        <c:gapWidth val="219"/>
        <c:overlap val="-27"/>
        <c:axId val="518599120"/>
        <c:axId val="518599776"/>
      </c:barChart>
      <c:catAx>
        <c:axId val="518599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18599776"/>
        <c:crosses val="autoZero"/>
        <c:auto val="1"/>
        <c:lblAlgn val="ctr"/>
        <c:lblOffset val="100"/>
        <c:noMultiLvlLbl val="0"/>
      </c:catAx>
      <c:valAx>
        <c:axId val="5185997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1859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obciążenie!$C$15</c:f>
              <c:strCache>
                <c:ptCount val="1"/>
                <c:pt idx="0">
                  <c:v>2013</c:v>
                </c:pt>
              </c:strCache>
            </c:strRef>
          </c:tx>
          <c:spPr>
            <a:solidFill>
              <a:schemeClr val="accent1"/>
            </a:solidFill>
            <a:ln>
              <a:noFill/>
            </a:ln>
            <a:effectLst/>
          </c:spPr>
          <c:invertIfNegative val="0"/>
          <c:cat>
            <c:strRef>
              <c:f>obciążenie!$B$16:$B$20</c:f>
              <c:strCache>
                <c:ptCount val="5"/>
                <c:pt idx="0">
                  <c:v>Lublin</c:v>
                </c:pt>
                <c:pt idx="1">
                  <c:v>Rzeszów</c:v>
                </c:pt>
                <c:pt idx="2">
                  <c:v>Białystok</c:v>
                </c:pt>
                <c:pt idx="3">
                  <c:v>Kielce</c:v>
                </c:pt>
                <c:pt idx="4">
                  <c:v>Olsztyn</c:v>
                </c:pt>
              </c:strCache>
            </c:strRef>
          </c:cat>
          <c:val>
            <c:numRef>
              <c:f>obciążenie!$C$16:$C$20</c:f>
              <c:numCache>
                <c:formatCode>#\ ##0.0</c:formatCode>
                <c:ptCount val="5"/>
                <c:pt idx="0">
                  <c:v>58.1</c:v>
                </c:pt>
                <c:pt idx="1">
                  <c:v>54.6</c:v>
                </c:pt>
                <c:pt idx="2">
                  <c:v>53.8</c:v>
                </c:pt>
                <c:pt idx="3">
                  <c:v>59.2</c:v>
                </c:pt>
                <c:pt idx="4">
                  <c:v>53.7</c:v>
                </c:pt>
              </c:numCache>
            </c:numRef>
          </c:val>
          <c:extLst>
            <c:ext xmlns:c16="http://schemas.microsoft.com/office/drawing/2014/chart" uri="{C3380CC4-5D6E-409C-BE32-E72D297353CC}">
              <c16:uniqueId val="{00000000-2A9C-444A-A583-A6A9CA740CCE}"/>
            </c:ext>
          </c:extLst>
        </c:ser>
        <c:ser>
          <c:idx val="1"/>
          <c:order val="1"/>
          <c:tx>
            <c:strRef>
              <c:f>obciążenie!$D$15</c:f>
              <c:strCache>
                <c:ptCount val="1"/>
                <c:pt idx="0">
                  <c:v>2019</c:v>
                </c:pt>
              </c:strCache>
            </c:strRef>
          </c:tx>
          <c:spPr>
            <a:solidFill>
              <a:schemeClr val="accent2"/>
            </a:solidFill>
            <a:ln>
              <a:noFill/>
            </a:ln>
            <a:effectLst/>
          </c:spPr>
          <c:invertIfNegative val="0"/>
          <c:cat>
            <c:strRef>
              <c:f>obciążenie!$B$16:$B$20</c:f>
              <c:strCache>
                <c:ptCount val="5"/>
                <c:pt idx="0">
                  <c:v>Lublin</c:v>
                </c:pt>
                <c:pt idx="1">
                  <c:v>Rzeszów</c:v>
                </c:pt>
                <c:pt idx="2">
                  <c:v>Białystok</c:v>
                </c:pt>
                <c:pt idx="3">
                  <c:v>Kielce</c:v>
                </c:pt>
                <c:pt idx="4">
                  <c:v>Olsztyn</c:v>
                </c:pt>
              </c:strCache>
            </c:strRef>
          </c:cat>
          <c:val>
            <c:numRef>
              <c:f>obciążenie!$D$16:$D$20</c:f>
              <c:numCache>
                <c:formatCode>#\ ##0.0</c:formatCode>
                <c:ptCount val="5"/>
                <c:pt idx="0">
                  <c:v>70.7</c:v>
                </c:pt>
                <c:pt idx="1">
                  <c:v>66.400000000000006</c:v>
                </c:pt>
                <c:pt idx="2">
                  <c:v>65.900000000000006</c:v>
                </c:pt>
                <c:pt idx="3">
                  <c:v>73.3</c:v>
                </c:pt>
                <c:pt idx="4">
                  <c:v>69.7</c:v>
                </c:pt>
              </c:numCache>
            </c:numRef>
          </c:val>
          <c:extLst>
            <c:ext xmlns:c16="http://schemas.microsoft.com/office/drawing/2014/chart" uri="{C3380CC4-5D6E-409C-BE32-E72D297353CC}">
              <c16:uniqueId val="{00000001-2A9C-444A-A583-A6A9CA740CCE}"/>
            </c:ext>
          </c:extLst>
        </c:ser>
        <c:dLbls>
          <c:showLegendKey val="0"/>
          <c:showVal val="0"/>
          <c:showCatName val="0"/>
          <c:showSerName val="0"/>
          <c:showPercent val="0"/>
          <c:showBubbleSize val="0"/>
        </c:dLbls>
        <c:gapWidth val="182"/>
        <c:axId val="424523928"/>
        <c:axId val="424521960"/>
      </c:barChart>
      <c:catAx>
        <c:axId val="4245239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4521960"/>
        <c:crosses val="autoZero"/>
        <c:auto val="1"/>
        <c:lblAlgn val="ctr"/>
        <c:lblOffset val="100"/>
        <c:noMultiLvlLbl val="0"/>
      </c:catAx>
      <c:valAx>
        <c:axId val="424521960"/>
        <c:scaling>
          <c:orientation val="minMax"/>
        </c:scaling>
        <c:delete val="0"/>
        <c:axPos val="b"/>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4523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DANE!$G$14</c:f>
              <c:strCache>
                <c:ptCount val="1"/>
                <c:pt idx="0">
                  <c:v>2012</c:v>
                </c:pt>
              </c:strCache>
            </c:strRef>
          </c:tx>
          <c:spPr>
            <a:solidFill>
              <a:schemeClr val="accent1"/>
            </a:solidFill>
            <a:ln>
              <a:noFill/>
            </a:ln>
            <a:effectLst/>
          </c:spPr>
          <c:invertIfNegative val="0"/>
          <c:dLbls>
            <c:dLbl>
              <c:idx val="0"/>
              <c:layout>
                <c:manualLayout>
                  <c:x val="-2.7777777777777779E-3"/>
                  <c:y val="0.101851851851851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07D-4C4A-AEDD-1549F5F5AC40}"/>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DANE!$G$15</c:f>
              <c:numCache>
                <c:formatCode>General</c:formatCode>
                <c:ptCount val="1"/>
                <c:pt idx="0">
                  <c:v>14</c:v>
                </c:pt>
              </c:numCache>
            </c:numRef>
          </c:val>
          <c:extLst>
            <c:ext xmlns:c16="http://schemas.microsoft.com/office/drawing/2014/chart" uri="{C3380CC4-5D6E-409C-BE32-E72D297353CC}">
              <c16:uniqueId val="{00000000-D4D2-46E9-8FD2-FB63CE7E4F6E}"/>
            </c:ext>
          </c:extLst>
        </c:ser>
        <c:ser>
          <c:idx val="1"/>
          <c:order val="1"/>
          <c:tx>
            <c:strRef>
              <c:f>DANE!$H$14</c:f>
              <c:strCache>
                <c:ptCount val="1"/>
                <c:pt idx="0">
                  <c:v>2014</c:v>
                </c:pt>
              </c:strCache>
            </c:strRef>
          </c:tx>
          <c:spPr>
            <a:solidFill>
              <a:schemeClr val="accent2"/>
            </a:solidFill>
            <a:ln>
              <a:noFill/>
            </a:ln>
            <a:effectLst/>
          </c:spPr>
          <c:invertIfNegative val="0"/>
          <c:dLbls>
            <c:dLbl>
              <c:idx val="0"/>
              <c:layout>
                <c:manualLayout>
                  <c:x val="-5.5555555555556572E-3"/>
                  <c:y val="9.7222222222222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07D-4C4A-AEDD-1549F5F5AC40}"/>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DANE!$H$15</c:f>
              <c:numCache>
                <c:formatCode>General</c:formatCode>
                <c:ptCount val="1"/>
                <c:pt idx="0">
                  <c:v>10</c:v>
                </c:pt>
              </c:numCache>
            </c:numRef>
          </c:val>
          <c:extLst>
            <c:ext xmlns:c16="http://schemas.microsoft.com/office/drawing/2014/chart" uri="{C3380CC4-5D6E-409C-BE32-E72D297353CC}">
              <c16:uniqueId val="{00000001-D4D2-46E9-8FD2-FB63CE7E4F6E}"/>
            </c:ext>
          </c:extLst>
        </c:ser>
        <c:ser>
          <c:idx val="2"/>
          <c:order val="2"/>
          <c:tx>
            <c:strRef>
              <c:f>DANE!$I$14</c:f>
              <c:strCache>
                <c:ptCount val="1"/>
                <c:pt idx="0">
                  <c:v>2018</c:v>
                </c:pt>
              </c:strCache>
            </c:strRef>
          </c:tx>
          <c:spPr>
            <a:solidFill>
              <a:schemeClr val="accent3"/>
            </a:solidFill>
            <a:ln>
              <a:noFill/>
            </a:ln>
            <a:effectLst/>
          </c:spPr>
          <c:invertIfNegative val="0"/>
          <c:dLbls>
            <c:dLbl>
              <c:idx val="0"/>
              <c:layout>
                <c:manualLayout>
                  <c:x val="0"/>
                  <c:y val="9.25925925925925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07D-4C4A-AEDD-1549F5F5AC40}"/>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DANE!$I$15</c:f>
              <c:numCache>
                <c:formatCode>General</c:formatCode>
                <c:ptCount val="1"/>
                <c:pt idx="0">
                  <c:v>7</c:v>
                </c:pt>
              </c:numCache>
            </c:numRef>
          </c:val>
          <c:extLst>
            <c:ext xmlns:c16="http://schemas.microsoft.com/office/drawing/2014/chart" uri="{C3380CC4-5D6E-409C-BE32-E72D297353CC}">
              <c16:uniqueId val="{00000002-D4D2-46E9-8FD2-FB63CE7E4F6E}"/>
            </c:ext>
          </c:extLst>
        </c:ser>
        <c:dLbls>
          <c:showLegendKey val="0"/>
          <c:showVal val="0"/>
          <c:showCatName val="0"/>
          <c:showSerName val="0"/>
          <c:showPercent val="0"/>
          <c:showBubbleSize val="0"/>
        </c:dLbls>
        <c:gapWidth val="219"/>
        <c:overlap val="-27"/>
        <c:axId val="424528160"/>
        <c:axId val="424533408"/>
      </c:barChart>
      <c:catAx>
        <c:axId val="424528160"/>
        <c:scaling>
          <c:orientation val="minMax"/>
        </c:scaling>
        <c:delete val="1"/>
        <c:axPos val="b"/>
        <c:numFmt formatCode="General" sourceLinked="1"/>
        <c:majorTickMark val="none"/>
        <c:minorTickMark val="none"/>
        <c:tickLblPos val="nextTo"/>
        <c:crossAx val="424533408"/>
        <c:crosses val="autoZero"/>
        <c:auto val="1"/>
        <c:lblAlgn val="ctr"/>
        <c:lblOffset val="100"/>
        <c:noMultiLvlLbl val="0"/>
      </c:catAx>
      <c:valAx>
        <c:axId val="424533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crossAx val="424528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ysClr val="windowText" lastClr="000000"/>
          </a:solidFill>
        </a:defRPr>
      </a:pPr>
      <a:endParaRPr lang="pl-PL"/>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TABLICA!$C$53</c:f>
              <c:strCache>
                <c:ptCount val="1"/>
                <c:pt idx="0">
                  <c:v>2013</c:v>
                </c:pt>
              </c:strCache>
            </c:strRef>
          </c:tx>
          <c:spPr>
            <a:solidFill>
              <a:schemeClr val="accent1"/>
            </a:solidFill>
            <a:ln>
              <a:noFill/>
            </a:ln>
            <a:effectLst/>
          </c:spPr>
          <c:invertIfNegative val="0"/>
          <c:dLbls>
            <c:dLbl>
              <c:idx val="0"/>
              <c:layout>
                <c:manualLayout>
                  <c:x val="-2.2075365579302788E-3"/>
                  <c:y val="0.152833004096553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487-4694-B918-4C5F3C97F7CC}"/>
                </c:ext>
              </c:extLst>
            </c:dLbl>
            <c:dLbl>
              <c:idx val="1"/>
              <c:layout>
                <c:manualLayout>
                  <c:x val="2.9510200113470485E-6"/>
                  <c:y val="0.157517942021126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487-4694-B918-4C5F3C97F7CC}"/>
                </c:ext>
              </c:extLst>
            </c:dLbl>
            <c:dLbl>
              <c:idx val="2"/>
              <c:layout>
                <c:manualLayout>
                  <c:x val="0"/>
                  <c:y val="0.157517942021126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487-4694-B918-4C5F3C97F7CC}"/>
                </c:ext>
              </c:extLst>
            </c:dLbl>
            <c:dLbl>
              <c:idx val="3"/>
              <c:layout>
                <c:manualLayout>
                  <c:x val="0"/>
                  <c:y val="0.162202879945698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487-4694-B918-4C5F3C97F7CC}"/>
                </c:ext>
              </c:extLst>
            </c:dLbl>
            <c:dLbl>
              <c:idx val="4"/>
              <c:layout>
                <c:manualLayout>
                  <c:x val="0"/>
                  <c:y val="0.13409325239826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487-4694-B918-4C5F3C97F7CC}"/>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TABLICA!$B$54:$B$58</c:f>
              <c:strCache>
                <c:ptCount val="5"/>
                <c:pt idx="0">
                  <c:v>Olsztyn</c:v>
                </c:pt>
                <c:pt idx="1">
                  <c:v>Kielce</c:v>
                </c:pt>
                <c:pt idx="2">
                  <c:v>Białystok</c:v>
                </c:pt>
                <c:pt idx="3">
                  <c:v>Rzeszów</c:v>
                </c:pt>
                <c:pt idx="4">
                  <c:v>Lublin</c:v>
                </c:pt>
              </c:strCache>
            </c:strRef>
          </c:cat>
          <c:val>
            <c:numRef>
              <c:f>TABLICA!$C$54:$C$58</c:f>
              <c:numCache>
                <c:formatCode>#,##0</c:formatCode>
                <c:ptCount val="5"/>
                <c:pt idx="0">
                  <c:v>31014</c:v>
                </c:pt>
                <c:pt idx="1">
                  <c:v>31400</c:v>
                </c:pt>
                <c:pt idx="2">
                  <c:v>35521</c:v>
                </c:pt>
                <c:pt idx="3">
                  <c:v>47995</c:v>
                </c:pt>
                <c:pt idx="4">
                  <c:v>71913</c:v>
                </c:pt>
              </c:numCache>
            </c:numRef>
          </c:val>
          <c:extLst>
            <c:ext xmlns:c16="http://schemas.microsoft.com/office/drawing/2014/chart" uri="{C3380CC4-5D6E-409C-BE32-E72D297353CC}">
              <c16:uniqueId val="{00000005-5487-4694-B918-4C5F3C97F7CC}"/>
            </c:ext>
          </c:extLst>
        </c:ser>
        <c:ser>
          <c:idx val="1"/>
          <c:order val="1"/>
          <c:tx>
            <c:strRef>
              <c:f>TABLICA!$D$53</c:f>
              <c:strCache>
                <c:ptCount val="1"/>
                <c:pt idx="0">
                  <c:v>2014</c:v>
                </c:pt>
              </c:strCache>
            </c:strRef>
          </c:tx>
          <c:spPr>
            <a:solidFill>
              <a:schemeClr val="accent2"/>
            </a:solidFill>
            <a:ln>
              <a:noFill/>
            </a:ln>
            <a:effectLst/>
          </c:spPr>
          <c:invertIfNegative val="0"/>
          <c:cat>
            <c:strRef>
              <c:f>TABLICA!$B$54:$B$58</c:f>
              <c:strCache>
                <c:ptCount val="5"/>
                <c:pt idx="0">
                  <c:v>Olsztyn</c:v>
                </c:pt>
                <c:pt idx="1">
                  <c:v>Kielce</c:v>
                </c:pt>
                <c:pt idx="2">
                  <c:v>Białystok</c:v>
                </c:pt>
                <c:pt idx="3">
                  <c:v>Rzeszów</c:v>
                </c:pt>
                <c:pt idx="4">
                  <c:v>Lublin</c:v>
                </c:pt>
              </c:strCache>
            </c:strRef>
          </c:cat>
          <c:val>
            <c:numRef>
              <c:f>TABLICA!$D$54:$D$58</c:f>
              <c:numCache>
                <c:formatCode>#,##0</c:formatCode>
                <c:ptCount val="5"/>
                <c:pt idx="0">
                  <c:v>28211</c:v>
                </c:pt>
                <c:pt idx="1">
                  <c:v>27799</c:v>
                </c:pt>
                <c:pt idx="2">
                  <c:v>32568</c:v>
                </c:pt>
                <c:pt idx="3">
                  <c:v>45801</c:v>
                </c:pt>
                <c:pt idx="4">
                  <c:v>69658</c:v>
                </c:pt>
              </c:numCache>
            </c:numRef>
          </c:val>
          <c:extLst>
            <c:ext xmlns:c16="http://schemas.microsoft.com/office/drawing/2014/chart" uri="{C3380CC4-5D6E-409C-BE32-E72D297353CC}">
              <c16:uniqueId val="{00000006-5487-4694-B918-4C5F3C97F7CC}"/>
            </c:ext>
          </c:extLst>
        </c:ser>
        <c:ser>
          <c:idx val="2"/>
          <c:order val="2"/>
          <c:tx>
            <c:strRef>
              <c:f>TABLICA!$E$53</c:f>
              <c:strCache>
                <c:ptCount val="1"/>
                <c:pt idx="0">
                  <c:v>2015</c:v>
                </c:pt>
              </c:strCache>
            </c:strRef>
          </c:tx>
          <c:spPr>
            <a:solidFill>
              <a:schemeClr val="accent3"/>
            </a:solidFill>
            <a:ln>
              <a:noFill/>
            </a:ln>
            <a:effectLst/>
          </c:spPr>
          <c:invertIfNegative val="0"/>
          <c:cat>
            <c:strRef>
              <c:f>TABLICA!$B$54:$B$58</c:f>
              <c:strCache>
                <c:ptCount val="5"/>
                <c:pt idx="0">
                  <c:v>Olsztyn</c:v>
                </c:pt>
                <c:pt idx="1">
                  <c:v>Kielce</c:v>
                </c:pt>
                <c:pt idx="2">
                  <c:v>Białystok</c:v>
                </c:pt>
                <c:pt idx="3">
                  <c:v>Rzeszów</c:v>
                </c:pt>
                <c:pt idx="4">
                  <c:v>Lublin</c:v>
                </c:pt>
              </c:strCache>
            </c:strRef>
          </c:cat>
          <c:val>
            <c:numRef>
              <c:f>TABLICA!$E$54:$E$58</c:f>
              <c:numCache>
                <c:formatCode>#,##0</c:formatCode>
                <c:ptCount val="5"/>
                <c:pt idx="0">
                  <c:v>25774</c:v>
                </c:pt>
                <c:pt idx="1">
                  <c:v>25104</c:v>
                </c:pt>
                <c:pt idx="2">
                  <c:v>30340</c:v>
                </c:pt>
                <c:pt idx="3">
                  <c:v>43827</c:v>
                </c:pt>
                <c:pt idx="4">
                  <c:v>67315</c:v>
                </c:pt>
              </c:numCache>
            </c:numRef>
          </c:val>
          <c:extLst>
            <c:ext xmlns:c16="http://schemas.microsoft.com/office/drawing/2014/chart" uri="{C3380CC4-5D6E-409C-BE32-E72D297353CC}">
              <c16:uniqueId val="{00000007-5487-4694-B918-4C5F3C97F7CC}"/>
            </c:ext>
          </c:extLst>
        </c:ser>
        <c:ser>
          <c:idx val="3"/>
          <c:order val="3"/>
          <c:tx>
            <c:strRef>
              <c:f>TABLICA!$F$53</c:f>
              <c:strCache>
                <c:ptCount val="1"/>
                <c:pt idx="0">
                  <c:v>2016</c:v>
                </c:pt>
              </c:strCache>
            </c:strRef>
          </c:tx>
          <c:spPr>
            <a:solidFill>
              <a:schemeClr val="accent4"/>
            </a:solidFill>
            <a:ln>
              <a:noFill/>
            </a:ln>
            <a:effectLst/>
          </c:spPr>
          <c:invertIfNegative val="0"/>
          <c:cat>
            <c:strRef>
              <c:f>TABLICA!$B$54:$B$58</c:f>
              <c:strCache>
                <c:ptCount val="5"/>
                <c:pt idx="0">
                  <c:v>Olsztyn</c:v>
                </c:pt>
                <c:pt idx="1">
                  <c:v>Kielce</c:v>
                </c:pt>
                <c:pt idx="2">
                  <c:v>Białystok</c:v>
                </c:pt>
                <c:pt idx="3">
                  <c:v>Rzeszów</c:v>
                </c:pt>
                <c:pt idx="4">
                  <c:v>Lublin</c:v>
                </c:pt>
              </c:strCache>
            </c:strRef>
          </c:cat>
          <c:val>
            <c:numRef>
              <c:f>TABLICA!$F$54:$F$58</c:f>
              <c:numCache>
                <c:formatCode>#,##0</c:formatCode>
                <c:ptCount val="5"/>
                <c:pt idx="0">
                  <c:v>23421</c:v>
                </c:pt>
                <c:pt idx="1">
                  <c:v>22895</c:v>
                </c:pt>
                <c:pt idx="2">
                  <c:v>29057</c:v>
                </c:pt>
                <c:pt idx="3">
                  <c:v>41787</c:v>
                </c:pt>
                <c:pt idx="4">
                  <c:v>64330</c:v>
                </c:pt>
              </c:numCache>
            </c:numRef>
          </c:val>
          <c:extLst>
            <c:ext xmlns:c16="http://schemas.microsoft.com/office/drawing/2014/chart" uri="{C3380CC4-5D6E-409C-BE32-E72D297353CC}">
              <c16:uniqueId val="{00000008-5487-4694-B918-4C5F3C97F7CC}"/>
            </c:ext>
          </c:extLst>
        </c:ser>
        <c:ser>
          <c:idx val="4"/>
          <c:order val="4"/>
          <c:tx>
            <c:strRef>
              <c:f>TABLICA!$G$53</c:f>
              <c:strCache>
                <c:ptCount val="1"/>
                <c:pt idx="0">
                  <c:v>2017</c:v>
                </c:pt>
              </c:strCache>
            </c:strRef>
          </c:tx>
          <c:spPr>
            <a:solidFill>
              <a:schemeClr val="accent5"/>
            </a:solidFill>
            <a:ln>
              <a:noFill/>
            </a:ln>
            <a:effectLst/>
          </c:spPr>
          <c:invertIfNegative val="0"/>
          <c:cat>
            <c:strRef>
              <c:f>TABLICA!$B$54:$B$58</c:f>
              <c:strCache>
                <c:ptCount val="5"/>
                <c:pt idx="0">
                  <c:v>Olsztyn</c:v>
                </c:pt>
                <c:pt idx="1">
                  <c:v>Kielce</c:v>
                </c:pt>
                <c:pt idx="2">
                  <c:v>Białystok</c:v>
                </c:pt>
                <c:pt idx="3">
                  <c:v>Rzeszów</c:v>
                </c:pt>
                <c:pt idx="4">
                  <c:v>Lublin</c:v>
                </c:pt>
              </c:strCache>
            </c:strRef>
          </c:cat>
          <c:val>
            <c:numRef>
              <c:f>TABLICA!$G$54:$G$58</c:f>
              <c:numCache>
                <c:formatCode>#,##0</c:formatCode>
                <c:ptCount val="5"/>
                <c:pt idx="0">
                  <c:v>22519</c:v>
                </c:pt>
                <c:pt idx="1">
                  <c:v>22719</c:v>
                </c:pt>
                <c:pt idx="2">
                  <c:v>26378</c:v>
                </c:pt>
                <c:pt idx="3">
                  <c:v>40016</c:v>
                </c:pt>
                <c:pt idx="4">
                  <c:v>62977</c:v>
                </c:pt>
              </c:numCache>
            </c:numRef>
          </c:val>
          <c:extLst>
            <c:ext xmlns:c16="http://schemas.microsoft.com/office/drawing/2014/chart" uri="{C3380CC4-5D6E-409C-BE32-E72D297353CC}">
              <c16:uniqueId val="{00000009-5487-4694-B918-4C5F3C97F7CC}"/>
            </c:ext>
          </c:extLst>
        </c:ser>
        <c:ser>
          <c:idx val="5"/>
          <c:order val="5"/>
          <c:tx>
            <c:strRef>
              <c:f>TABLICA!$H$53</c:f>
              <c:strCache>
                <c:ptCount val="1"/>
                <c:pt idx="0">
                  <c:v>2018</c:v>
                </c:pt>
              </c:strCache>
            </c:strRef>
          </c:tx>
          <c:spPr>
            <a:solidFill>
              <a:schemeClr val="accent6"/>
            </a:solidFill>
            <a:ln>
              <a:noFill/>
            </a:ln>
            <a:effectLst/>
          </c:spPr>
          <c:invertIfNegative val="0"/>
          <c:cat>
            <c:strRef>
              <c:f>TABLICA!$B$54:$B$58</c:f>
              <c:strCache>
                <c:ptCount val="5"/>
                <c:pt idx="0">
                  <c:v>Olsztyn</c:v>
                </c:pt>
                <c:pt idx="1">
                  <c:v>Kielce</c:v>
                </c:pt>
                <c:pt idx="2">
                  <c:v>Białystok</c:v>
                </c:pt>
                <c:pt idx="3">
                  <c:v>Rzeszów</c:v>
                </c:pt>
                <c:pt idx="4">
                  <c:v>Lublin</c:v>
                </c:pt>
              </c:strCache>
            </c:strRef>
          </c:cat>
          <c:val>
            <c:numRef>
              <c:f>TABLICA!$H$54:$H$58</c:f>
              <c:numCache>
                <c:formatCode>#,##0</c:formatCode>
                <c:ptCount val="5"/>
                <c:pt idx="0">
                  <c:v>20676</c:v>
                </c:pt>
                <c:pt idx="1">
                  <c:v>20264</c:v>
                </c:pt>
                <c:pt idx="2">
                  <c:v>24801</c:v>
                </c:pt>
                <c:pt idx="3">
                  <c:v>37900</c:v>
                </c:pt>
                <c:pt idx="4">
                  <c:v>60988</c:v>
                </c:pt>
              </c:numCache>
            </c:numRef>
          </c:val>
          <c:extLst>
            <c:ext xmlns:c16="http://schemas.microsoft.com/office/drawing/2014/chart" uri="{C3380CC4-5D6E-409C-BE32-E72D297353CC}">
              <c16:uniqueId val="{0000000A-5487-4694-B918-4C5F3C97F7CC}"/>
            </c:ext>
          </c:extLst>
        </c:ser>
        <c:ser>
          <c:idx val="6"/>
          <c:order val="6"/>
          <c:tx>
            <c:strRef>
              <c:f>TABLICA!$I$53</c:f>
              <c:strCache>
                <c:ptCount val="1"/>
                <c:pt idx="0">
                  <c:v>2019</c:v>
                </c:pt>
              </c:strCache>
            </c:strRef>
          </c:tx>
          <c:spPr>
            <a:solidFill>
              <a:schemeClr val="accent1">
                <a:lumMod val="60000"/>
              </a:schemeClr>
            </a:solidFill>
            <a:ln>
              <a:noFill/>
            </a:ln>
            <a:effectLst/>
          </c:spPr>
          <c:invertIfNegative val="0"/>
          <c:dLbls>
            <c:dLbl>
              <c:idx val="0"/>
              <c:layout>
                <c:manualLayout>
                  <c:x val="0"/>
                  <c:y val="0.1607645671135802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487-4694-B918-4C5F3C97F7CC}"/>
                </c:ext>
              </c:extLst>
            </c:dLbl>
            <c:dLbl>
              <c:idx val="1"/>
              <c:layout>
                <c:manualLayout>
                  <c:x val="0"/>
                  <c:y val="0.156449628617224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487-4694-B918-4C5F3C97F7CC}"/>
                </c:ext>
              </c:extLst>
            </c:dLbl>
            <c:dLbl>
              <c:idx val="2"/>
              <c:layout>
                <c:manualLayout>
                  <c:x val="0"/>
                  <c:y val="0.160764567113580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487-4694-B918-4C5F3C97F7CC}"/>
                </c:ext>
              </c:extLst>
            </c:dLbl>
            <c:dLbl>
              <c:idx val="3"/>
              <c:layout>
                <c:manualLayout>
                  <c:x val="0"/>
                  <c:y val="0.16039456768536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487-4694-B918-4C5F3C97F7CC}"/>
                </c:ext>
              </c:extLst>
            </c:dLbl>
            <c:dLbl>
              <c:idx val="4"/>
              <c:layout>
                <c:manualLayout>
                  <c:x val="0"/>
                  <c:y val="0.1564496286172239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487-4694-B918-4C5F3C97F7CC}"/>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TABLICA!$B$54:$B$58</c:f>
              <c:strCache>
                <c:ptCount val="5"/>
                <c:pt idx="0">
                  <c:v>Olsztyn</c:v>
                </c:pt>
                <c:pt idx="1">
                  <c:v>Kielce</c:v>
                </c:pt>
                <c:pt idx="2">
                  <c:v>Białystok</c:v>
                </c:pt>
                <c:pt idx="3">
                  <c:v>Rzeszów</c:v>
                </c:pt>
                <c:pt idx="4">
                  <c:v>Lublin</c:v>
                </c:pt>
              </c:strCache>
            </c:strRef>
          </c:cat>
          <c:val>
            <c:numRef>
              <c:f>TABLICA!$I$54:$I$58</c:f>
              <c:numCache>
                <c:formatCode>#,##0</c:formatCode>
                <c:ptCount val="5"/>
                <c:pt idx="0">
                  <c:v>19605</c:v>
                </c:pt>
                <c:pt idx="1">
                  <c:v>19072</c:v>
                </c:pt>
                <c:pt idx="2">
                  <c:v>24143</c:v>
                </c:pt>
                <c:pt idx="3">
                  <c:v>36819</c:v>
                </c:pt>
                <c:pt idx="4">
                  <c:v>60315</c:v>
                </c:pt>
              </c:numCache>
            </c:numRef>
          </c:val>
          <c:extLst>
            <c:ext xmlns:c16="http://schemas.microsoft.com/office/drawing/2014/chart" uri="{C3380CC4-5D6E-409C-BE32-E72D297353CC}">
              <c16:uniqueId val="{00000010-5487-4694-B918-4C5F3C97F7CC}"/>
            </c:ext>
          </c:extLst>
        </c:ser>
        <c:dLbls>
          <c:showLegendKey val="0"/>
          <c:showVal val="0"/>
          <c:showCatName val="0"/>
          <c:showSerName val="0"/>
          <c:showPercent val="0"/>
          <c:showBubbleSize val="0"/>
        </c:dLbls>
        <c:gapWidth val="219"/>
        <c:overlap val="-27"/>
        <c:axId val="102571024"/>
        <c:axId val="102576272"/>
      </c:barChart>
      <c:catAx>
        <c:axId val="102571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102576272"/>
        <c:crosses val="autoZero"/>
        <c:auto val="1"/>
        <c:lblAlgn val="ctr"/>
        <c:lblOffset val="100"/>
        <c:noMultiLvlLbl val="0"/>
      </c:catAx>
      <c:valAx>
        <c:axId val="1025762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102571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803149606299209E-2"/>
          <c:y val="0.18335114360704916"/>
          <c:w val="0.89726129822007539"/>
          <c:h val="0.78395528683914506"/>
        </c:manualLayout>
      </c:layout>
      <c:lineChart>
        <c:grouping val="standard"/>
        <c:varyColors val="0"/>
        <c:ser>
          <c:idx val="0"/>
          <c:order val="0"/>
          <c:tx>
            <c:strRef>
              <c:f>DANE!$F$31</c:f>
              <c:strCache>
                <c:ptCount val="1"/>
                <c:pt idx="0">
                  <c:v>miejsce w rankingu</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DANE!$G$30:$J$30</c:f>
              <c:numCache>
                <c:formatCode>General</c:formatCode>
                <c:ptCount val="4"/>
                <c:pt idx="0">
                  <c:v>2016</c:v>
                </c:pt>
                <c:pt idx="1">
                  <c:v>2017</c:v>
                </c:pt>
                <c:pt idx="2">
                  <c:v>2018</c:v>
                </c:pt>
                <c:pt idx="3">
                  <c:v>2019</c:v>
                </c:pt>
              </c:numCache>
            </c:numRef>
          </c:cat>
          <c:val>
            <c:numRef>
              <c:f>DANE!$G$31:$J$31</c:f>
              <c:numCache>
                <c:formatCode>General</c:formatCode>
                <c:ptCount val="4"/>
                <c:pt idx="0">
                  <c:v>35</c:v>
                </c:pt>
                <c:pt idx="1">
                  <c:v>32</c:v>
                </c:pt>
                <c:pt idx="2">
                  <c:v>27</c:v>
                </c:pt>
                <c:pt idx="3">
                  <c:v>31</c:v>
                </c:pt>
              </c:numCache>
            </c:numRef>
          </c:val>
          <c:smooth val="0"/>
          <c:extLst>
            <c:ext xmlns:c16="http://schemas.microsoft.com/office/drawing/2014/chart" uri="{C3380CC4-5D6E-409C-BE32-E72D297353CC}">
              <c16:uniqueId val="{00000000-5DB5-4E25-A064-83BC13B8F971}"/>
            </c:ext>
          </c:extLst>
        </c:ser>
        <c:dLbls>
          <c:dLblPos val="ctr"/>
          <c:showLegendKey val="0"/>
          <c:showVal val="1"/>
          <c:showCatName val="0"/>
          <c:showSerName val="0"/>
          <c:showPercent val="0"/>
          <c:showBubbleSize val="0"/>
        </c:dLbls>
        <c:smooth val="0"/>
        <c:axId val="456845352"/>
        <c:axId val="456846992"/>
      </c:lineChart>
      <c:catAx>
        <c:axId val="456845352"/>
        <c:scaling>
          <c:orientation val="minMax"/>
        </c:scaling>
        <c:delete val="0"/>
        <c:axPos val="t"/>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56846992"/>
        <c:crosses val="autoZero"/>
        <c:auto val="1"/>
        <c:lblAlgn val="ctr"/>
        <c:lblOffset val="100"/>
        <c:noMultiLvlLbl val="0"/>
      </c:catAx>
      <c:valAx>
        <c:axId val="456846992"/>
        <c:scaling>
          <c:orientation val="maxMin"/>
          <c:min val="26"/>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56845352"/>
        <c:crosses val="autoZero"/>
        <c:crossBetween val="between"/>
        <c:maj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pl-PL"/>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TABLICA!$B$26</c:f>
              <c:strCache>
                <c:ptCount val="1"/>
                <c:pt idx="0">
                  <c:v>odsetek gospodarstw posiadających komputery</c:v>
                </c:pt>
              </c:strCache>
            </c:strRef>
          </c:tx>
          <c:spPr>
            <a:solidFill>
              <a:schemeClr val="accent1"/>
            </a:solidFill>
            <a:ln>
              <a:noFill/>
            </a:ln>
            <a:effectLst/>
          </c:spPr>
          <c:invertIfNegative val="0"/>
          <c:dLbls>
            <c:dLbl>
              <c:idx val="0"/>
              <c:layout>
                <c:manualLayout>
                  <c:x val="0"/>
                  <c:y val="0.142000181800407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2DA-4E6D-847B-D8033A96EEE1}"/>
                </c:ext>
              </c:extLst>
            </c:dLbl>
            <c:dLbl>
              <c:idx val="1"/>
              <c:layout>
                <c:manualLayout>
                  <c:x val="-7.5464500586715764E-5"/>
                  <c:y val="0.140573563133621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2DA-4E6D-847B-D8033A96EEE1}"/>
                </c:ext>
              </c:extLst>
            </c:dLbl>
            <c:dLbl>
              <c:idx val="2"/>
              <c:layout>
                <c:manualLayout>
                  <c:x val="-7.7232739536803753E-17"/>
                  <c:y val="0.1369306945976122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2DA-4E6D-847B-D8033A96EEE1}"/>
                </c:ext>
              </c:extLst>
            </c:dLbl>
            <c:dLbl>
              <c:idx val="3"/>
              <c:layout>
                <c:manualLayout>
                  <c:x val="7.7232739536803753E-17"/>
                  <c:y val="0.142000181800407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2DA-4E6D-847B-D8033A96EEE1}"/>
                </c:ext>
              </c:extLst>
            </c:dLbl>
            <c:dLbl>
              <c:idx val="4"/>
              <c:layout>
                <c:manualLayout>
                  <c:x val="0"/>
                  <c:y val="0.137643832421186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2DA-4E6D-847B-D8033A96EEE1}"/>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TABLICA!$C$25:$G$25</c:f>
              <c:strCache>
                <c:ptCount val="5"/>
                <c:pt idx="0">
                  <c:v>warmińsko-mazurskie</c:v>
                </c:pt>
                <c:pt idx="1">
                  <c:v>świętokrzyskie</c:v>
                </c:pt>
                <c:pt idx="2">
                  <c:v>podlaskie</c:v>
                </c:pt>
                <c:pt idx="3">
                  <c:v>podkarpackie</c:v>
                </c:pt>
                <c:pt idx="4">
                  <c:v>lubelskie</c:v>
                </c:pt>
              </c:strCache>
            </c:strRef>
          </c:cat>
          <c:val>
            <c:numRef>
              <c:f>TABLICA!$C$26:$G$26</c:f>
              <c:numCache>
                <c:formatCode>0.0%</c:formatCode>
                <c:ptCount val="5"/>
                <c:pt idx="0">
                  <c:v>0.78900000000000003</c:v>
                </c:pt>
                <c:pt idx="1">
                  <c:v>0.872</c:v>
                </c:pt>
                <c:pt idx="2">
                  <c:v>0.82399999999999995</c:v>
                </c:pt>
                <c:pt idx="3">
                  <c:v>0.873</c:v>
                </c:pt>
                <c:pt idx="4">
                  <c:v>0.74399999999999999</c:v>
                </c:pt>
              </c:numCache>
            </c:numRef>
          </c:val>
          <c:extLst>
            <c:ext xmlns:c16="http://schemas.microsoft.com/office/drawing/2014/chart" uri="{C3380CC4-5D6E-409C-BE32-E72D297353CC}">
              <c16:uniqueId val="{00000005-B2DA-4E6D-847B-D8033A96EEE1}"/>
            </c:ext>
          </c:extLst>
        </c:ser>
        <c:ser>
          <c:idx val="1"/>
          <c:order val="1"/>
          <c:tx>
            <c:strRef>
              <c:f>TABLICA!$B$27</c:f>
              <c:strCache>
                <c:ptCount val="1"/>
                <c:pt idx="0">
                  <c:v>odsetek osób korzystających z komputera</c:v>
                </c:pt>
              </c:strCache>
            </c:strRef>
          </c:tx>
          <c:spPr>
            <a:solidFill>
              <a:schemeClr val="accent2"/>
            </a:solidFill>
            <a:ln>
              <a:noFill/>
            </a:ln>
            <a:effectLst/>
          </c:spPr>
          <c:invertIfNegative val="0"/>
          <c:dLbls>
            <c:dLbl>
              <c:idx val="0"/>
              <c:layout>
                <c:manualLayout>
                  <c:x val="-1.9308184884200938E-17"/>
                  <c:y val="0.137643832421186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2DA-4E6D-847B-D8033A96EEE1}"/>
                </c:ext>
              </c:extLst>
            </c:dLbl>
            <c:dLbl>
              <c:idx val="1"/>
              <c:layout>
                <c:manualLayout>
                  <c:x val="0"/>
                  <c:y val="0.137643832421186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2DA-4E6D-847B-D8033A96EEE1}"/>
                </c:ext>
              </c:extLst>
            </c:dLbl>
            <c:dLbl>
              <c:idx val="2"/>
              <c:layout>
                <c:manualLayout>
                  <c:x val="7.5464500586715764E-5"/>
                  <c:y val="0.137643832421186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2DA-4E6D-847B-D8033A96EEE1}"/>
                </c:ext>
              </c:extLst>
            </c:dLbl>
            <c:dLbl>
              <c:idx val="3"/>
              <c:layout>
                <c:manualLayout>
                  <c:x val="0"/>
                  <c:y val="0.141287043976832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2DA-4E6D-847B-D8033A96EEE1}"/>
                </c:ext>
              </c:extLst>
            </c:dLbl>
            <c:dLbl>
              <c:idx val="4"/>
              <c:layout>
                <c:manualLayout>
                  <c:x val="0"/>
                  <c:y val="0.137643832421186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2DA-4E6D-847B-D8033A96EEE1}"/>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TABLICA!$C$25:$G$25</c:f>
              <c:strCache>
                <c:ptCount val="5"/>
                <c:pt idx="0">
                  <c:v>warmińsko-mazurskie</c:v>
                </c:pt>
                <c:pt idx="1">
                  <c:v>świętokrzyskie</c:v>
                </c:pt>
                <c:pt idx="2">
                  <c:v>podlaskie</c:v>
                </c:pt>
                <c:pt idx="3">
                  <c:v>podkarpackie</c:v>
                </c:pt>
                <c:pt idx="4">
                  <c:v>lubelskie</c:v>
                </c:pt>
              </c:strCache>
            </c:strRef>
          </c:cat>
          <c:val>
            <c:numRef>
              <c:f>TABLICA!$C$27:$G$27</c:f>
              <c:numCache>
                <c:formatCode>0.0%</c:formatCode>
                <c:ptCount val="5"/>
                <c:pt idx="0">
                  <c:v>0.81799999999999995</c:v>
                </c:pt>
                <c:pt idx="1">
                  <c:v>0.86699999999999999</c:v>
                </c:pt>
                <c:pt idx="2">
                  <c:v>0.80700000000000005</c:v>
                </c:pt>
                <c:pt idx="3">
                  <c:v>0.83099999999999996</c:v>
                </c:pt>
                <c:pt idx="4">
                  <c:v>0.745</c:v>
                </c:pt>
              </c:numCache>
            </c:numRef>
          </c:val>
          <c:extLst>
            <c:ext xmlns:c16="http://schemas.microsoft.com/office/drawing/2014/chart" uri="{C3380CC4-5D6E-409C-BE32-E72D297353CC}">
              <c16:uniqueId val="{0000000B-B2DA-4E6D-847B-D8033A96EEE1}"/>
            </c:ext>
          </c:extLst>
        </c:ser>
        <c:ser>
          <c:idx val="2"/>
          <c:order val="2"/>
          <c:tx>
            <c:strRef>
              <c:f>TABLICA!$B$28</c:f>
              <c:strCache>
                <c:ptCount val="1"/>
                <c:pt idx="0">
                  <c:v>odsetek gospodarstw z dostępem do internetu</c:v>
                </c:pt>
              </c:strCache>
            </c:strRef>
          </c:tx>
          <c:spPr>
            <a:solidFill>
              <a:schemeClr val="accent3"/>
            </a:solidFill>
            <a:ln>
              <a:noFill/>
            </a:ln>
            <a:effectLst/>
          </c:spPr>
          <c:invertIfNegative val="0"/>
          <c:dLbls>
            <c:dLbl>
              <c:idx val="0"/>
              <c:layout>
                <c:manualLayout>
                  <c:x val="7.5464500586715764E-5"/>
                  <c:y val="0.141287043976832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2DA-4E6D-847B-D8033A96EEE1}"/>
                </c:ext>
              </c:extLst>
            </c:dLbl>
            <c:dLbl>
              <c:idx val="1"/>
              <c:layout>
                <c:manualLayout>
                  <c:x val="0"/>
                  <c:y val="0.123861566484517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2DA-4E6D-847B-D8033A96EEE1}"/>
                </c:ext>
              </c:extLst>
            </c:dLbl>
            <c:dLbl>
              <c:idx val="2"/>
              <c:layout>
                <c:manualLayout>
                  <c:x val="-7.7232739536803753E-17"/>
                  <c:y val="0.141287043976832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2DA-4E6D-847B-D8033A96EEE1}"/>
                </c:ext>
              </c:extLst>
            </c:dLbl>
            <c:dLbl>
              <c:idx val="3"/>
              <c:layout>
                <c:manualLayout>
                  <c:x val="0"/>
                  <c:y val="0.137643832421186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B2DA-4E6D-847B-D8033A96EEE1}"/>
                </c:ext>
              </c:extLst>
            </c:dLbl>
            <c:dLbl>
              <c:idx val="4"/>
              <c:layout>
                <c:manualLayout>
                  <c:x val="0"/>
                  <c:y val="0.144929912512841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B2DA-4E6D-847B-D8033A96EEE1}"/>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TABLICA!$C$25:$G$25</c:f>
              <c:strCache>
                <c:ptCount val="5"/>
                <c:pt idx="0">
                  <c:v>warmińsko-mazurskie</c:v>
                </c:pt>
                <c:pt idx="1">
                  <c:v>świętokrzyskie</c:v>
                </c:pt>
                <c:pt idx="2">
                  <c:v>podlaskie</c:v>
                </c:pt>
                <c:pt idx="3">
                  <c:v>podkarpackie</c:v>
                </c:pt>
                <c:pt idx="4">
                  <c:v>lubelskie</c:v>
                </c:pt>
              </c:strCache>
            </c:strRef>
          </c:cat>
          <c:val>
            <c:numRef>
              <c:f>TABLICA!$C$28:$G$28</c:f>
              <c:numCache>
                <c:formatCode>0.0%</c:formatCode>
                <c:ptCount val="5"/>
                <c:pt idx="0">
                  <c:v>0.84</c:v>
                </c:pt>
                <c:pt idx="1">
                  <c:v>0.89700000000000002</c:v>
                </c:pt>
                <c:pt idx="2">
                  <c:v>0.86399999999999999</c:v>
                </c:pt>
                <c:pt idx="3">
                  <c:v>0.88200000000000001</c:v>
                </c:pt>
                <c:pt idx="4">
                  <c:v>0.79900000000000004</c:v>
                </c:pt>
              </c:numCache>
            </c:numRef>
          </c:val>
          <c:extLst>
            <c:ext xmlns:c16="http://schemas.microsoft.com/office/drawing/2014/chart" uri="{C3380CC4-5D6E-409C-BE32-E72D297353CC}">
              <c16:uniqueId val="{00000011-B2DA-4E6D-847B-D8033A96EEE1}"/>
            </c:ext>
          </c:extLst>
        </c:ser>
        <c:ser>
          <c:idx val="3"/>
          <c:order val="3"/>
          <c:tx>
            <c:strRef>
              <c:f>TABLICA!$B$29</c:f>
              <c:strCache>
                <c:ptCount val="1"/>
                <c:pt idx="0">
                  <c:v>odsetek osób korzystających z internetu</c:v>
                </c:pt>
              </c:strCache>
            </c:strRef>
          </c:tx>
          <c:spPr>
            <a:solidFill>
              <a:schemeClr val="accent4"/>
            </a:solidFill>
            <a:ln>
              <a:noFill/>
            </a:ln>
            <a:effectLst/>
          </c:spPr>
          <c:invertIfNegative val="0"/>
          <c:dLbls>
            <c:dLbl>
              <c:idx val="0"/>
              <c:layout>
                <c:manualLayout>
                  <c:x val="0"/>
                  <c:y val="0.1362172137544013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B2DA-4E6D-847B-D8033A96EEE1}"/>
                </c:ext>
              </c:extLst>
            </c:dLbl>
            <c:dLbl>
              <c:idx val="1"/>
              <c:layout>
                <c:manualLayout>
                  <c:x val="-7.7232739536803753E-17"/>
                  <c:y val="0.129644614505957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B2DA-4E6D-847B-D8033A96EEE1}"/>
                </c:ext>
              </c:extLst>
            </c:dLbl>
            <c:dLbl>
              <c:idx val="2"/>
              <c:layout>
                <c:manualLayout>
                  <c:x val="0"/>
                  <c:y val="0.1369306945976122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B2DA-4E6D-847B-D8033A96EEE1}"/>
                </c:ext>
              </c:extLst>
            </c:dLbl>
            <c:dLbl>
              <c:idx val="3"/>
              <c:layout>
                <c:manualLayout>
                  <c:x val="0"/>
                  <c:y val="0.140573563133621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B2DA-4E6D-847B-D8033A96EEE1}"/>
                </c:ext>
              </c:extLst>
            </c:dLbl>
            <c:dLbl>
              <c:idx val="4"/>
              <c:layout>
                <c:manualLayout>
                  <c:x val="7.5464500586715764E-5"/>
                  <c:y val="0.132574345218392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B2DA-4E6D-847B-D8033A96EEE1}"/>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TABLICA!$C$25:$G$25</c:f>
              <c:strCache>
                <c:ptCount val="5"/>
                <c:pt idx="0">
                  <c:v>warmińsko-mazurskie</c:v>
                </c:pt>
                <c:pt idx="1">
                  <c:v>świętokrzyskie</c:v>
                </c:pt>
                <c:pt idx="2">
                  <c:v>podlaskie</c:v>
                </c:pt>
                <c:pt idx="3">
                  <c:v>podkarpackie</c:v>
                </c:pt>
                <c:pt idx="4">
                  <c:v>lubelskie</c:v>
                </c:pt>
              </c:strCache>
            </c:strRef>
          </c:cat>
          <c:val>
            <c:numRef>
              <c:f>TABLICA!$C$29:$G$29</c:f>
              <c:numCache>
                <c:formatCode>0.0%</c:formatCode>
                <c:ptCount val="5"/>
                <c:pt idx="0">
                  <c:v>0.83299999999999996</c:v>
                </c:pt>
                <c:pt idx="1">
                  <c:v>0.88500000000000001</c:v>
                </c:pt>
                <c:pt idx="2">
                  <c:v>0.81200000000000006</c:v>
                </c:pt>
                <c:pt idx="3">
                  <c:v>0.82899999999999996</c:v>
                </c:pt>
                <c:pt idx="4">
                  <c:v>0.75800000000000001</c:v>
                </c:pt>
              </c:numCache>
            </c:numRef>
          </c:val>
          <c:extLst>
            <c:ext xmlns:c16="http://schemas.microsoft.com/office/drawing/2014/chart" uri="{C3380CC4-5D6E-409C-BE32-E72D297353CC}">
              <c16:uniqueId val="{00000017-B2DA-4E6D-847B-D8033A96EEE1}"/>
            </c:ext>
          </c:extLst>
        </c:ser>
        <c:dLbls>
          <c:showLegendKey val="0"/>
          <c:showVal val="0"/>
          <c:showCatName val="0"/>
          <c:showSerName val="0"/>
          <c:showPercent val="0"/>
          <c:showBubbleSize val="0"/>
        </c:dLbls>
        <c:gapWidth val="219"/>
        <c:overlap val="-27"/>
        <c:axId val="422385944"/>
        <c:axId val="422386272"/>
      </c:barChart>
      <c:catAx>
        <c:axId val="422385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2386272"/>
        <c:crosses val="autoZero"/>
        <c:auto val="1"/>
        <c:lblAlgn val="ctr"/>
        <c:lblOffset val="100"/>
        <c:noMultiLvlLbl val="0"/>
      </c:catAx>
      <c:valAx>
        <c:axId val="4223862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2385944"/>
        <c:crosses val="autoZero"/>
        <c:crossBetween val="between"/>
      </c:valAx>
      <c:spPr>
        <a:noFill/>
        <a:ln>
          <a:noFill/>
        </a:ln>
        <a:effectLst/>
      </c:spPr>
    </c:plotArea>
    <c:legend>
      <c:legendPos val="b"/>
      <c:layout>
        <c:manualLayout>
          <c:xMode val="edge"/>
          <c:yMode val="edge"/>
          <c:x val="9.0429580928950523E-2"/>
          <c:y val="0.86065487715674882"/>
          <c:w val="0.84960541575432869"/>
          <c:h val="0.1174871993459834"/>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TABLICA!$C$83</c:f>
              <c:strCache>
                <c:ptCount val="1"/>
                <c:pt idx="0">
                  <c:v>obsługa informatyczna (pracownicy lub komórka organizacyjna jednostki)</c:v>
                </c:pt>
              </c:strCache>
            </c:strRef>
          </c:tx>
          <c:spPr>
            <a:solidFill>
              <a:schemeClr val="accent1"/>
            </a:solidFill>
            <a:ln>
              <a:noFill/>
            </a:ln>
            <a:effectLst/>
          </c:spPr>
          <c:invertIfNegative val="0"/>
          <c:dLbls>
            <c:dLbl>
              <c:idx val="0"/>
              <c:layout>
                <c:manualLayout>
                  <c:x val="0"/>
                  <c:y val="0.196925523175928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AF1-455C-BFAD-96F9AA3D3932}"/>
                </c:ext>
              </c:extLst>
            </c:dLbl>
            <c:dLbl>
              <c:idx val="1"/>
              <c:layout>
                <c:manualLayout>
                  <c:x val="0"/>
                  <c:y val="0.174547622815027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AF1-455C-BFAD-96F9AA3D3932}"/>
                </c:ext>
              </c:extLst>
            </c:dLbl>
            <c:dLbl>
              <c:idx val="2"/>
              <c:layout>
                <c:manualLayout>
                  <c:x val="0"/>
                  <c:y val="0.1745476228150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AF1-455C-BFAD-96F9AA3D3932}"/>
                </c:ext>
              </c:extLst>
            </c:dLbl>
            <c:dLbl>
              <c:idx val="3"/>
              <c:layout>
                <c:manualLayout>
                  <c:x val="0"/>
                  <c:y val="0.174547622815027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AF1-455C-BFAD-96F9AA3D3932}"/>
                </c:ext>
              </c:extLst>
            </c:dLbl>
            <c:dLbl>
              <c:idx val="4"/>
              <c:layout>
                <c:manualLayout>
                  <c:x val="-1.5093038387141856E-16"/>
                  <c:y val="0.156645302526306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AF1-455C-BFAD-96F9AA3D3932}"/>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TABLICA!$B$84:$B$88</c:f>
              <c:strCache>
                <c:ptCount val="5"/>
                <c:pt idx="0">
                  <c:v>warmińsko-mazurskie</c:v>
                </c:pt>
                <c:pt idx="1">
                  <c:v>świętokrzyskie</c:v>
                </c:pt>
                <c:pt idx="2">
                  <c:v>podlaskie</c:v>
                </c:pt>
                <c:pt idx="3">
                  <c:v>podkarpackie</c:v>
                </c:pt>
                <c:pt idx="4">
                  <c:v>lubelskie</c:v>
                </c:pt>
              </c:strCache>
            </c:strRef>
          </c:cat>
          <c:val>
            <c:numRef>
              <c:f>TABLICA!$C$84:$C$88</c:f>
              <c:numCache>
                <c:formatCode>0.0%</c:formatCode>
                <c:ptCount val="5"/>
                <c:pt idx="0">
                  <c:v>0.71499999999999997</c:v>
                </c:pt>
                <c:pt idx="1">
                  <c:v>0.59</c:v>
                </c:pt>
                <c:pt idx="2">
                  <c:v>0.36399999999999999</c:v>
                </c:pt>
                <c:pt idx="3">
                  <c:v>0.58599999999999997</c:v>
                </c:pt>
                <c:pt idx="4">
                  <c:v>0.55400000000000005</c:v>
                </c:pt>
              </c:numCache>
            </c:numRef>
          </c:val>
          <c:extLst>
            <c:ext xmlns:c16="http://schemas.microsoft.com/office/drawing/2014/chart" uri="{C3380CC4-5D6E-409C-BE32-E72D297353CC}">
              <c16:uniqueId val="{00000005-1AF1-455C-BFAD-96F9AA3D3932}"/>
            </c:ext>
          </c:extLst>
        </c:ser>
        <c:ser>
          <c:idx val="1"/>
          <c:order val="1"/>
          <c:tx>
            <c:strRef>
              <c:f>TABLICA!$D$83</c:f>
              <c:strCache>
                <c:ptCount val="1"/>
                <c:pt idx="0">
                  <c:v>system EZD</c:v>
                </c:pt>
              </c:strCache>
            </c:strRef>
          </c:tx>
          <c:spPr>
            <a:solidFill>
              <a:schemeClr val="accent2"/>
            </a:solidFill>
            <a:ln>
              <a:noFill/>
            </a:ln>
            <a:effectLst/>
          </c:spPr>
          <c:invertIfNegative val="0"/>
          <c:dLbls>
            <c:dLbl>
              <c:idx val="0"/>
              <c:layout>
                <c:manualLayout>
                  <c:x val="0"/>
                  <c:y val="0.165596462670666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AF1-455C-BFAD-96F9AA3D3932}"/>
                </c:ext>
              </c:extLst>
            </c:dLbl>
            <c:dLbl>
              <c:idx val="1"/>
              <c:layout>
                <c:manualLayout>
                  <c:x val="0"/>
                  <c:y val="0.1745476228150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AF1-455C-BFAD-96F9AA3D3932}"/>
                </c:ext>
              </c:extLst>
            </c:dLbl>
            <c:dLbl>
              <c:idx val="2"/>
              <c:layout>
                <c:manualLayout>
                  <c:x val="-7.546519193570928E-17"/>
                  <c:y val="0.174547622815027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AF1-455C-BFAD-96F9AA3D3932}"/>
                </c:ext>
              </c:extLst>
            </c:dLbl>
            <c:dLbl>
              <c:idx val="3"/>
              <c:layout>
                <c:manualLayout>
                  <c:x val="0"/>
                  <c:y val="0.165596462670666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AF1-455C-BFAD-96F9AA3D3932}"/>
                </c:ext>
              </c:extLst>
            </c:dLbl>
            <c:dLbl>
              <c:idx val="4"/>
              <c:layout>
                <c:manualLayout>
                  <c:x val="0"/>
                  <c:y val="0.165596462670666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AF1-455C-BFAD-96F9AA3D3932}"/>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TABLICA!$B$84:$B$88</c:f>
              <c:strCache>
                <c:ptCount val="5"/>
                <c:pt idx="0">
                  <c:v>warmińsko-mazurskie</c:v>
                </c:pt>
                <c:pt idx="1">
                  <c:v>świętokrzyskie</c:v>
                </c:pt>
                <c:pt idx="2">
                  <c:v>podlaskie</c:v>
                </c:pt>
                <c:pt idx="3">
                  <c:v>podkarpackie</c:v>
                </c:pt>
                <c:pt idx="4">
                  <c:v>lubelskie</c:v>
                </c:pt>
              </c:strCache>
            </c:strRef>
          </c:cat>
          <c:val>
            <c:numRef>
              <c:f>TABLICA!$D$84:$D$88</c:f>
              <c:numCache>
                <c:formatCode>0.0%</c:formatCode>
                <c:ptCount val="5"/>
                <c:pt idx="0">
                  <c:v>0.58399999999999996</c:v>
                </c:pt>
                <c:pt idx="1">
                  <c:v>0.89700000000000002</c:v>
                </c:pt>
                <c:pt idx="2">
                  <c:v>0.97</c:v>
                </c:pt>
                <c:pt idx="3">
                  <c:v>0.90600000000000003</c:v>
                </c:pt>
                <c:pt idx="4">
                  <c:v>0.755</c:v>
                </c:pt>
              </c:numCache>
            </c:numRef>
          </c:val>
          <c:extLst>
            <c:ext xmlns:c16="http://schemas.microsoft.com/office/drawing/2014/chart" uri="{C3380CC4-5D6E-409C-BE32-E72D297353CC}">
              <c16:uniqueId val="{0000000B-1AF1-455C-BFAD-96F9AA3D3932}"/>
            </c:ext>
          </c:extLst>
        </c:ser>
        <c:dLbls>
          <c:showLegendKey val="0"/>
          <c:showVal val="0"/>
          <c:showCatName val="0"/>
          <c:showSerName val="0"/>
          <c:showPercent val="0"/>
          <c:showBubbleSize val="0"/>
        </c:dLbls>
        <c:gapWidth val="219"/>
        <c:overlap val="-27"/>
        <c:axId val="408278496"/>
        <c:axId val="408277840"/>
      </c:barChart>
      <c:catAx>
        <c:axId val="408278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pl-PL"/>
          </a:p>
        </c:txPr>
        <c:crossAx val="408277840"/>
        <c:crosses val="autoZero"/>
        <c:auto val="1"/>
        <c:lblAlgn val="ctr"/>
        <c:lblOffset val="100"/>
        <c:noMultiLvlLbl val="0"/>
      </c:catAx>
      <c:valAx>
        <c:axId val="4082778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08278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'Szkoły w całym MOF'!$S$3</c:f>
              <c:strCache>
                <c:ptCount val="1"/>
                <c:pt idx="0">
                  <c:v>Olsztyn</c:v>
                </c:pt>
              </c:strCache>
            </c:strRef>
          </c:tx>
          <c:spPr>
            <a:solidFill>
              <a:schemeClr val="accent1"/>
            </a:solidFill>
            <a:ln>
              <a:noFill/>
            </a:ln>
            <a:effectLst/>
          </c:spPr>
          <c:invertIfNegative val="0"/>
          <c:dLbls>
            <c:dLbl>
              <c:idx val="0"/>
              <c:layout>
                <c:manualLayout>
                  <c:x val="-2.5462668816039986E-17"/>
                  <c:y val="9.7222222222222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D5B-46BA-A781-86FBB2195FEC}"/>
                </c:ext>
              </c:extLst>
            </c:dLbl>
            <c:dLbl>
              <c:idx val="1"/>
              <c:layout>
                <c:manualLayout>
                  <c:x val="2.7777777777777267E-3"/>
                  <c:y val="8.3333333333333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D5B-46BA-A781-86FBB2195FEC}"/>
                </c:ext>
              </c:extLst>
            </c:dLbl>
            <c:dLbl>
              <c:idx val="2"/>
              <c:layout>
                <c:manualLayout>
                  <c:x val="0"/>
                  <c:y val="8.33333333333332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D5B-46BA-A781-86FBB2195FE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'Szkoły w całym MOF'!$T$2:$V$2</c:f>
              <c:strCache>
                <c:ptCount val="3"/>
                <c:pt idx="0">
                  <c:v>STEM</c:v>
                </c:pt>
                <c:pt idx="1">
                  <c:v>języki obce</c:v>
                </c:pt>
                <c:pt idx="2">
                  <c:v>kompetencje miękkie</c:v>
                </c:pt>
              </c:strCache>
            </c:strRef>
          </c:cat>
          <c:val>
            <c:numRef>
              <c:f>'Szkoły w całym MOF'!$T$3:$V$3</c:f>
              <c:numCache>
                <c:formatCode>0%</c:formatCode>
                <c:ptCount val="3"/>
                <c:pt idx="0">
                  <c:v>0.17</c:v>
                </c:pt>
                <c:pt idx="1">
                  <c:v>0.09</c:v>
                </c:pt>
                <c:pt idx="2">
                  <c:v>0.2</c:v>
                </c:pt>
              </c:numCache>
            </c:numRef>
          </c:val>
          <c:extLst>
            <c:ext xmlns:c16="http://schemas.microsoft.com/office/drawing/2014/chart" uri="{C3380CC4-5D6E-409C-BE32-E72D297353CC}">
              <c16:uniqueId val="{00000003-DD5B-46BA-A781-86FBB2195FEC}"/>
            </c:ext>
          </c:extLst>
        </c:ser>
        <c:ser>
          <c:idx val="1"/>
          <c:order val="1"/>
          <c:tx>
            <c:strRef>
              <c:f>'Szkoły w całym MOF'!$S$4</c:f>
              <c:strCache>
                <c:ptCount val="1"/>
                <c:pt idx="0">
                  <c:v>MOF Olsztyna</c:v>
                </c:pt>
              </c:strCache>
            </c:strRef>
          </c:tx>
          <c:spPr>
            <a:solidFill>
              <a:schemeClr val="accent2"/>
            </a:solidFill>
            <a:ln>
              <a:noFill/>
            </a:ln>
            <a:effectLst/>
          </c:spPr>
          <c:invertIfNegative val="0"/>
          <c:dLbls>
            <c:dLbl>
              <c:idx val="0"/>
              <c:layout>
                <c:manualLayout>
                  <c:x val="0"/>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D5B-46BA-A781-86FBB2195FEC}"/>
                </c:ext>
              </c:extLst>
            </c:dLbl>
            <c:dLbl>
              <c:idx val="1"/>
              <c:layout>
                <c:manualLayout>
                  <c:x val="-1.0185067526415994E-16"/>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D5B-46BA-A781-86FBB2195FEC}"/>
                </c:ext>
              </c:extLst>
            </c:dLbl>
            <c:dLbl>
              <c:idx val="2"/>
              <c:layout>
                <c:manualLayout>
                  <c:x val="0"/>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D5B-46BA-A781-86FBB2195FE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'Szkoły w całym MOF'!$T$2:$V$2</c:f>
              <c:strCache>
                <c:ptCount val="3"/>
                <c:pt idx="0">
                  <c:v>STEM</c:v>
                </c:pt>
                <c:pt idx="1">
                  <c:v>języki obce</c:v>
                </c:pt>
                <c:pt idx="2">
                  <c:v>kompetencje miękkie</c:v>
                </c:pt>
              </c:strCache>
            </c:strRef>
          </c:cat>
          <c:val>
            <c:numRef>
              <c:f>'Szkoły w całym MOF'!$T$4:$V$4</c:f>
              <c:numCache>
                <c:formatCode>0%</c:formatCode>
                <c:ptCount val="3"/>
                <c:pt idx="0">
                  <c:v>0.18</c:v>
                </c:pt>
                <c:pt idx="1">
                  <c:v>0.1</c:v>
                </c:pt>
                <c:pt idx="2">
                  <c:v>0.18</c:v>
                </c:pt>
              </c:numCache>
            </c:numRef>
          </c:val>
          <c:extLst>
            <c:ext xmlns:c16="http://schemas.microsoft.com/office/drawing/2014/chart" uri="{C3380CC4-5D6E-409C-BE32-E72D297353CC}">
              <c16:uniqueId val="{00000007-DD5B-46BA-A781-86FBB2195FEC}"/>
            </c:ext>
          </c:extLst>
        </c:ser>
        <c:dLbls>
          <c:showLegendKey val="0"/>
          <c:showVal val="0"/>
          <c:showCatName val="0"/>
          <c:showSerName val="0"/>
          <c:showPercent val="0"/>
          <c:showBubbleSize val="0"/>
        </c:dLbls>
        <c:gapWidth val="219"/>
        <c:overlap val="-27"/>
        <c:axId val="495255816"/>
        <c:axId val="495258440"/>
      </c:barChart>
      <c:catAx>
        <c:axId val="495255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95258440"/>
        <c:crosses val="autoZero"/>
        <c:auto val="1"/>
        <c:lblAlgn val="ctr"/>
        <c:lblOffset val="100"/>
        <c:noMultiLvlLbl val="0"/>
      </c:catAx>
      <c:valAx>
        <c:axId val="4952584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95255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TABLICA!$C$12</c:f>
              <c:strCache>
                <c:ptCount val="1"/>
                <c:pt idx="0">
                  <c:v>2014</c:v>
                </c:pt>
              </c:strCache>
            </c:strRef>
          </c:tx>
          <c:spPr>
            <a:solidFill>
              <a:schemeClr val="accent1"/>
            </a:solidFill>
            <a:ln>
              <a:noFill/>
            </a:ln>
            <a:effectLst/>
          </c:spPr>
          <c:invertIfNegative val="0"/>
          <c:dLbls>
            <c:dLbl>
              <c:idx val="0"/>
              <c:layout>
                <c:manualLayout>
                  <c:x val="-2.5462668816039986E-17"/>
                  <c:y val="0.11111111111111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F1E-4817-BE1D-CF45FB280223}"/>
                </c:ext>
              </c:extLst>
            </c:dLbl>
            <c:dLbl>
              <c:idx val="1"/>
              <c:layout>
                <c:manualLayout>
                  <c:x val="0"/>
                  <c:y val="0.111111111111111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F1E-4817-BE1D-CF45FB280223}"/>
                </c:ext>
              </c:extLst>
            </c:dLbl>
            <c:dLbl>
              <c:idx val="2"/>
              <c:layout>
                <c:manualLayout>
                  <c:x val="0"/>
                  <c:y val="0.106481481481481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F1E-4817-BE1D-CF45FB280223}"/>
                </c:ext>
              </c:extLst>
            </c:dLbl>
            <c:dLbl>
              <c:idx val="3"/>
              <c:layout>
                <c:manualLayout>
                  <c:x val="0"/>
                  <c:y val="0.1111111111111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F1E-4817-BE1D-CF45FB280223}"/>
                </c:ext>
              </c:extLst>
            </c:dLbl>
            <c:dLbl>
              <c:idx val="4"/>
              <c:layout>
                <c:manualLayout>
                  <c:x val="0"/>
                  <c:y val="0.106481481481481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F1E-4817-BE1D-CF45FB280223}"/>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TABLICA!$B$13:$B$17</c:f>
              <c:strCache>
                <c:ptCount val="5"/>
                <c:pt idx="0">
                  <c:v>Olsztyn</c:v>
                </c:pt>
                <c:pt idx="1">
                  <c:v>Kielce</c:v>
                </c:pt>
                <c:pt idx="2">
                  <c:v>Białystok</c:v>
                </c:pt>
                <c:pt idx="3">
                  <c:v>Rzeszów</c:v>
                </c:pt>
                <c:pt idx="4">
                  <c:v>Lublin</c:v>
                </c:pt>
              </c:strCache>
            </c:strRef>
          </c:cat>
          <c:val>
            <c:numRef>
              <c:f>TABLICA!$C$13:$C$17</c:f>
              <c:numCache>
                <c:formatCode>#,##0</c:formatCode>
                <c:ptCount val="5"/>
                <c:pt idx="0">
                  <c:v>118</c:v>
                </c:pt>
                <c:pt idx="1">
                  <c:v>138</c:v>
                </c:pt>
                <c:pt idx="2">
                  <c:v>140</c:v>
                </c:pt>
                <c:pt idx="3">
                  <c:v>204</c:v>
                </c:pt>
                <c:pt idx="4">
                  <c:v>129</c:v>
                </c:pt>
              </c:numCache>
            </c:numRef>
          </c:val>
          <c:extLst>
            <c:ext xmlns:c16="http://schemas.microsoft.com/office/drawing/2014/chart" uri="{C3380CC4-5D6E-409C-BE32-E72D297353CC}">
              <c16:uniqueId val="{00000005-1F1E-4817-BE1D-CF45FB280223}"/>
            </c:ext>
          </c:extLst>
        </c:ser>
        <c:ser>
          <c:idx val="1"/>
          <c:order val="1"/>
          <c:tx>
            <c:strRef>
              <c:f>TABLICA!$D$12</c:f>
              <c:strCache>
                <c:ptCount val="1"/>
                <c:pt idx="0">
                  <c:v>2019</c:v>
                </c:pt>
              </c:strCache>
            </c:strRef>
          </c:tx>
          <c:spPr>
            <a:solidFill>
              <a:schemeClr val="accent2"/>
            </a:solidFill>
            <a:ln>
              <a:noFill/>
            </a:ln>
            <a:effectLst/>
          </c:spPr>
          <c:invertIfNegative val="0"/>
          <c:dLbls>
            <c:dLbl>
              <c:idx val="0"/>
              <c:layout>
                <c:manualLayout>
                  <c:x val="0"/>
                  <c:y val="0.1111111111111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F1E-4817-BE1D-CF45FB280223}"/>
                </c:ext>
              </c:extLst>
            </c:dLbl>
            <c:dLbl>
              <c:idx val="1"/>
              <c:layout>
                <c:manualLayout>
                  <c:x val="0"/>
                  <c:y val="0.106481481481481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F1E-4817-BE1D-CF45FB280223}"/>
                </c:ext>
              </c:extLst>
            </c:dLbl>
            <c:dLbl>
              <c:idx val="2"/>
              <c:layout>
                <c:manualLayout>
                  <c:x val="-2.7777777777777779E-3"/>
                  <c:y val="0.111111111111111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F1E-4817-BE1D-CF45FB280223}"/>
                </c:ext>
              </c:extLst>
            </c:dLbl>
            <c:dLbl>
              <c:idx val="3"/>
              <c:layout>
                <c:manualLayout>
                  <c:x val="0"/>
                  <c:y val="0.1111111111111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F1E-4817-BE1D-CF45FB280223}"/>
                </c:ext>
              </c:extLst>
            </c:dLbl>
            <c:dLbl>
              <c:idx val="4"/>
              <c:layout>
                <c:manualLayout>
                  <c:x val="0"/>
                  <c:y val="0.106481481481481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F1E-4817-BE1D-CF45FB280223}"/>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TABLICA!$B$13:$B$17</c:f>
              <c:strCache>
                <c:ptCount val="5"/>
                <c:pt idx="0">
                  <c:v>Olsztyn</c:v>
                </c:pt>
                <c:pt idx="1">
                  <c:v>Kielce</c:v>
                </c:pt>
                <c:pt idx="2">
                  <c:v>Białystok</c:v>
                </c:pt>
                <c:pt idx="3">
                  <c:v>Rzeszów</c:v>
                </c:pt>
                <c:pt idx="4">
                  <c:v>Lublin</c:v>
                </c:pt>
              </c:strCache>
            </c:strRef>
          </c:cat>
          <c:val>
            <c:numRef>
              <c:f>TABLICA!$D$13:$D$17</c:f>
              <c:numCache>
                <c:formatCode>#,##0</c:formatCode>
                <c:ptCount val="5"/>
                <c:pt idx="0">
                  <c:v>218</c:v>
                </c:pt>
                <c:pt idx="1">
                  <c:v>234</c:v>
                </c:pt>
                <c:pt idx="2">
                  <c:v>224</c:v>
                </c:pt>
                <c:pt idx="3">
                  <c:v>310</c:v>
                </c:pt>
                <c:pt idx="4">
                  <c:v>256</c:v>
                </c:pt>
              </c:numCache>
            </c:numRef>
          </c:val>
          <c:extLst>
            <c:ext xmlns:c16="http://schemas.microsoft.com/office/drawing/2014/chart" uri="{C3380CC4-5D6E-409C-BE32-E72D297353CC}">
              <c16:uniqueId val="{0000000B-1F1E-4817-BE1D-CF45FB280223}"/>
            </c:ext>
          </c:extLst>
        </c:ser>
        <c:dLbls>
          <c:showLegendKey val="0"/>
          <c:showVal val="0"/>
          <c:showCatName val="0"/>
          <c:showSerName val="0"/>
          <c:showPercent val="0"/>
          <c:showBubbleSize val="0"/>
        </c:dLbls>
        <c:gapWidth val="219"/>
        <c:overlap val="-27"/>
        <c:axId val="316041864"/>
        <c:axId val="316044816"/>
      </c:barChart>
      <c:catAx>
        <c:axId val="316041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16044816"/>
        <c:crosses val="autoZero"/>
        <c:auto val="1"/>
        <c:lblAlgn val="ctr"/>
        <c:lblOffset val="100"/>
        <c:noMultiLvlLbl val="0"/>
      </c:catAx>
      <c:valAx>
        <c:axId val="316044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16041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TABLICA!$C$73</c:f>
              <c:strCache>
                <c:ptCount val="1"/>
                <c:pt idx="0">
                  <c:v>2014</c:v>
                </c:pt>
              </c:strCache>
            </c:strRef>
          </c:tx>
          <c:spPr>
            <a:solidFill>
              <a:schemeClr val="accent1"/>
            </a:solidFill>
            <a:ln>
              <a:noFill/>
            </a:ln>
            <a:effectLst/>
          </c:spPr>
          <c:invertIfNegative val="0"/>
          <c:dLbls>
            <c:dLbl>
              <c:idx val="0"/>
              <c:layout>
                <c:manualLayout>
                  <c:x val="0"/>
                  <c:y val="0.134259259259259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EF1-4FED-ACD4-8C6BDA3092F2}"/>
                </c:ext>
              </c:extLst>
            </c:dLbl>
            <c:dLbl>
              <c:idx val="1"/>
              <c:layout>
                <c:manualLayout>
                  <c:x val="0"/>
                  <c:y val="0.152777777777777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EF1-4FED-ACD4-8C6BDA3092F2}"/>
                </c:ext>
              </c:extLst>
            </c:dLbl>
            <c:dLbl>
              <c:idx val="2"/>
              <c:layout>
                <c:manualLayout>
                  <c:x val="0"/>
                  <c:y val="0.148148148148148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EF1-4FED-ACD4-8C6BDA3092F2}"/>
                </c:ext>
              </c:extLst>
            </c:dLbl>
            <c:dLbl>
              <c:idx val="3"/>
              <c:layout>
                <c:manualLayout>
                  <c:x val="-1.0185067526415994E-16"/>
                  <c:y val="0.157407407407407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EF1-4FED-ACD4-8C6BDA3092F2}"/>
                </c:ext>
              </c:extLst>
            </c:dLbl>
            <c:dLbl>
              <c:idx val="4"/>
              <c:layout>
                <c:manualLayout>
                  <c:x val="-2.777777777777676E-3"/>
                  <c:y val="0.152777777777777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EF1-4FED-ACD4-8C6BDA3092F2}"/>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TABLICA!$B$74:$B$78</c:f>
              <c:strCache>
                <c:ptCount val="5"/>
                <c:pt idx="0">
                  <c:v>Olsztyn</c:v>
                </c:pt>
                <c:pt idx="1">
                  <c:v>Kielce</c:v>
                </c:pt>
                <c:pt idx="2">
                  <c:v>Białystok</c:v>
                </c:pt>
                <c:pt idx="3">
                  <c:v>Rzeszów</c:v>
                </c:pt>
                <c:pt idx="4">
                  <c:v>Lublin</c:v>
                </c:pt>
              </c:strCache>
            </c:strRef>
          </c:cat>
          <c:val>
            <c:numRef>
              <c:f>TABLICA!$C$74:$C$78</c:f>
              <c:numCache>
                <c:formatCode>0.0%</c:formatCode>
                <c:ptCount val="5"/>
                <c:pt idx="0">
                  <c:v>9.5000000000000001E-2</c:v>
                </c:pt>
                <c:pt idx="1">
                  <c:v>0.13400000000000001</c:v>
                </c:pt>
                <c:pt idx="2">
                  <c:v>0.11700000000000001</c:v>
                </c:pt>
                <c:pt idx="3">
                  <c:v>0.17599999999999999</c:v>
                </c:pt>
                <c:pt idx="4">
                  <c:v>0.107</c:v>
                </c:pt>
              </c:numCache>
            </c:numRef>
          </c:val>
          <c:extLst>
            <c:ext xmlns:c16="http://schemas.microsoft.com/office/drawing/2014/chart" uri="{C3380CC4-5D6E-409C-BE32-E72D297353CC}">
              <c16:uniqueId val="{00000005-4EF1-4FED-ACD4-8C6BDA3092F2}"/>
            </c:ext>
          </c:extLst>
        </c:ser>
        <c:ser>
          <c:idx val="1"/>
          <c:order val="1"/>
          <c:tx>
            <c:strRef>
              <c:f>TABLICA!$D$73</c:f>
              <c:strCache>
                <c:ptCount val="1"/>
                <c:pt idx="0">
                  <c:v>2019</c:v>
                </c:pt>
              </c:strCache>
            </c:strRef>
          </c:tx>
          <c:spPr>
            <a:solidFill>
              <a:schemeClr val="accent2"/>
            </a:solidFill>
            <a:ln>
              <a:noFill/>
            </a:ln>
            <a:effectLst/>
          </c:spPr>
          <c:invertIfNegative val="0"/>
          <c:dLbls>
            <c:dLbl>
              <c:idx val="0"/>
              <c:layout>
                <c:manualLayout>
                  <c:x val="-2.5462668816039986E-17"/>
                  <c:y val="0.152777777777777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EF1-4FED-ACD4-8C6BDA3092F2}"/>
                </c:ext>
              </c:extLst>
            </c:dLbl>
            <c:dLbl>
              <c:idx val="1"/>
              <c:layout>
                <c:manualLayout>
                  <c:x val="0"/>
                  <c:y val="0.152777777777777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EF1-4FED-ACD4-8C6BDA3092F2}"/>
                </c:ext>
              </c:extLst>
            </c:dLbl>
            <c:dLbl>
              <c:idx val="2"/>
              <c:layout>
                <c:manualLayout>
                  <c:x val="0"/>
                  <c:y val="0.143518518518518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EF1-4FED-ACD4-8C6BDA3092F2}"/>
                </c:ext>
              </c:extLst>
            </c:dLbl>
            <c:dLbl>
              <c:idx val="3"/>
              <c:layout>
                <c:manualLayout>
                  <c:x val="-1.0185067526415994E-16"/>
                  <c:y val="0.1527777777777777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EF1-4FED-ACD4-8C6BDA3092F2}"/>
                </c:ext>
              </c:extLst>
            </c:dLbl>
            <c:dLbl>
              <c:idx val="4"/>
              <c:layout>
                <c:manualLayout>
                  <c:x val="0"/>
                  <c:y val="0.152777777777777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EF1-4FED-ACD4-8C6BDA3092F2}"/>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TABLICA!$B$74:$B$78</c:f>
              <c:strCache>
                <c:ptCount val="5"/>
                <c:pt idx="0">
                  <c:v>Olsztyn</c:v>
                </c:pt>
                <c:pt idx="1">
                  <c:v>Kielce</c:v>
                </c:pt>
                <c:pt idx="2">
                  <c:v>Białystok</c:v>
                </c:pt>
                <c:pt idx="3">
                  <c:v>Rzeszów</c:v>
                </c:pt>
                <c:pt idx="4">
                  <c:v>Lublin</c:v>
                </c:pt>
              </c:strCache>
            </c:strRef>
          </c:cat>
          <c:val>
            <c:numRef>
              <c:f>TABLICA!$D$74:$D$78</c:f>
              <c:numCache>
                <c:formatCode>0.0%</c:formatCode>
                <c:ptCount val="5"/>
                <c:pt idx="0">
                  <c:v>0.19700000000000001</c:v>
                </c:pt>
                <c:pt idx="1">
                  <c:v>0.221</c:v>
                </c:pt>
                <c:pt idx="2">
                  <c:v>0.20899999999999999</c:v>
                </c:pt>
                <c:pt idx="3">
                  <c:v>0.29899999999999999</c:v>
                </c:pt>
                <c:pt idx="4">
                  <c:v>0.23499999999999999</c:v>
                </c:pt>
              </c:numCache>
            </c:numRef>
          </c:val>
          <c:extLst>
            <c:ext xmlns:c16="http://schemas.microsoft.com/office/drawing/2014/chart" uri="{C3380CC4-5D6E-409C-BE32-E72D297353CC}">
              <c16:uniqueId val="{0000000B-4EF1-4FED-ACD4-8C6BDA3092F2}"/>
            </c:ext>
          </c:extLst>
        </c:ser>
        <c:dLbls>
          <c:showLegendKey val="0"/>
          <c:showVal val="0"/>
          <c:showCatName val="0"/>
          <c:showSerName val="0"/>
          <c:showPercent val="0"/>
          <c:showBubbleSize val="0"/>
        </c:dLbls>
        <c:gapWidth val="219"/>
        <c:overlap val="-27"/>
        <c:axId val="324274256"/>
        <c:axId val="324276224"/>
      </c:barChart>
      <c:catAx>
        <c:axId val="324274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24276224"/>
        <c:crosses val="autoZero"/>
        <c:auto val="1"/>
        <c:lblAlgn val="ctr"/>
        <c:lblOffset val="100"/>
        <c:noMultiLvlLbl val="0"/>
      </c:catAx>
      <c:valAx>
        <c:axId val="32427622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24274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Zdrowie!$A$51</c:f>
              <c:strCache>
                <c:ptCount val="1"/>
                <c:pt idx="0">
                  <c:v>Liczba miejsc</c:v>
                </c:pt>
              </c:strCache>
            </c:strRef>
          </c:tx>
          <c:spPr>
            <a:solidFill>
              <a:schemeClr val="accent1"/>
            </a:solidFill>
            <a:ln>
              <a:noFill/>
            </a:ln>
            <a:effectLst/>
          </c:spPr>
          <c:invertIfNegative val="0"/>
          <c:dLbls>
            <c:dLbl>
              <c:idx val="0"/>
              <c:layout>
                <c:manualLayout>
                  <c:x val="-1.2731334408019993E-17"/>
                  <c:y val="0.101851851851851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DE5-4E3B-B6D6-D1F28D2DABF9}"/>
                </c:ext>
              </c:extLst>
            </c:dLbl>
            <c:dLbl>
              <c:idx val="1"/>
              <c:layout>
                <c:manualLayout>
                  <c:x val="0"/>
                  <c:y val="0.106481481481481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DE5-4E3B-B6D6-D1F28D2DABF9}"/>
                </c:ext>
              </c:extLst>
            </c:dLbl>
            <c:dLbl>
              <c:idx val="2"/>
              <c:layout>
                <c:manualLayout>
                  <c:x val="0"/>
                  <c:y val="0.1018518518518517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DE5-4E3B-B6D6-D1F28D2DABF9}"/>
                </c:ext>
              </c:extLst>
            </c:dLbl>
            <c:dLbl>
              <c:idx val="3"/>
              <c:layout>
                <c:manualLayout>
                  <c:x val="-2.7777777777777779E-3"/>
                  <c:y val="0.106481481481481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DE5-4E3B-B6D6-D1F28D2DABF9}"/>
                </c:ext>
              </c:extLst>
            </c:dLbl>
            <c:dLbl>
              <c:idx val="4"/>
              <c:layout>
                <c:manualLayout>
                  <c:x val="-2.7777777777777779E-3"/>
                  <c:y val="0.101851851851851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DE5-4E3B-B6D6-D1F28D2DABF9}"/>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Zdrowie!$B$50:$H$50</c:f>
              <c:numCache>
                <c:formatCode>General</c:formatCode>
                <c:ptCount val="5"/>
                <c:pt idx="0">
                  <c:v>2015</c:v>
                </c:pt>
                <c:pt idx="1">
                  <c:v>2016</c:v>
                </c:pt>
                <c:pt idx="2">
                  <c:v>2017</c:v>
                </c:pt>
                <c:pt idx="3">
                  <c:v>2018</c:v>
                </c:pt>
                <c:pt idx="4">
                  <c:v>2019</c:v>
                </c:pt>
              </c:numCache>
              <c:extLst/>
            </c:numRef>
          </c:cat>
          <c:val>
            <c:numRef>
              <c:f>Zdrowie!$B$51:$H$51</c:f>
              <c:numCache>
                <c:formatCode>General</c:formatCode>
                <c:ptCount val="5"/>
                <c:pt idx="0">
                  <c:v>305</c:v>
                </c:pt>
                <c:pt idx="1">
                  <c:v>308</c:v>
                </c:pt>
                <c:pt idx="2">
                  <c:v>308</c:v>
                </c:pt>
                <c:pt idx="3">
                  <c:v>308</c:v>
                </c:pt>
                <c:pt idx="4">
                  <c:v>348</c:v>
                </c:pt>
              </c:numCache>
              <c:extLst/>
            </c:numRef>
          </c:val>
          <c:extLst>
            <c:ext xmlns:c16="http://schemas.microsoft.com/office/drawing/2014/chart" uri="{C3380CC4-5D6E-409C-BE32-E72D297353CC}">
              <c16:uniqueId val="{00000000-3DE5-4E3B-B6D6-D1F28D2DABF9}"/>
            </c:ext>
          </c:extLst>
        </c:ser>
        <c:ser>
          <c:idx val="1"/>
          <c:order val="1"/>
          <c:tx>
            <c:strRef>
              <c:f>Zdrowie!$A$52</c:f>
              <c:strCache>
                <c:ptCount val="1"/>
                <c:pt idx="0">
                  <c:v>Liczba podań</c:v>
                </c:pt>
              </c:strCache>
            </c:strRef>
          </c:tx>
          <c:spPr>
            <a:solidFill>
              <a:schemeClr val="accent2"/>
            </a:solidFill>
            <a:ln>
              <a:noFill/>
            </a:ln>
            <a:effectLst/>
          </c:spPr>
          <c:invertIfNegative val="0"/>
          <c:dLbls>
            <c:dLbl>
              <c:idx val="0"/>
              <c:layout>
                <c:manualLayout>
                  <c:x val="0"/>
                  <c:y val="0.101851851851851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DE5-4E3B-B6D6-D1F28D2DABF9}"/>
                </c:ext>
              </c:extLst>
            </c:dLbl>
            <c:dLbl>
              <c:idx val="1"/>
              <c:layout>
                <c:manualLayout>
                  <c:x val="0"/>
                  <c:y val="0.111111111111111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DE5-4E3B-B6D6-D1F28D2DABF9}"/>
                </c:ext>
              </c:extLst>
            </c:dLbl>
            <c:dLbl>
              <c:idx val="2"/>
              <c:layout>
                <c:manualLayout>
                  <c:x val="-1.0185067526415994E-16"/>
                  <c:y val="0.106481481481481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DE5-4E3B-B6D6-D1F28D2DABF9}"/>
                </c:ext>
              </c:extLst>
            </c:dLbl>
            <c:dLbl>
              <c:idx val="3"/>
              <c:layout>
                <c:manualLayout>
                  <c:x val="2.7777777777777779E-3"/>
                  <c:y val="0.111111111111111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DE5-4E3B-B6D6-D1F28D2DABF9}"/>
                </c:ext>
              </c:extLst>
            </c:dLbl>
            <c:dLbl>
              <c:idx val="4"/>
              <c:layout>
                <c:manualLayout>
                  <c:x val="0"/>
                  <c:y val="0.106481481481481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DE5-4E3B-B6D6-D1F28D2DABF9}"/>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Zdrowie!$B$50:$H$50</c:f>
              <c:numCache>
                <c:formatCode>General</c:formatCode>
                <c:ptCount val="5"/>
                <c:pt idx="0">
                  <c:v>2015</c:v>
                </c:pt>
                <c:pt idx="1">
                  <c:v>2016</c:v>
                </c:pt>
                <c:pt idx="2">
                  <c:v>2017</c:v>
                </c:pt>
                <c:pt idx="3">
                  <c:v>2018</c:v>
                </c:pt>
                <c:pt idx="4">
                  <c:v>2019</c:v>
                </c:pt>
              </c:numCache>
              <c:extLst/>
            </c:numRef>
          </c:cat>
          <c:val>
            <c:numRef>
              <c:f>Zdrowie!$B$52:$H$52</c:f>
              <c:numCache>
                <c:formatCode>General</c:formatCode>
                <c:ptCount val="5"/>
                <c:pt idx="0">
                  <c:v>502</c:v>
                </c:pt>
                <c:pt idx="1">
                  <c:v>409</c:v>
                </c:pt>
                <c:pt idx="2">
                  <c:v>517</c:v>
                </c:pt>
                <c:pt idx="3">
                  <c:v>575</c:v>
                </c:pt>
                <c:pt idx="4">
                  <c:v>639</c:v>
                </c:pt>
              </c:numCache>
              <c:extLst/>
            </c:numRef>
          </c:val>
          <c:extLst>
            <c:ext xmlns:c16="http://schemas.microsoft.com/office/drawing/2014/chart" uri="{C3380CC4-5D6E-409C-BE32-E72D297353CC}">
              <c16:uniqueId val="{00000001-3DE5-4E3B-B6D6-D1F28D2DABF9}"/>
            </c:ext>
          </c:extLst>
        </c:ser>
        <c:ser>
          <c:idx val="2"/>
          <c:order val="2"/>
          <c:tx>
            <c:strRef>
              <c:f>Zdrowie!$A$53</c:f>
              <c:strCache>
                <c:ptCount val="1"/>
                <c:pt idx="0">
                  <c:v>Liczba miejsc dla nowych dzieci</c:v>
                </c:pt>
              </c:strCache>
            </c:strRef>
          </c:tx>
          <c:spPr>
            <a:solidFill>
              <a:schemeClr val="accent3"/>
            </a:solidFill>
            <a:ln>
              <a:noFill/>
            </a:ln>
            <a:effectLst/>
          </c:spPr>
          <c:invertIfNegative val="0"/>
          <c:dLbls>
            <c:dLbl>
              <c:idx val="0"/>
              <c:layout>
                <c:manualLayout>
                  <c:x val="0"/>
                  <c:y val="0.106481481481481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DE5-4E3B-B6D6-D1F28D2DABF9}"/>
                </c:ext>
              </c:extLst>
            </c:dLbl>
            <c:dLbl>
              <c:idx val="1"/>
              <c:layout>
                <c:manualLayout>
                  <c:x val="0"/>
                  <c:y val="0.106481481481481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DE5-4E3B-B6D6-D1F28D2DABF9}"/>
                </c:ext>
              </c:extLst>
            </c:dLbl>
            <c:dLbl>
              <c:idx val="2"/>
              <c:layout>
                <c:manualLayout>
                  <c:x val="0"/>
                  <c:y val="0.106481481481481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3DE5-4E3B-B6D6-D1F28D2DABF9}"/>
                </c:ext>
              </c:extLst>
            </c:dLbl>
            <c:dLbl>
              <c:idx val="3"/>
              <c:layout>
                <c:manualLayout>
                  <c:x val="-1.0185067526415994E-16"/>
                  <c:y val="9.7222222222222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3DE5-4E3B-B6D6-D1F28D2DABF9}"/>
                </c:ext>
              </c:extLst>
            </c:dLbl>
            <c:dLbl>
              <c:idx val="4"/>
              <c:layout>
                <c:manualLayout>
                  <c:x val="1.0185067526415994E-16"/>
                  <c:y val="0.10648148148148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3DE5-4E3B-B6D6-D1F28D2DABF9}"/>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Zdrowie!$B$50:$H$50</c:f>
              <c:numCache>
                <c:formatCode>General</c:formatCode>
                <c:ptCount val="5"/>
                <c:pt idx="0">
                  <c:v>2015</c:v>
                </c:pt>
                <c:pt idx="1">
                  <c:v>2016</c:v>
                </c:pt>
                <c:pt idx="2">
                  <c:v>2017</c:v>
                </c:pt>
                <c:pt idx="3">
                  <c:v>2018</c:v>
                </c:pt>
                <c:pt idx="4">
                  <c:v>2019</c:v>
                </c:pt>
              </c:numCache>
              <c:extLst/>
            </c:numRef>
          </c:cat>
          <c:val>
            <c:numRef>
              <c:f>Zdrowie!$B$53:$H$53</c:f>
              <c:numCache>
                <c:formatCode>General</c:formatCode>
                <c:ptCount val="5"/>
                <c:pt idx="0">
                  <c:v>171</c:v>
                </c:pt>
                <c:pt idx="1">
                  <c:v>139</c:v>
                </c:pt>
                <c:pt idx="2">
                  <c:v>176</c:v>
                </c:pt>
                <c:pt idx="3">
                  <c:v>156</c:v>
                </c:pt>
                <c:pt idx="4">
                  <c:v>230</c:v>
                </c:pt>
              </c:numCache>
              <c:extLst/>
            </c:numRef>
          </c:val>
          <c:extLst>
            <c:ext xmlns:c16="http://schemas.microsoft.com/office/drawing/2014/chart" uri="{C3380CC4-5D6E-409C-BE32-E72D297353CC}">
              <c16:uniqueId val="{00000002-3DE5-4E3B-B6D6-D1F28D2DABF9}"/>
            </c:ext>
          </c:extLst>
        </c:ser>
        <c:dLbls>
          <c:showLegendKey val="0"/>
          <c:showVal val="0"/>
          <c:showCatName val="0"/>
          <c:showSerName val="0"/>
          <c:showPercent val="0"/>
          <c:showBubbleSize val="0"/>
        </c:dLbls>
        <c:gapWidth val="219"/>
        <c:overlap val="-27"/>
        <c:axId val="223267192"/>
        <c:axId val="223267520"/>
      </c:barChart>
      <c:catAx>
        <c:axId val="223267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23267520"/>
        <c:crosses val="autoZero"/>
        <c:auto val="1"/>
        <c:lblAlgn val="ctr"/>
        <c:lblOffset val="100"/>
        <c:noMultiLvlLbl val="0"/>
      </c:catAx>
      <c:valAx>
        <c:axId val="223267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23267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01159230096238"/>
          <c:y val="7.0071667688245576E-2"/>
          <c:w val="0.86821062992125986"/>
          <c:h val="0.71662580351108818"/>
        </c:manualLayout>
      </c:layout>
      <c:barChart>
        <c:barDir val="col"/>
        <c:grouping val="clustered"/>
        <c:varyColors val="0"/>
        <c:ser>
          <c:idx val="0"/>
          <c:order val="0"/>
          <c:tx>
            <c:strRef>
              <c:f>TABLICA!$B$43</c:f>
              <c:strCache>
                <c:ptCount val="1"/>
                <c:pt idx="0">
                  <c:v>2013</c:v>
                </c:pt>
              </c:strCache>
            </c:strRef>
          </c:tx>
          <c:spPr>
            <a:solidFill>
              <a:schemeClr val="accent1"/>
            </a:solidFill>
            <a:ln>
              <a:noFill/>
            </a:ln>
            <a:effectLst/>
          </c:spPr>
          <c:invertIfNegative val="0"/>
          <c:dLbls>
            <c:dLbl>
              <c:idx val="0"/>
              <c:layout>
                <c:manualLayout>
                  <c:x val="0"/>
                  <c:y val="0.182243719041861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CA0-4020-9CBE-A9919087B4E3}"/>
                </c:ext>
              </c:extLst>
            </c:dLbl>
            <c:dLbl>
              <c:idx val="1"/>
              <c:layout>
                <c:manualLayout>
                  <c:x val="0"/>
                  <c:y val="0.195397286947155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CA0-4020-9CBE-A9919087B4E3}"/>
                </c:ext>
              </c:extLst>
            </c:dLbl>
            <c:dLbl>
              <c:idx val="2"/>
              <c:layout>
                <c:manualLayout>
                  <c:x val="0"/>
                  <c:y val="0.184926218323334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CA0-4020-9CBE-A9919087B4E3}"/>
                </c:ext>
              </c:extLst>
            </c:dLbl>
            <c:dLbl>
              <c:idx val="3"/>
              <c:layout>
                <c:manualLayout>
                  <c:x val="-3.7860913923337528E-3"/>
                  <c:y val="0.180296576706274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CA0-4020-9CBE-A9919087B4E3}"/>
                </c:ext>
              </c:extLst>
            </c:dLbl>
            <c:dLbl>
              <c:idx val="4"/>
              <c:layout>
                <c:manualLayout>
                  <c:x val="-2.77774188630109E-3"/>
                  <c:y val="0.190767645330094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CA0-4020-9CBE-A9919087B4E3}"/>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TABLICA!$A$44:$A$48</c:f>
              <c:strCache>
                <c:ptCount val="5"/>
                <c:pt idx="0">
                  <c:v>Olsztyn</c:v>
                </c:pt>
                <c:pt idx="1">
                  <c:v>Kielce</c:v>
                </c:pt>
                <c:pt idx="2">
                  <c:v>Białystok</c:v>
                </c:pt>
                <c:pt idx="3">
                  <c:v>Rzeszów</c:v>
                </c:pt>
                <c:pt idx="4">
                  <c:v>Lublin</c:v>
                </c:pt>
              </c:strCache>
            </c:strRef>
          </c:cat>
          <c:val>
            <c:numRef>
              <c:f>TABLICA!$B$44:$B$48</c:f>
              <c:numCache>
                <c:formatCode>#\ ##0.0</c:formatCode>
                <c:ptCount val="5"/>
                <c:pt idx="0">
                  <c:v>89.4</c:v>
                </c:pt>
                <c:pt idx="1">
                  <c:v>85.3</c:v>
                </c:pt>
                <c:pt idx="2">
                  <c:v>90</c:v>
                </c:pt>
                <c:pt idx="3">
                  <c:v>91.9</c:v>
                </c:pt>
                <c:pt idx="4">
                  <c:v>93.9</c:v>
                </c:pt>
              </c:numCache>
            </c:numRef>
          </c:val>
          <c:extLst>
            <c:ext xmlns:c16="http://schemas.microsoft.com/office/drawing/2014/chart" uri="{C3380CC4-5D6E-409C-BE32-E72D297353CC}">
              <c16:uniqueId val="{00000005-5CA0-4020-9CBE-A9919087B4E3}"/>
            </c:ext>
          </c:extLst>
        </c:ser>
        <c:ser>
          <c:idx val="1"/>
          <c:order val="1"/>
          <c:tx>
            <c:strRef>
              <c:f>TABLICA!$C$43</c:f>
              <c:strCache>
                <c:ptCount val="1"/>
                <c:pt idx="0">
                  <c:v>2019</c:v>
                </c:pt>
              </c:strCache>
            </c:strRef>
          </c:tx>
          <c:spPr>
            <a:solidFill>
              <a:schemeClr val="accent2"/>
            </a:solidFill>
            <a:ln>
              <a:noFill/>
            </a:ln>
            <a:effectLst/>
          </c:spPr>
          <c:invertIfNegative val="0"/>
          <c:dLbls>
            <c:dLbl>
              <c:idx val="0"/>
              <c:layout>
                <c:manualLayout>
                  <c:x val="2.5462668816039986E-17"/>
                  <c:y val="0.143518518518518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CA0-4020-9CBE-A9919087B4E3}"/>
                </c:ext>
              </c:extLst>
            </c:dLbl>
            <c:dLbl>
              <c:idx val="1"/>
              <c:layout>
                <c:manualLayout>
                  <c:x val="-3.2819166393174217E-3"/>
                  <c:y val="0.172984435807740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CA0-4020-9CBE-A9919087B4E3}"/>
                </c:ext>
              </c:extLst>
            </c:dLbl>
            <c:dLbl>
              <c:idx val="2"/>
              <c:layout>
                <c:manualLayout>
                  <c:x val="0"/>
                  <c:y val="0.152042298560098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CA0-4020-9CBE-A9919087B4E3}"/>
                </c:ext>
              </c:extLst>
            </c:dLbl>
            <c:dLbl>
              <c:idx val="3"/>
              <c:layout>
                <c:manualLayout>
                  <c:x val="0"/>
                  <c:y val="0.176402292035100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CA0-4020-9CBE-A9919087B4E3}"/>
                </c:ext>
              </c:extLst>
            </c:dLbl>
            <c:dLbl>
              <c:idx val="4"/>
              <c:layout>
                <c:manualLayout>
                  <c:x val="-2.7777418863009699E-3"/>
                  <c:y val="0.172984435807740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CA0-4020-9CBE-A9919087B4E3}"/>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TABLICA!$A$44:$A$48</c:f>
              <c:strCache>
                <c:ptCount val="5"/>
                <c:pt idx="0">
                  <c:v>Olsztyn</c:v>
                </c:pt>
                <c:pt idx="1">
                  <c:v>Kielce</c:v>
                </c:pt>
                <c:pt idx="2">
                  <c:v>Białystok</c:v>
                </c:pt>
                <c:pt idx="3">
                  <c:v>Rzeszów</c:v>
                </c:pt>
                <c:pt idx="4">
                  <c:v>Lublin</c:v>
                </c:pt>
              </c:strCache>
            </c:strRef>
          </c:cat>
          <c:val>
            <c:numRef>
              <c:f>TABLICA!$C$44:$C$48</c:f>
              <c:numCache>
                <c:formatCode>General</c:formatCode>
                <c:ptCount val="5"/>
                <c:pt idx="0">
                  <c:v>107.1</c:v>
                </c:pt>
                <c:pt idx="1">
                  <c:v>99.3</c:v>
                </c:pt>
                <c:pt idx="2">
                  <c:v>107.6</c:v>
                </c:pt>
                <c:pt idx="3">
                  <c:v>102.5</c:v>
                </c:pt>
                <c:pt idx="4" formatCode="0.0">
                  <c:v>97</c:v>
                </c:pt>
              </c:numCache>
            </c:numRef>
          </c:val>
          <c:extLst>
            <c:ext xmlns:c16="http://schemas.microsoft.com/office/drawing/2014/chart" uri="{C3380CC4-5D6E-409C-BE32-E72D297353CC}">
              <c16:uniqueId val="{0000000B-5CA0-4020-9CBE-A9919087B4E3}"/>
            </c:ext>
          </c:extLst>
        </c:ser>
        <c:dLbls>
          <c:showLegendKey val="0"/>
          <c:showVal val="0"/>
          <c:showCatName val="0"/>
          <c:showSerName val="0"/>
          <c:showPercent val="0"/>
          <c:showBubbleSize val="0"/>
        </c:dLbls>
        <c:gapWidth val="219"/>
        <c:overlap val="-27"/>
        <c:axId val="427655096"/>
        <c:axId val="427650832"/>
      </c:barChart>
      <c:catAx>
        <c:axId val="427655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7650832"/>
        <c:crosses val="autoZero"/>
        <c:auto val="1"/>
        <c:lblAlgn val="ctr"/>
        <c:lblOffset val="100"/>
        <c:noMultiLvlLbl val="0"/>
      </c:catAx>
      <c:valAx>
        <c:axId val="427650832"/>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7655096"/>
        <c:crosses val="autoZero"/>
        <c:crossBetween val="between"/>
      </c:valAx>
      <c:spPr>
        <a:noFill/>
        <a:ln>
          <a:noFill/>
        </a:ln>
        <a:effectLst/>
      </c:spPr>
    </c:plotArea>
    <c:legend>
      <c:legendPos val="b"/>
      <c:layout>
        <c:manualLayout>
          <c:xMode val="edge"/>
          <c:yMode val="edge"/>
          <c:x val="0.39519111934741447"/>
          <c:y val="0.89608917419805278"/>
          <c:w val="0.22282100032099059"/>
          <c:h val="0.10391082580194717"/>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969225721784777"/>
          <c:y val="7.4490740740740746E-2"/>
          <c:w val="0.81808552055993"/>
          <c:h val="0.71220654709827935"/>
        </c:manualLayout>
      </c:layout>
      <c:lineChart>
        <c:grouping val="standard"/>
        <c:varyColors val="0"/>
        <c:ser>
          <c:idx val="0"/>
          <c:order val="0"/>
          <c:tx>
            <c:strRef>
              <c:f>TABLICA!$B$23</c:f>
              <c:strCache>
                <c:ptCount val="1"/>
                <c:pt idx="0">
                  <c:v>POLSKA</c:v>
                </c:pt>
              </c:strCache>
            </c:strRef>
          </c:tx>
          <c:spPr>
            <a:ln w="28575" cap="sq">
              <a:solidFill>
                <a:schemeClr val="accent1"/>
              </a:solidFill>
              <a:round/>
              <a:headEnd type="diamond"/>
              <a:tailEnd type="diamond"/>
            </a:ln>
            <a:effectLst/>
          </c:spPr>
          <c:marker>
            <c:symbol val="none"/>
          </c:marker>
          <c:dLbls>
            <c:dLbl>
              <c:idx val="0"/>
              <c:layout>
                <c:manualLayout>
                  <c:x val="-6.6838045145064681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C19-495D-9335-71FDE9F86DA7}"/>
                </c:ext>
              </c:extLst>
            </c:dLbl>
            <c:dLbl>
              <c:idx val="1"/>
              <c:delete val="1"/>
              <c:extLst>
                <c:ext xmlns:c15="http://schemas.microsoft.com/office/drawing/2012/chart" uri="{CE6537A1-D6FC-4f65-9D91-7224C49458BB}"/>
                <c:ext xmlns:c16="http://schemas.microsoft.com/office/drawing/2014/chart" uri="{C3380CC4-5D6E-409C-BE32-E72D297353CC}">
                  <c16:uniqueId val="{00000001-7C19-495D-9335-71FDE9F86DA7}"/>
                </c:ext>
              </c:extLst>
            </c:dLbl>
            <c:dLbl>
              <c:idx val="2"/>
              <c:delete val="1"/>
              <c:extLst>
                <c:ext xmlns:c15="http://schemas.microsoft.com/office/drawing/2012/chart" uri="{CE6537A1-D6FC-4f65-9D91-7224C49458BB}"/>
                <c:ext xmlns:c16="http://schemas.microsoft.com/office/drawing/2014/chart" uri="{C3380CC4-5D6E-409C-BE32-E72D297353CC}">
                  <c16:uniqueId val="{00000002-7C19-495D-9335-71FDE9F86DA7}"/>
                </c:ext>
              </c:extLst>
            </c:dLbl>
            <c:dLbl>
              <c:idx val="3"/>
              <c:delete val="1"/>
              <c:extLst>
                <c:ext xmlns:c15="http://schemas.microsoft.com/office/drawing/2012/chart" uri="{CE6537A1-D6FC-4f65-9D91-7224C49458BB}"/>
                <c:ext xmlns:c16="http://schemas.microsoft.com/office/drawing/2014/chart" uri="{C3380CC4-5D6E-409C-BE32-E72D297353CC}">
                  <c16:uniqueId val="{00000003-7C19-495D-9335-71FDE9F86DA7}"/>
                </c:ext>
              </c:extLst>
            </c:dLbl>
            <c:dLbl>
              <c:idx val="4"/>
              <c:delete val="1"/>
              <c:extLst>
                <c:ext xmlns:c15="http://schemas.microsoft.com/office/drawing/2012/chart" uri="{CE6537A1-D6FC-4f65-9D91-7224C49458BB}"/>
                <c:ext xmlns:c16="http://schemas.microsoft.com/office/drawing/2014/chart" uri="{C3380CC4-5D6E-409C-BE32-E72D297353CC}">
                  <c16:uniqueId val="{00000004-7C19-495D-9335-71FDE9F86DA7}"/>
                </c:ext>
              </c:extLst>
            </c:dLbl>
            <c:dLbl>
              <c:idx val="5"/>
              <c:delete val="1"/>
              <c:extLst>
                <c:ext xmlns:c15="http://schemas.microsoft.com/office/drawing/2012/chart" uri="{CE6537A1-D6FC-4f65-9D91-7224C49458BB}"/>
                <c:ext xmlns:c16="http://schemas.microsoft.com/office/drawing/2014/chart" uri="{C3380CC4-5D6E-409C-BE32-E72D297353CC}">
                  <c16:uniqueId val="{00000005-7C19-495D-9335-71FDE9F86DA7}"/>
                </c:ext>
              </c:extLst>
            </c:dLbl>
            <c:dLbl>
              <c:idx val="6"/>
              <c:layout>
                <c:manualLayout>
                  <c:x val="-5.5698370954220542E-3"/>
                  <c:y val="-3.70370370370370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C19-495D-9335-71FDE9F86DA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TABLICA!$C$22:$I$22</c:f>
              <c:strCache>
                <c:ptCount val="7"/>
                <c:pt idx="0">
                  <c:v>2013</c:v>
                </c:pt>
                <c:pt idx="1">
                  <c:v>2014</c:v>
                </c:pt>
                <c:pt idx="2">
                  <c:v>2015</c:v>
                </c:pt>
                <c:pt idx="3">
                  <c:v>2016</c:v>
                </c:pt>
                <c:pt idx="4">
                  <c:v>2017</c:v>
                </c:pt>
                <c:pt idx="5">
                  <c:v>2018</c:v>
                </c:pt>
                <c:pt idx="6">
                  <c:v>2019</c:v>
                </c:pt>
              </c:strCache>
            </c:strRef>
          </c:cat>
          <c:val>
            <c:numRef>
              <c:f>TABLICA!$C$23:$I$23</c:f>
              <c:numCache>
                <c:formatCode>#,##0.00</c:formatCode>
                <c:ptCount val="7"/>
                <c:pt idx="0">
                  <c:v>3877.43</c:v>
                </c:pt>
                <c:pt idx="1">
                  <c:v>4003.99</c:v>
                </c:pt>
                <c:pt idx="2">
                  <c:v>4150.8599999999997</c:v>
                </c:pt>
                <c:pt idx="3">
                  <c:v>4290.5200000000004</c:v>
                </c:pt>
                <c:pt idx="4">
                  <c:v>4527.8900000000003</c:v>
                </c:pt>
                <c:pt idx="5">
                  <c:v>4834.76</c:v>
                </c:pt>
                <c:pt idx="6">
                  <c:v>5181.63</c:v>
                </c:pt>
              </c:numCache>
            </c:numRef>
          </c:val>
          <c:smooth val="0"/>
          <c:extLst>
            <c:ext xmlns:c16="http://schemas.microsoft.com/office/drawing/2014/chart" uri="{C3380CC4-5D6E-409C-BE32-E72D297353CC}">
              <c16:uniqueId val="{00000007-7C19-495D-9335-71FDE9F86DA7}"/>
            </c:ext>
          </c:extLst>
        </c:ser>
        <c:ser>
          <c:idx val="1"/>
          <c:order val="1"/>
          <c:tx>
            <c:strRef>
              <c:f>TABLICA!$B$24</c:f>
              <c:strCache>
                <c:ptCount val="1"/>
                <c:pt idx="0">
                  <c:v>WARMIŃSKO-MAZURSKIE</c:v>
                </c:pt>
              </c:strCache>
            </c:strRef>
          </c:tx>
          <c:spPr>
            <a:ln w="28575" cap="rnd">
              <a:solidFill>
                <a:schemeClr val="accent2"/>
              </a:solidFill>
              <a:round/>
              <a:headEnd type="diamond"/>
              <a:tailEnd type="diamond"/>
            </a:ln>
            <a:effectLst/>
          </c:spPr>
          <c:marker>
            <c:symbol val="none"/>
          </c:marker>
          <c:dLbls>
            <c:dLbl>
              <c:idx val="0"/>
              <c:layout>
                <c:manualLayout>
                  <c:x val="-7.4737763952465994E-2"/>
                  <c:y val="-2.3148148148148234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C19-495D-9335-71FDE9F86DA7}"/>
                </c:ext>
              </c:extLst>
            </c:dLbl>
            <c:dLbl>
              <c:idx val="1"/>
              <c:delete val="1"/>
              <c:extLst>
                <c:ext xmlns:c15="http://schemas.microsoft.com/office/drawing/2012/chart" uri="{CE6537A1-D6FC-4f65-9D91-7224C49458BB}"/>
                <c:ext xmlns:c16="http://schemas.microsoft.com/office/drawing/2014/chart" uri="{C3380CC4-5D6E-409C-BE32-E72D297353CC}">
                  <c16:uniqueId val="{00000009-7C19-495D-9335-71FDE9F86DA7}"/>
                </c:ext>
              </c:extLst>
            </c:dLbl>
            <c:dLbl>
              <c:idx val="2"/>
              <c:delete val="1"/>
              <c:extLst>
                <c:ext xmlns:c15="http://schemas.microsoft.com/office/drawing/2012/chart" uri="{CE6537A1-D6FC-4f65-9D91-7224C49458BB}"/>
                <c:ext xmlns:c16="http://schemas.microsoft.com/office/drawing/2014/chart" uri="{C3380CC4-5D6E-409C-BE32-E72D297353CC}">
                  <c16:uniqueId val="{0000000A-7C19-495D-9335-71FDE9F86DA7}"/>
                </c:ext>
              </c:extLst>
            </c:dLbl>
            <c:dLbl>
              <c:idx val="3"/>
              <c:delete val="1"/>
              <c:extLst>
                <c:ext xmlns:c15="http://schemas.microsoft.com/office/drawing/2012/chart" uri="{CE6537A1-D6FC-4f65-9D91-7224C49458BB}"/>
                <c:ext xmlns:c16="http://schemas.microsoft.com/office/drawing/2014/chart" uri="{C3380CC4-5D6E-409C-BE32-E72D297353CC}">
                  <c16:uniqueId val="{0000000B-7C19-495D-9335-71FDE9F86DA7}"/>
                </c:ext>
              </c:extLst>
            </c:dLbl>
            <c:dLbl>
              <c:idx val="4"/>
              <c:delete val="1"/>
              <c:extLst>
                <c:ext xmlns:c15="http://schemas.microsoft.com/office/drawing/2012/chart" uri="{CE6537A1-D6FC-4f65-9D91-7224C49458BB}"/>
                <c:ext xmlns:c16="http://schemas.microsoft.com/office/drawing/2014/chart" uri="{C3380CC4-5D6E-409C-BE32-E72D297353CC}">
                  <c16:uniqueId val="{0000000C-7C19-495D-9335-71FDE9F86DA7}"/>
                </c:ext>
              </c:extLst>
            </c:dLbl>
            <c:dLbl>
              <c:idx val="5"/>
              <c:delete val="1"/>
              <c:extLst>
                <c:ext xmlns:c15="http://schemas.microsoft.com/office/drawing/2012/chart" uri="{CE6537A1-D6FC-4f65-9D91-7224C49458BB}"/>
                <c:ext xmlns:c16="http://schemas.microsoft.com/office/drawing/2014/chart" uri="{C3380CC4-5D6E-409C-BE32-E72D297353CC}">
                  <c16:uniqueId val="{0000000D-7C19-495D-9335-71FDE9F86DA7}"/>
                </c:ext>
              </c:extLst>
            </c:dLbl>
            <c:dLbl>
              <c:idx val="6"/>
              <c:layout>
                <c:manualLayout>
                  <c:x val="-5.5361306631456298E-3"/>
                  <c:y val="4.1666666666666664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C19-495D-9335-71FDE9F86DA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TABLICA!$C$22:$I$22</c:f>
              <c:strCache>
                <c:ptCount val="7"/>
                <c:pt idx="0">
                  <c:v>2013</c:v>
                </c:pt>
                <c:pt idx="1">
                  <c:v>2014</c:v>
                </c:pt>
                <c:pt idx="2">
                  <c:v>2015</c:v>
                </c:pt>
                <c:pt idx="3">
                  <c:v>2016</c:v>
                </c:pt>
                <c:pt idx="4">
                  <c:v>2017</c:v>
                </c:pt>
                <c:pt idx="5">
                  <c:v>2018</c:v>
                </c:pt>
                <c:pt idx="6">
                  <c:v>2019</c:v>
                </c:pt>
              </c:strCache>
            </c:strRef>
          </c:cat>
          <c:val>
            <c:numRef>
              <c:f>TABLICA!$C$24:$I$24</c:f>
              <c:numCache>
                <c:formatCode>#,##0.00</c:formatCode>
                <c:ptCount val="7"/>
                <c:pt idx="0">
                  <c:v>3264.63</c:v>
                </c:pt>
                <c:pt idx="1">
                  <c:v>3386.96</c:v>
                </c:pt>
                <c:pt idx="2">
                  <c:v>3495.02</c:v>
                </c:pt>
                <c:pt idx="3">
                  <c:v>3619.16</c:v>
                </c:pt>
                <c:pt idx="4">
                  <c:v>3802.98</c:v>
                </c:pt>
                <c:pt idx="5">
                  <c:v>4028.33</c:v>
                </c:pt>
                <c:pt idx="6">
                  <c:v>4319.51</c:v>
                </c:pt>
              </c:numCache>
            </c:numRef>
          </c:val>
          <c:smooth val="0"/>
          <c:extLst>
            <c:ext xmlns:c16="http://schemas.microsoft.com/office/drawing/2014/chart" uri="{C3380CC4-5D6E-409C-BE32-E72D297353CC}">
              <c16:uniqueId val="{0000000F-7C19-495D-9335-71FDE9F86DA7}"/>
            </c:ext>
          </c:extLst>
        </c:ser>
        <c:ser>
          <c:idx val="2"/>
          <c:order val="2"/>
          <c:tx>
            <c:strRef>
              <c:f>TABLICA!$B$25</c:f>
              <c:strCache>
                <c:ptCount val="1"/>
                <c:pt idx="0">
                  <c:v>Powiat olsztyński</c:v>
                </c:pt>
              </c:strCache>
            </c:strRef>
          </c:tx>
          <c:spPr>
            <a:ln w="28575" cap="rnd">
              <a:solidFill>
                <a:schemeClr val="accent3"/>
              </a:solidFill>
              <a:round/>
              <a:headEnd type="diamond"/>
              <a:tailEnd type="diamond"/>
            </a:ln>
            <a:effectLst/>
          </c:spPr>
          <c:marker>
            <c:symbol val="none"/>
          </c:marker>
          <c:dLbls>
            <c:dLbl>
              <c:idx val="0"/>
              <c:layout>
                <c:manualLayout>
                  <c:x val="-6.9606163151950243E-2"/>
                  <c:y val="3.2407407407407406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C19-495D-9335-71FDE9F86DA7}"/>
                </c:ext>
              </c:extLst>
            </c:dLbl>
            <c:dLbl>
              <c:idx val="1"/>
              <c:delete val="1"/>
              <c:extLst>
                <c:ext xmlns:c15="http://schemas.microsoft.com/office/drawing/2012/chart" uri="{CE6537A1-D6FC-4f65-9D91-7224C49458BB}"/>
                <c:ext xmlns:c16="http://schemas.microsoft.com/office/drawing/2014/chart" uri="{C3380CC4-5D6E-409C-BE32-E72D297353CC}">
                  <c16:uniqueId val="{00000011-7C19-495D-9335-71FDE9F86DA7}"/>
                </c:ext>
              </c:extLst>
            </c:dLbl>
            <c:dLbl>
              <c:idx val="2"/>
              <c:delete val="1"/>
              <c:extLst>
                <c:ext xmlns:c15="http://schemas.microsoft.com/office/drawing/2012/chart" uri="{CE6537A1-D6FC-4f65-9D91-7224C49458BB}"/>
                <c:ext xmlns:c16="http://schemas.microsoft.com/office/drawing/2014/chart" uri="{C3380CC4-5D6E-409C-BE32-E72D297353CC}">
                  <c16:uniqueId val="{00000012-7C19-495D-9335-71FDE9F86DA7}"/>
                </c:ext>
              </c:extLst>
            </c:dLbl>
            <c:dLbl>
              <c:idx val="3"/>
              <c:delete val="1"/>
              <c:extLst>
                <c:ext xmlns:c15="http://schemas.microsoft.com/office/drawing/2012/chart" uri="{CE6537A1-D6FC-4f65-9D91-7224C49458BB}"/>
                <c:ext xmlns:c16="http://schemas.microsoft.com/office/drawing/2014/chart" uri="{C3380CC4-5D6E-409C-BE32-E72D297353CC}">
                  <c16:uniqueId val="{00000013-7C19-495D-9335-71FDE9F86DA7}"/>
                </c:ext>
              </c:extLst>
            </c:dLbl>
            <c:dLbl>
              <c:idx val="4"/>
              <c:delete val="1"/>
              <c:extLst>
                <c:ext xmlns:c15="http://schemas.microsoft.com/office/drawing/2012/chart" uri="{CE6537A1-D6FC-4f65-9D91-7224C49458BB}"/>
                <c:ext xmlns:c16="http://schemas.microsoft.com/office/drawing/2014/chart" uri="{C3380CC4-5D6E-409C-BE32-E72D297353CC}">
                  <c16:uniqueId val="{00000014-7C19-495D-9335-71FDE9F86DA7}"/>
                </c:ext>
              </c:extLst>
            </c:dLbl>
            <c:dLbl>
              <c:idx val="5"/>
              <c:delete val="1"/>
              <c:extLst>
                <c:ext xmlns:c15="http://schemas.microsoft.com/office/drawing/2012/chart" uri="{CE6537A1-D6FC-4f65-9D91-7224C49458BB}"/>
                <c:ext xmlns:c16="http://schemas.microsoft.com/office/drawing/2014/chart" uri="{C3380CC4-5D6E-409C-BE32-E72D297353CC}">
                  <c16:uniqueId val="{00000015-7C19-495D-9335-71FDE9F86DA7}"/>
                </c:ext>
              </c:extLst>
            </c:dLbl>
            <c:dLbl>
              <c:idx val="6"/>
              <c:layout>
                <c:manualLayout>
                  <c:x val="-5.5698370954221565E-3"/>
                  <c:y val="-3.7037037037037125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7C19-495D-9335-71FDE9F86DA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TABLICA!$C$22:$I$22</c:f>
              <c:strCache>
                <c:ptCount val="7"/>
                <c:pt idx="0">
                  <c:v>2013</c:v>
                </c:pt>
                <c:pt idx="1">
                  <c:v>2014</c:v>
                </c:pt>
                <c:pt idx="2">
                  <c:v>2015</c:v>
                </c:pt>
                <c:pt idx="3">
                  <c:v>2016</c:v>
                </c:pt>
                <c:pt idx="4">
                  <c:v>2017</c:v>
                </c:pt>
                <c:pt idx="5">
                  <c:v>2018</c:v>
                </c:pt>
                <c:pt idx="6">
                  <c:v>2019</c:v>
                </c:pt>
              </c:strCache>
            </c:strRef>
          </c:cat>
          <c:val>
            <c:numRef>
              <c:f>TABLICA!$C$25:$I$25</c:f>
              <c:numCache>
                <c:formatCode>#,##0.00</c:formatCode>
                <c:ptCount val="7"/>
                <c:pt idx="0">
                  <c:v>3259.8</c:v>
                </c:pt>
                <c:pt idx="1">
                  <c:v>3370.1</c:v>
                </c:pt>
                <c:pt idx="2">
                  <c:v>3559.63</c:v>
                </c:pt>
                <c:pt idx="3">
                  <c:v>3635.09</c:v>
                </c:pt>
                <c:pt idx="4">
                  <c:v>3781.68</c:v>
                </c:pt>
                <c:pt idx="5">
                  <c:v>4049.63</c:v>
                </c:pt>
                <c:pt idx="6">
                  <c:v>4367.8100000000004</c:v>
                </c:pt>
              </c:numCache>
            </c:numRef>
          </c:val>
          <c:smooth val="0"/>
          <c:extLst>
            <c:ext xmlns:c16="http://schemas.microsoft.com/office/drawing/2014/chart" uri="{C3380CC4-5D6E-409C-BE32-E72D297353CC}">
              <c16:uniqueId val="{00000017-7C19-495D-9335-71FDE9F86DA7}"/>
            </c:ext>
          </c:extLst>
        </c:ser>
        <c:ser>
          <c:idx val="3"/>
          <c:order val="3"/>
          <c:tx>
            <c:strRef>
              <c:f>TABLICA!$B$26</c:f>
              <c:strCache>
                <c:ptCount val="1"/>
                <c:pt idx="0">
                  <c:v>Olsztyn</c:v>
                </c:pt>
              </c:strCache>
            </c:strRef>
          </c:tx>
          <c:spPr>
            <a:ln w="28575" cap="rnd">
              <a:solidFill>
                <a:schemeClr val="accent4"/>
              </a:solidFill>
              <a:round/>
              <a:headEnd type="diamond"/>
              <a:tailEnd type="diamond"/>
            </a:ln>
            <a:effectLst/>
          </c:spPr>
          <c:marker>
            <c:symbol val="none"/>
          </c:marker>
          <c:dLbls>
            <c:dLbl>
              <c:idx val="0"/>
              <c:layout>
                <c:manualLayout>
                  <c:x val="-6.9622963692775708E-2"/>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7C19-495D-9335-71FDE9F86DA7}"/>
                </c:ext>
              </c:extLst>
            </c:dLbl>
            <c:dLbl>
              <c:idx val="1"/>
              <c:delete val="1"/>
              <c:extLst>
                <c:ext xmlns:c15="http://schemas.microsoft.com/office/drawing/2012/chart" uri="{CE6537A1-D6FC-4f65-9D91-7224C49458BB}"/>
                <c:ext xmlns:c16="http://schemas.microsoft.com/office/drawing/2014/chart" uri="{C3380CC4-5D6E-409C-BE32-E72D297353CC}">
                  <c16:uniqueId val="{00000019-7C19-495D-9335-71FDE9F86DA7}"/>
                </c:ext>
              </c:extLst>
            </c:dLbl>
            <c:dLbl>
              <c:idx val="2"/>
              <c:delete val="1"/>
              <c:extLst>
                <c:ext xmlns:c15="http://schemas.microsoft.com/office/drawing/2012/chart" uri="{CE6537A1-D6FC-4f65-9D91-7224C49458BB}"/>
                <c:ext xmlns:c16="http://schemas.microsoft.com/office/drawing/2014/chart" uri="{C3380CC4-5D6E-409C-BE32-E72D297353CC}">
                  <c16:uniqueId val="{0000001A-7C19-495D-9335-71FDE9F86DA7}"/>
                </c:ext>
              </c:extLst>
            </c:dLbl>
            <c:dLbl>
              <c:idx val="3"/>
              <c:delete val="1"/>
              <c:extLst>
                <c:ext xmlns:c15="http://schemas.microsoft.com/office/drawing/2012/chart" uri="{CE6537A1-D6FC-4f65-9D91-7224C49458BB}"/>
                <c:ext xmlns:c16="http://schemas.microsoft.com/office/drawing/2014/chart" uri="{C3380CC4-5D6E-409C-BE32-E72D297353CC}">
                  <c16:uniqueId val="{0000001B-7C19-495D-9335-71FDE9F86DA7}"/>
                </c:ext>
              </c:extLst>
            </c:dLbl>
            <c:dLbl>
              <c:idx val="4"/>
              <c:delete val="1"/>
              <c:extLst>
                <c:ext xmlns:c15="http://schemas.microsoft.com/office/drawing/2012/chart" uri="{CE6537A1-D6FC-4f65-9D91-7224C49458BB}"/>
                <c:ext xmlns:c16="http://schemas.microsoft.com/office/drawing/2014/chart" uri="{C3380CC4-5D6E-409C-BE32-E72D297353CC}">
                  <c16:uniqueId val="{0000001C-7C19-495D-9335-71FDE9F86DA7}"/>
                </c:ext>
              </c:extLst>
            </c:dLbl>
            <c:dLbl>
              <c:idx val="5"/>
              <c:delete val="1"/>
              <c:extLst>
                <c:ext xmlns:c15="http://schemas.microsoft.com/office/drawing/2012/chart" uri="{CE6537A1-D6FC-4f65-9D91-7224C49458BB}"/>
                <c:ext xmlns:c16="http://schemas.microsoft.com/office/drawing/2014/chart" uri="{C3380CC4-5D6E-409C-BE32-E72D297353CC}">
                  <c16:uniqueId val="{0000001D-7C19-495D-9335-71FDE9F86DA7}"/>
                </c:ext>
              </c:extLst>
            </c:dLbl>
            <c:dLbl>
              <c:idx val="6"/>
              <c:layout>
                <c:manualLayout>
                  <c:x val="0"/>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7C19-495D-9335-71FDE9F86DA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TABLICA!$C$22:$I$22</c:f>
              <c:strCache>
                <c:ptCount val="7"/>
                <c:pt idx="0">
                  <c:v>2013</c:v>
                </c:pt>
                <c:pt idx="1">
                  <c:v>2014</c:v>
                </c:pt>
                <c:pt idx="2">
                  <c:v>2015</c:v>
                </c:pt>
                <c:pt idx="3">
                  <c:v>2016</c:v>
                </c:pt>
                <c:pt idx="4">
                  <c:v>2017</c:v>
                </c:pt>
                <c:pt idx="5">
                  <c:v>2018</c:v>
                </c:pt>
                <c:pt idx="6">
                  <c:v>2019</c:v>
                </c:pt>
              </c:strCache>
            </c:strRef>
          </c:cat>
          <c:val>
            <c:numRef>
              <c:f>TABLICA!$C$26:$I$26</c:f>
              <c:numCache>
                <c:formatCode>#,##0.00</c:formatCode>
                <c:ptCount val="7"/>
                <c:pt idx="0">
                  <c:v>3795.3</c:v>
                </c:pt>
                <c:pt idx="1">
                  <c:v>3954.4</c:v>
                </c:pt>
                <c:pt idx="2">
                  <c:v>4104.05</c:v>
                </c:pt>
                <c:pt idx="3">
                  <c:v>4254.72</c:v>
                </c:pt>
                <c:pt idx="4">
                  <c:v>4427.76</c:v>
                </c:pt>
                <c:pt idx="5">
                  <c:v>4648.58</c:v>
                </c:pt>
                <c:pt idx="6">
                  <c:v>5018.92</c:v>
                </c:pt>
              </c:numCache>
            </c:numRef>
          </c:val>
          <c:smooth val="0"/>
          <c:extLst>
            <c:ext xmlns:c16="http://schemas.microsoft.com/office/drawing/2014/chart" uri="{C3380CC4-5D6E-409C-BE32-E72D297353CC}">
              <c16:uniqueId val="{0000001F-7C19-495D-9335-71FDE9F86DA7}"/>
            </c:ext>
          </c:extLst>
        </c:ser>
        <c:dLbls>
          <c:showLegendKey val="0"/>
          <c:showVal val="0"/>
          <c:showCatName val="0"/>
          <c:showSerName val="0"/>
          <c:showPercent val="0"/>
          <c:showBubbleSize val="0"/>
        </c:dLbls>
        <c:smooth val="0"/>
        <c:axId val="315027480"/>
        <c:axId val="315020264"/>
      </c:lineChart>
      <c:catAx>
        <c:axId val="315027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315020264"/>
        <c:crosses val="autoZero"/>
        <c:auto val="1"/>
        <c:lblAlgn val="ctr"/>
        <c:lblOffset val="100"/>
        <c:noMultiLvlLbl val="0"/>
      </c:catAx>
      <c:valAx>
        <c:axId val="315020264"/>
        <c:scaling>
          <c:orientation val="minMax"/>
          <c:min val="3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315027480"/>
        <c:crosses val="autoZero"/>
        <c:crossBetween val="between"/>
        <c:majorUnit val="2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TABLICA!$B$13</c:f>
              <c:strCache>
                <c:ptCount val="1"/>
                <c:pt idx="0">
                  <c:v>2013</c:v>
                </c:pt>
              </c:strCache>
            </c:strRef>
          </c:tx>
          <c:spPr>
            <a:solidFill>
              <a:schemeClr val="accent1"/>
            </a:solidFill>
            <a:ln>
              <a:noFill/>
            </a:ln>
            <a:effectLst/>
          </c:spPr>
          <c:invertIfNegative val="0"/>
          <c:dLbls>
            <c:dLbl>
              <c:idx val="0"/>
              <c:layout>
                <c:manualLayout>
                  <c:x val="0"/>
                  <c:y val="0.1450860969672109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BA7-482C-AE7F-F4341F38FBCF}"/>
                </c:ext>
              </c:extLst>
            </c:dLbl>
            <c:dLbl>
              <c:idx val="1"/>
              <c:layout>
                <c:manualLayout>
                  <c:x val="0"/>
                  <c:y val="0.140456657244005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BA7-482C-AE7F-F4341F38FBCF}"/>
                </c:ext>
              </c:extLst>
            </c:dLbl>
            <c:dLbl>
              <c:idx val="2"/>
              <c:layout>
                <c:manualLayout>
                  <c:x val="0"/>
                  <c:y val="0.140456657244005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BA7-482C-AE7F-F4341F38FBCF}"/>
                </c:ext>
              </c:extLst>
            </c:dLbl>
            <c:dLbl>
              <c:idx val="3"/>
              <c:layout>
                <c:manualLayout>
                  <c:x val="-1.153570649523284E-16"/>
                  <c:y val="0.14045665724400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BA7-482C-AE7F-F4341F38FBCF}"/>
                </c:ext>
              </c:extLst>
            </c:dLbl>
            <c:dLbl>
              <c:idx val="4"/>
              <c:layout>
                <c:manualLayout>
                  <c:x val="-1.153570649523284E-16"/>
                  <c:y val="0.151781685556576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BA7-482C-AE7F-F4341F38FBCF}"/>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TABLICA!$A$14:$A$18</c:f>
              <c:strCache>
                <c:ptCount val="5"/>
                <c:pt idx="0">
                  <c:v>Olsztyn</c:v>
                </c:pt>
                <c:pt idx="1">
                  <c:v>Kielce</c:v>
                </c:pt>
                <c:pt idx="2">
                  <c:v>Białystok</c:v>
                </c:pt>
                <c:pt idx="3">
                  <c:v>Rzeszów</c:v>
                </c:pt>
                <c:pt idx="4">
                  <c:v>Lublin</c:v>
                </c:pt>
              </c:strCache>
            </c:strRef>
          </c:cat>
          <c:val>
            <c:numRef>
              <c:f>TABLICA!$B$14:$B$18</c:f>
              <c:numCache>
                <c:formatCode>#,##0</c:formatCode>
                <c:ptCount val="5"/>
                <c:pt idx="0">
                  <c:v>894</c:v>
                </c:pt>
                <c:pt idx="1">
                  <c:v>853</c:v>
                </c:pt>
                <c:pt idx="2">
                  <c:v>900</c:v>
                </c:pt>
                <c:pt idx="3">
                  <c:v>919</c:v>
                </c:pt>
                <c:pt idx="4">
                  <c:v>939</c:v>
                </c:pt>
              </c:numCache>
            </c:numRef>
          </c:val>
          <c:extLst>
            <c:ext xmlns:c16="http://schemas.microsoft.com/office/drawing/2014/chart" uri="{C3380CC4-5D6E-409C-BE32-E72D297353CC}">
              <c16:uniqueId val="{00000005-6BA7-482C-AE7F-F4341F38FBCF}"/>
            </c:ext>
          </c:extLst>
        </c:ser>
        <c:ser>
          <c:idx val="1"/>
          <c:order val="1"/>
          <c:tx>
            <c:strRef>
              <c:f>TABLICA!$C$13</c:f>
              <c:strCache>
                <c:ptCount val="1"/>
                <c:pt idx="0">
                  <c:v>2019</c:v>
                </c:pt>
              </c:strCache>
            </c:strRef>
          </c:tx>
          <c:spPr>
            <a:solidFill>
              <a:schemeClr val="accent2"/>
            </a:solidFill>
            <a:ln>
              <a:noFill/>
            </a:ln>
            <a:effectLst/>
          </c:spPr>
          <c:invertIfNegative val="0"/>
          <c:dLbls>
            <c:dLbl>
              <c:idx val="0"/>
              <c:layout>
                <c:manualLayout>
                  <c:x val="0"/>
                  <c:y val="0.138888888888888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BA7-482C-AE7F-F4341F38FBCF}"/>
                </c:ext>
              </c:extLst>
            </c:dLbl>
            <c:dLbl>
              <c:idx val="1"/>
              <c:layout>
                <c:manualLayout>
                  <c:x val="0"/>
                  <c:y val="0.1275639596579306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BA7-482C-AE7F-F4341F38FBCF}"/>
                </c:ext>
              </c:extLst>
            </c:dLbl>
            <c:dLbl>
              <c:idx val="2"/>
              <c:layout>
                <c:manualLayout>
                  <c:x val="0"/>
                  <c:y val="0.134259259259259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BA7-482C-AE7F-F4341F38FBCF}"/>
                </c:ext>
              </c:extLst>
            </c:dLbl>
            <c:dLbl>
              <c:idx val="3"/>
              <c:layout>
                <c:manualLayout>
                  <c:x val="0"/>
                  <c:y val="0.1672015587519283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BA7-482C-AE7F-F4341F38FBCF}"/>
                </c:ext>
              </c:extLst>
            </c:dLbl>
            <c:dLbl>
              <c:idx val="4"/>
              <c:layout>
                <c:manualLayout>
                  <c:x val="-1.153570649523284E-16"/>
                  <c:y val="0.140456657244005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BA7-482C-AE7F-F4341F38FBCF}"/>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TABLICA!$A$14:$A$18</c:f>
              <c:strCache>
                <c:ptCount val="5"/>
                <c:pt idx="0">
                  <c:v>Olsztyn</c:v>
                </c:pt>
                <c:pt idx="1">
                  <c:v>Kielce</c:v>
                </c:pt>
                <c:pt idx="2">
                  <c:v>Białystok</c:v>
                </c:pt>
                <c:pt idx="3">
                  <c:v>Rzeszów</c:v>
                </c:pt>
                <c:pt idx="4">
                  <c:v>Lublin</c:v>
                </c:pt>
              </c:strCache>
            </c:strRef>
          </c:cat>
          <c:val>
            <c:numRef>
              <c:f>TABLICA!$C$14:$C$18</c:f>
              <c:numCache>
                <c:formatCode>#,##0</c:formatCode>
                <c:ptCount val="5"/>
                <c:pt idx="0">
                  <c:v>1071</c:v>
                </c:pt>
                <c:pt idx="1">
                  <c:v>993</c:v>
                </c:pt>
                <c:pt idx="2">
                  <c:v>1076</c:v>
                </c:pt>
                <c:pt idx="3">
                  <c:v>1025</c:v>
                </c:pt>
                <c:pt idx="4">
                  <c:v>970</c:v>
                </c:pt>
              </c:numCache>
            </c:numRef>
          </c:val>
          <c:extLst>
            <c:ext xmlns:c16="http://schemas.microsoft.com/office/drawing/2014/chart" uri="{C3380CC4-5D6E-409C-BE32-E72D297353CC}">
              <c16:uniqueId val="{0000000B-6BA7-482C-AE7F-F4341F38FBCF}"/>
            </c:ext>
          </c:extLst>
        </c:ser>
        <c:dLbls>
          <c:showLegendKey val="0"/>
          <c:showVal val="0"/>
          <c:showCatName val="0"/>
          <c:showSerName val="0"/>
          <c:showPercent val="0"/>
          <c:showBubbleSize val="0"/>
        </c:dLbls>
        <c:gapWidth val="219"/>
        <c:overlap val="-27"/>
        <c:axId val="314381832"/>
        <c:axId val="314382160"/>
      </c:barChart>
      <c:catAx>
        <c:axId val="314381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14382160"/>
        <c:crosses val="autoZero"/>
        <c:auto val="1"/>
        <c:lblAlgn val="ctr"/>
        <c:lblOffset val="100"/>
        <c:noMultiLvlLbl val="0"/>
      </c:catAx>
      <c:valAx>
        <c:axId val="3143821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14381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TABLICA!$C$49</c:f>
              <c:strCache>
                <c:ptCount val="1"/>
                <c:pt idx="0">
                  <c:v>2013</c:v>
                </c:pt>
              </c:strCache>
            </c:strRef>
          </c:tx>
          <c:spPr>
            <a:solidFill>
              <a:schemeClr val="accent1"/>
            </a:solidFill>
            <a:ln>
              <a:noFill/>
            </a:ln>
            <a:effectLst/>
          </c:spPr>
          <c:invertIfNegative val="0"/>
          <c:dLbls>
            <c:dLbl>
              <c:idx val="0"/>
              <c:layout>
                <c:manualLayout>
                  <c:x val="0"/>
                  <c:y val="0.2090395480225988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7EE-4CEE-B2C6-EB7748ED6B13}"/>
                </c:ext>
              </c:extLst>
            </c:dLbl>
            <c:dLbl>
              <c:idx val="1"/>
              <c:layout>
                <c:manualLayout>
                  <c:x val="0"/>
                  <c:y val="0.197740112994350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7EE-4CEE-B2C6-EB7748ED6B13}"/>
                </c:ext>
              </c:extLst>
            </c:dLbl>
            <c:dLbl>
              <c:idx val="2"/>
              <c:layout>
                <c:manualLayout>
                  <c:x val="0"/>
                  <c:y val="0.197740112994350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7EE-4CEE-B2C6-EB7748ED6B13}"/>
                </c:ext>
              </c:extLst>
            </c:dLbl>
            <c:dLbl>
              <c:idx val="3"/>
              <c:layout>
                <c:manualLayout>
                  <c:x val="-1.2327260714456556E-16"/>
                  <c:y val="0.197740112994350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7EE-4CEE-B2C6-EB7748ED6B13}"/>
                </c:ext>
              </c:extLst>
            </c:dLbl>
            <c:dLbl>
              <c:idx val="4"/>
              <c:layout>
                <c:manualLayout>
                  <c:x val="0"/>
                  <c:y val="0.197740112994350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7EE-4CEE-B2C6-EB7748ED6B13}"/>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TABLICA!$B$50:$B$54</c:f>
              <c:strCache>
                <c:ptCount val="5"/>
                <c:pt idx="0">
                  <c:v>Olsztyn</c:v>
                </c:pt>
                <c:pt idx="1">
                  <c:v>Kielce</c:v>
                </c:pt>
                <c:pt idx="2">
                  <c:v>Białystok</c:v>
                </c:pt>
                <c:pt idx="3">
                  <c:v>Rzeszów</c:v>
                </c:pt>
                <c:pt idx="4">
                  <c:v>Lublin</c:v>
                </c:pt>
              </c:strCache>
            </c:strRef>
          </c:cat>
          <c:val>
            <c:numRef>
              <c:f>TABLICA!$C$50:$C$54</c:f>
              <c:numCache>
                <c:formatCode>0.0%</c:formatCode>
                <c:ptCount val="5"/>
                <c:pt idx="0">
                  <c:v>1.1003000000000001</c:v>
                </c:pt>
                <c:pt idx="1">
                  <c:v>1.0190999999999999</c:v>
                </c:pt>
                <c:pt idx="2">
                  <c:v>1.0692999999999999</c:v>
                </c:pt>
                <c:pt idx="3">
                  <c:v>1.0487</c:v>
                </c:pt>
                <c:pt idx="4">
                  <c:v>1.075</c:v>
                </c:pt>
              </c:numCache>
            </c:numRef>
          </c:val>
          <c:extLst>
            <c:ext xmlns:c16="http://schemas.microsoft.com/office/drawing/2014/chart" uri="{C3380CC4-5D6E-409C-BE32-E72D297353CC}">
              <c16:uniqueId val="{00000005-67EE-4CEE-B2C6-EB7748ED6B13}"/>
            </c:ext>
          </c:extLst>
        </c:ser>
        <c:ser>
          <c:idx val="1"/>
          <c:order val="1"/>
          <c:tx>
            <c:strRef>
              <c:f>TABLICA!$D$49</c:f>
              <c:strCache>
                <c:ptCount val="1"/>
                <c:pt idx="0">
                  <c:v>2019</c:v>
                </c:pt>
              </c:strCache>
            </c:strRef>
          </c:tx>
          <c:spPr>
            <a:solidFill>
              <a:schemeClr val="accent2"/>
            </a:solidFill>
            <a:ln>
              <a:noFill/>
            </a:ln>
            <a:effectLst/>
          </c:spPr>
          <c:invertIfNegative val="0"/>
          <c:dLbls>
            <c:dLbl>
              <c:idx val="0"/>
              <c:layout>
                <c:manualLayout>
                  <c:x val="0"/>
                  <c:y val="0.197740112994350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7EE-4CEE-B2C6-EB7748ED6B13}"/>
                </c:ext>
              </c:extLst>
            </c:dLbl>
            <c:dLbl>
              <c:idx val="1"/>
              <c:layout>
                <c:manualLayout>
                  <c:x val="0"/>
                  <c:y val="0.203389830508474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7EE-4CEE-B2C6-EB7748ED6B13}"/>
                </c:ext>
              </c:extLst>
            </c:dLbl>
            <c:dLbl>
              <c:idx val="2"/>
              <c:layout>
                <c:manualLayout>
                  <c:x val="6.1636303572282779E-17"/>
                  <c:y val="0.192090395480225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7EE-4CEE-B2C6-EB7748ED6B13}"/>
                </c:ext>
              </c:extLst>
            </c:dLbl>
            <c:dLbl>
              <c:idx val="3"/>
              <c:layout>
                <c:manualLayout>
                  <c:x val="0"/>
                  <c:y val="0.197740112994350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7EE-4CEE-B2C6-EB7748ED6B13}"/>
                </c:ext>
              </c:extLst>
            </c:dLbl>
            <c:dLbl>
              <c:idx val="4"/>
              <c:layout>
                <c:manualLayout>
                  <c:x val="-3.362019032733888E-3"/>
                  <c:y val="0.197740112994350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7EE-4CEE-B2C6-EB7748ED6B13}"/>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TABLICA!$B$50:$B$54</c:f>
              <c:strCache>
                <c:ptCount val="5"/>
                <c:pt idx="0">
                  <c:v>Olsztyn</c:v>
                </c:pt>
                <c:pt idx="1">
                  <c:v>Kielce</c:v>
                </c:pt>
                <c:pt idx="2">
                  <c:v>Białystok</c:v>
                </c:pt>
                <c:pt idx="3">
                  <c:v>Rzeszów</c:v>
                </c:pt>
                <c:pt idx="4">
                  <c:v>Lublin</c:v>
                </c:pt>
              </c:strCache>
            </c:strRef>
          </c:cat>
          <c:val>
            <c:numRef>
              <c:f>TABLICA!$D$50:$D$54</c:f>
              <c:numCache>
                <c:formatCode>0.0%</c:formatCode>
                <c:ptCount val="5"/>
                <c:pt idx="0">
                  <c:v>1.0593999999999999</c:v>
                </c:pt>
                <c:pt idx="1">
                  <c:v>1.0259</c:v>
                </c:pt>
                <c:pt idx="2">
                  <c:v>1.0946</c:v>
                </c:pt>
                <c:pt idx="3">
                  <c:v>1.0586</c:v>
                </c:pt>
                <c:pt idx="4">
                  <c:v>1.0656000000000001</c:v>
                </c:pt>
              </c:numCache>
            </c:numRef>
          </c:val>
          <c:extLst>
            <c:ext xmlns:c16="http://schemas.microsoft.com/office/drawing/2014/chart" uri="{C3380CC4-5D6E-409C-BE32-E72D297353CC}">
              <c16:uniqueId val="{0000000B-67EE-4CEE-B2C6-EB7748ED6B13}"/>
            </c:ext>
          </c:extLst>
        </c:ser>
        <c:dLbls>
          <c:showLegendKey val="0"/>
          <c:showVal val="0"/>
          <c:showCatName val="0"/>
          <c:showSerName val="0"/>
          <c:showPercent val="0"/>
          <c:showBubbleSize val="0"/>
        </c:dLbls>
        <c:gapWidth val="219"/>
        <c:overlap val="-27"/>
        <c:axId val="423930656"/>
        <c:axId val="423929344"/>
      </c:barChart>
      <c:catAx>
        <c:axId val="423930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3929344"/>
        <c:crosses val="autoZero"/>
        <c:auto val="1"/>
        <c:lblAlgn val="ctr"/>
        <c:lblOffset val="100"/>
        <c:noMultiLvlLbl val="0"/>
      </c:catAx>
      <c:valAx>
        <c:axId val="423929344"/>
        <c:scaling>
          <c:orientation val="minMax"/>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3930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TABLICA!$C$15</c:f>
              <c:strCache>
                <c:ptCount val="1"/>
                <c:pt idx="0">
                  <c:v>2013</c:v>
                </c:pt>
              </c:strCache>
            </c:strRef>
          </c:tx>
          <c:spPr>
            <a:solidFill>
              <a:schemeClr val="accent1"/>
            </a:solidFill>
            <a:ln>
              <a:noFill/>
            </a:ln>
            <a:effectLst/>
          </c:spPr>
          <c:invertIfNegative val="0"/>
          <c:dLbls>
            <c:dLbl>
              <c:idx val="0"/>
              <c:layout>
                <c:manualLayout>
                  <c:x val="0"/>
                  <c:y val="0.1328324863546278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218-42C9-8816-3FED0E85FD31}"/>
                </c:ext>
              </c:extLst>
            </c:dLbl>
            <c:dLbl>
              <c:idx val="1"/>
              <c:layout>
                <c:manualLayout>
                  <c:x val="0"/>
                  <c:y val="0.133633356921886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218-42C9-8816-3FED0E85FD31}"/>
                </c:ext>
              </c:extLst>
            </c:dLbl>
            <c:dLbl>
              <c:idx val="2"/>
              <c:layout>
                <c:manualLayout>
                  <c:x val="5.7326834107407093E-17"/>
                  <c:y val="0.1344337999020825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218-42C9-8816-3FED0E85FD31}"/>
                </c:ext>
              </c:extLst>
            </c:dLbl>
            <c:dLbl>
              <c:idx val="3"/>
              <c:layout>
                <c:manualLayout>
                  <c:x val="0"/>
                  <c:y val="0.1382628420429254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218-42C9-8816-3FED0E85FD31}"/>
                </c:ext>
              </c:extLst>
            </c:dLbl>
            <c:dLbl>
              <c:idx val="4"/>
              <c:layout>
                <c:manualLayout>
                  <c:x val="0"/>
                  <c:y val="0.143693197731223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218-42C9-8816-3FED0E85FD31}"/>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TABLICA!$B$16:$B$20</c:f>
              <c:strCache>
                <c:ptCount val="5"/>
                <c:pt idx="0">
                  <c:v>Olsztyn</c:v>
                </c:pt>
                <c:pt idx="1">
                  <c:v>Kielce</c:v>
                </c:pt>
                <c:pt idx="2">
                  <c:v>Białystok</c:v>
                </c:pt>
                <c:pt idx="3">
                  <c:v>Rzeszów</c:v>
                </c:pt>
                <c:pt idx="4">
                  <c:v>Lublin</c:v>
                </c:pt>
              </c:strCache>
            </c:strRef>
          </c:cat>
          <c:val>
            <c:numRef>
              <c:f>TABLICA!$C$16:$C$20</c:f>
              <c:numCache>
                <c:formatCode>#,##0</c:formatCode>
                <c:ptCount val="5"/>
                <c:pt idx="0">
                  <c:v>147</c:v>
                </c:pt>
                <c:pt idx="1">
                  <c:v>152</c:v>
                </c:pt>
                <c:pt idx="2">
                  <c:v>294</c:v>
                </c:pt>
                <c:pt idx="3">
                  <c:v>175</c:v>
                </c:pt>
                <c:pt idx="4">
                  <c:v>276</c:v>
                </c:pt>
              </c:numCache>
            </c:numRef>
          </c:val>
          <c:extLst>
            <c:ext xmlns:c16="http://schemas.microsoft.com/office/drawing/2014/chart" uri="{C3380CC4-5D6E-409C-BE32-E72D297353CC}">
              <c16:uniqueId val="{00000005-B218-42C9-8816-3FED0E85FD31}"/>
            </c:ext>
          </c:extLst>
        </c:ser>
        <c:ser>
          <c:idx val="1"/>
          <c:order val="1"/>
          <c:tx>
            <c:strRef>
              <c:f>TABLICA!$D$15</c:f>
              <c:strCache>
                <c:ptCount val="1"/>
                <c:pt idx="0">
                  <c:v>2019</c:v>
                </c:pt>
              </c:strCache>
            </c:strRef>
          </c:tx>
          <c:spPr>
            <a:solidFill>
              <a:schemeClr val="accent2"/>
            </a:solidFill>
            <a:ln>
              <a:noFill/>
            </a:ln>
            <a:effectLst/>
          </c:spPr>
          <c:invertIfNegative val="0"/>
          <c:dLbls>
            <c:dLbl>
              <c:idx val="0"/>
              <c:layout>
                <c:manualLayout>
                  <c:x val="0"/>
                  <c:y val="0.128203001233588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218-42C9-8816-3FED0E85FD31}"/>
                </c:ext>
              </c:extLst>
            </c:dLbl>
            <c:dLbl>
              <c:idx val="1"/>
              <c:layout>
                <c:manualLayout>
                  <c:x val="3.1269543464665416E-3"/>
                  <c:y val="0.1382628420429254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218-42C9-8816-3FED0E85FD31}"/>
                </c:ext>
              </c:extLst>
            </c:dLbl>
            <c:dLbl>
              <c:idx val="2"/>
              <c:layout>
                <c:manualLayout>
                  <c:x val="3.1269543464665416E-3"/>
                  <c:y val="0.139063712610183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218-42C9-8816-3FED0E85FD31}"/>
                </c:ext>
              </c:extLst>
            </c:dLbl>
            <c:dLbl>
              <c:idx val="3"/>
              <c:layout>
                <c:manualLayout>
                  <c:x val="0"/>
                  <c:y val="0.128203001233588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218-42C9-8816-3FED0E85FD31}"/>
                </c:ext>
              </c:extLst>
            </c:dLbl>
            <c:dLbl>
              <c:idx val="4"/>
              <c:layout>
                <c:manualLayout>
                  <c:x val="-1.1465366821481419E-16"/>
                  <c:y val="0.138262842042925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218-42C9-8816-3FED0E85FD31}"/>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TABLICA!$B$16:$B$20</c:f>
              <c:strCache>
                <c:ptCount val="5"/>
                <c:pt idx="0">
                  <c:v>Olsztyn</c:v>
                </c:pt>
                <c:pt idx="1">
                  <c:v>Kielce</c:v>
                </c:pt>
                <c:pt idx="2">
                  <c:v>Białystok</c:v>
                </c:pt>
                <c:pt idx="3">
                  <c:v>Rzeszów</c:v>
                </c:pt>
                <c:pt idx="4">
                  <c:v>Lublin</c:v>
                </c:pt>
              </c:strCache>
            </c:strRef>
          </c:cat>
          <c:val>
            <c:numRef>
              <c:f>TABLICA!$D$16:$D$20</c:f>
              <c:numCache>
                <c:formatCode>#,##0</c:formatCode>
                <c:ptCount val="5"/>
                <c:pt idx="0">
                  <c:v>174</c:v>
                </c:pt>
                <c:pt idx="1">
                  <c:v>192</c:v>
                </c:pt>
                <c:pt idx="2">
                  <c:v>300</c:v>
                </c:pt>
                <c:pt idx="3">
                  <c:v>201</c:v>
                </c:pt>
                <c:pt idx="4">
                  <c:v>309</c:v>
                </c:pt>
              </c:numCache>
            </c:numRef>
          </c:val>
          <c:extLst>
            <c:ext xmlns:c16="http://schemas.microsoft.com/office/drawing/2014/chart" uri="{C3380CC4-5D6E-409C-BE32-E72D297353CC}">
              <c16:uniqueId val="{0000000B-B218-42C9-8816-3FED0E85FD31}"/>
            </c:ext>
          </c:extLst>
        </c:ser>
        <c:dLbls>
          <c:showLegendKey val="0"/>
          <c:showVal val="0"/>
          <c:showCatName val="0"/>
          <c:showSerName val="0"/>
          <c:showPercent val="0"/>
          <c:showBubbleSize val="0"/>
        </c:dLbls>
        <c:gapWidth val="219"/>
        <c:overlap val="-27"/>
        <c:axId val="427268480"/>
        <c:axId val="427268808"/>
      </c:barChart>
      <c:catAx>
        <c:axId val="427268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7268808"/>
        <c:crosses val="autoZero"/>
        <c:auto val="1"/>
        <c:lblAlgn val="ctr"/>
        <c:lblOffset val="100"/>
        <c:noMultiLvlLbl val="0"/>
      </c:catAx>
      <c:valAx>
        <c:axId val="4272688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7268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TABLICA!$C$43</c:f>
              <c:strCache>
                <c:ptCount val="1"/>
                <c:pt idx="0">
                  <c:v>2013</c:v>
                </c:pt>
              </c:strCache>
            </c:strRef>
          </c:tx>
          <c:spPr>
            <a:solidFill>
              <a:schemeClr val="accent1"/>
            </a:solidFill>
            <a:ln>
              <a:noFill/>
            </a:ln>
            <a:effectLst/>
          </c:spPr>
          <c:invertIfNegative val="0"/>
          <c:dLbls>
            <c:dLbl>
              <c:idx val="0"/>
              <c:layout>
                <c:manualLayout>
                  <c:x val="-2.9583865656848138E-17"/>
                  <c:y val="0.246580270317483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D07-4739-AC71-65720FA7BC77}"/>
                </c:ext>
              </c:extLst>
            </c:dLbl>
            <c:dLbl>
              <c:idx val="1"/>
              <c:layout>
                <c:manualLayout>
                  <c:x val="0"/>
                  <c:y val="0.2503613506816167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D07-4739-AC71-65720FA7BC77}"/>
                </c:ext>
              </c:extLst>
            </c:dLbl>
            <c:dLbl>
              <c:idx val="2"/>
              <c:layout>
                <c:manualLayout>
                  <c:x val="-5.9167731313696275E-17"/>
                  <c:y val="0.260468817733033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D07-4739-AC71-65720FA7BC77}"/>
                </c:ext>
              </c:extLst>
            </c:dLbl>
            <c:dLbl>
              <c:idx val="3"/>
              <c:layout>
                <c:manualLayout>
                  <c:x val="-1.1833546262739255E-16"/>
                  <c:y val="0.245357004984073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D07-4739-AC71-65720FA7BC77}"/>
                </c:ext>
              </c:extLst>
            </c:dLbl>
            <c:dLbl>
              <c:idx val="4"/>
              <c:layout>
                <c:manualLayout>
                  <c:x val="-1.1833546262739255E-16"/>
                  <c:y val="0.178486748318333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D07-4739-AC71-65720FA7BC77}"/>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TABLICA!$B$44:$B$48</c:f>
              <c:strCache>
                <c:ptCount val="5"/>
                <c:pt idx="0">
                  <c:v>Olsztyn</c:v>
                </c:pt>
                <c:pt idx="1">
                  <c:v>Kielce</c:v>
                </c:pt>
                <c:pt idx="2">
                  <c:v>Białystok</c:v>
                </c:pt>
                <c:pt idx="3">
                  <c:v>Rzeszów</c:v>
                </c:pt>
                <c:pt idx="4">
                  <c:v>Lublin</c:v>
                </c:pt>
              </c:strCache>
            </c:strRef>
          </c:cat>
          <c:val>
            <c:numRef>
              <c:f>TABLICA!$C$44:$C$48</c:f>
              <c:numCache>
                <c:formatCode>#,##0</c:formatCode>
                <c:ptCount val="5"/>
                <c:pt idx="0">
                  <c:v>1857333</c:v>
                </c:pt>
                <c:pt idx="1">
                  <c:v>2218800</c:v>
                </c:pt>
                <c:pt idx="2">
                  <c:v>3466118</c:v>
                </c:pt>
                <c:pt idx="3">
                  <c:v>2664352</c:v>
                </c:pt>
                <c:pt idx="4">
                  <c:v>4212202</c:v>
                </c:pt>
              </c:numCache>
            </c:numRef>
          </c:val>
          <c:extLst>
            <c:ext xmlns:c16="http://schemas.microsoft.com/office/drawing/2014/chart" uri="{C3380CC4-5D6E-409C-BE32-E72D297353CC}">
              <c16:uniqueId val="{00000005-BD07-4739-AC71-65720FA7BC77}"/>
            </c:ext>
          </c:extLst>
        </c:ser>
        <c:ser>
          <c:idx val="1"/>
          <c:order val="1"/>
          <c:tx>
            <c:strRef>
              <c:f>TABLICA!$D$43</c:f>
              <c:strCache>
                <c:ptCount val="1"/>
                <c:pt idx="0">
                  <c:v>2019</c:v>
                </c:pt>
              </c:strCache>
            </c:strRef>
          </c:tx>
          <c:spPr>
            <a:solidFill>
              <a:schemeClr val="accent2"/>
            </a:solidFill>
            <a:ln>
              <a:noFill/>
            </a:ln>
            <a:effectLst/>
          </c:spPr>
          <c:invertIfNegative val="0"/>
          <c:dLbls>
            <c:dLbl>
              <c:idx val="0"/>
              <c:layout>
                <c:manualLayout>
                  <c:x val="0"/>
                  <c:y val="0.252156997220047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D07-4739-AC71-65720FA7BC77}"/>
                </c:ext>
              </c:extLst>
            </c:dLbl>
            <c:dLbl>
              <c:idx val="1"/>
              <c:layout>
                <c:manualLayout>
                  <c:x val="0"/>
                  <c:y val="0.250174151402808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D07-4739-AC71-65720FA7BC77}"/>
                </c:ext>
              </c:extLst>
            </c:dLbl>
            <c:dLbl>
              <c:idx val="2"/>
              <c:layout>
                <c:manualLayout>
                  <c:x val="-1.1833546262739255E-16"/>
                  <c:y val="0.2556521026490423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D07-4739-AC71-65720FA7BC77}"/>
                </c:ext>
              </c:extLst>
            </c:dLbl>
            <c:dLbl>
              <c:idx val="3"/>
              <c:layout>
                <c:manualLayout>
                  <c:x val="0"/>
                  <c:y val="0.250174151402808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D07-4739-AC71-65720FA7BC77}"/>
                </c:ext>
              </c:extLst>
            </c:dLbl>
            <c:dLbl>
              <c:idx val="4"/>
              <c:layout>
                <c:manualLayout>
                  <c:x val="3.7381562579810653E-4"/>
                  <c:y val="0.140615126478130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D07-4739-AC71-65720FA7BC77}"/>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TABLICA!$B$44:$B$48</c:f>
              <c:strCache>
                <c:ptCount val="5"/>
                <c:pt idx="0">
                  <c:v>Olsztyn</c:v>
                </c:pt>
                <c:pt idx="1">
                  <c:v>Kielce</c:v>
                </c:pt>
                <c:pt idx="2">
                  <c:v>Białystok</c:v>
                </c:pt>
                <c:pt idx="3">
                  <c:v>Rzeszów</c:v>
                </c:pt>
                <c:pt idx="4">
                  <c:v>Lublin</c:v>
                </c:pt>
              </c:strCache>
            </c:strRef>
          </c:cat>
          <c:val>
            <c:numRef>
              <c:f>TABLICA!$D$44:$D$48</c:f>
              <c:numCache>
                <c:formatCode>#,##0</c:formatCode>
                <c:ptCount val="5"/>
                <c:pt idx="0">
                  <c:v>2038222</c:v>
                </c:pt>
                <c:pt idx="1">
                  <c:v>2511917</c:v>
                </c:pt>
                <c:pt idx="2">
                  <c:v>3617543</c:v>
                </c:pt>
                <c:pt idx="3">
                  <c:v>2739099</c:v>
                </c:pt>
                <c:pt idx="4">
                  <c:v>4481942</c:v>
                </c:pt>
              </c:numCache>
            </c:numRef>
          </c:val>
          <c:extLst>
            <c:ext xmlns:c16="http://schemas.microsoft.com/office/drawing/2014/chart" uri="{C3380CC4-5D6E-409C-BE32-E72D297353CC}">
              <c16:uniqueId val="{0000000B-BD07-4739-AC71-65720FA7BC77}"/>
            </c:ext>
          </c:extLst>
        </c:ser>
        <c:dLbls>
          <c:showLegendKey val="0"/>
          <c:showVal val="0"/>
          <c:showCatName val="0"/>
          <c:showSerName val="0"/>
          <c:showPercent val="0"/>
          <c:showBubbleSize val="0"/>
        </c:dLbls>
        <c:gapWidth val="219"/>
        <c:overlap val="-27"/>
        <c:axId val="210452080"/>
        <c:axId val="329623200"/>
      </c:barChart>
      <c:catAx>
        <c:axId val="210452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29623200"/>
        <c:crosses val="autoZero"/>
        <c:auto val="1"/>
        <c:lblAlgn val="ctr"/>
        <c:lblOffset val="100"/>
        <c:noMultiLvlLbl val="0"/>
      </c:catAx>
      <c:valAx>
        <c:axId val="32962320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10452080"/>
        <c:crosses val="autoZero"/>
        <c:crossBetween val="between"/>
        <c:majorUnit val="10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TABLICA!$C$13</c:f>
              <c:strCache>
                <c:ptCount val="1"/>
                <c:pt idx="0">
                  <c:v>2013</c:v>
                </c:pt>
              </c:strCache>
            </c:strRef>
          </c:tx>
          <c:spPr>
            <a:solidFill>
              <a:schemeClr val="accent1"/>
            </a:solidFill>
            <a:ln>
              <a:noFill/>
            </a:ln>
            <a:effectLst/>
          </c:spPr>
          <c:invertIfNegative val="0"/>
          <c:dLbls>
            <c:dLbl>
              <c:idx val="0"/>
              <c:layout>
                <c:manualLayout>
                  <c:x val="0"/>
                  <c:y val="0.172942817294281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290-410A-A6AA-2ACE23C3A6ED}"/>
                </c:ext>
              </c:extLst>
            </c:dLbl>
            <c:dLbl>
              <c:idx val="1"/>
              <c:layout>
                <c:manualLayout>
                  <c:x val="0"/>
                  <c:y val="0.161785216178521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290-410A-A6AA-2ACE23C3A6ED}"/>
                </c:ext>
              </c:extLst>
            </c:dLbl>
            <c:dLbl>
              <c:idx val="2"/>
              <c:layout>
                <c:manualLayout>
                  <c:x val="0"/>
                  <c:y val="0.172942817294281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290-410A-A6AA-2ACE23C3A6ED}"/>
                </c:ext>
              </c:extLst>
            </c:dLbl>
            <c:dLbl>
              <c:idx val="3"/>
              <c:layout>
                <c:manualLayout>
                  <c:x val="0"/>
                  <c:y val="0.156206415620641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290-410A-A6AA-2ACE23C3A6ED}"/>
                </c:ext>
              </c:extLst>
            </c:dLbl>
            <c:dLbl>
              <c:idx val="4"/>
              <c:layout>
                <c:manualLayout>
                  <c:x val="0"/>
                  <c:y val="0.156206415620641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290-410A-A6AA-2ACE23C3A6ED}"/>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TABLICA!$B$14:$B$18</c:f>
              <c:strCache>
                <c:ptCount val="5"/>
                <c:pt idx="0">
                  <c:v>Olsztyn</c:v>
                </c:pt>
                <c:pt idx="1">
                  <c:v>Kielce</c:v>
                </c:pt>
                <c:pt idx="2">
                  <c:v>Białystok</c:v>
                </c:pt>
                <c:pt idx="3">
                  <c:v>Rzeszów</c:v>
                </c:pt>
                <c:pt idx="4">
                  <c:v>Lublin</c:v>
                </c:pt>
              </c:strCache>
            </c:strRef>
          </c:cat>
          <c:val>
            <c:numRef>
              <c:f>TABLICA!$C$14:$C$18</c:f>
              <c:numCache>
                <c:formatCode>#,##0</c:formatCode>
                <c:ptCount val="5"/>
                <c:pt idx="0">
                  <c:v>2532</c:v>
                </c:pt>
                <c:pt idx="1">
                  <c:v>2246</c:v>
                </c:pt>
                <c:pt idx="2">
                  <c:v>2440</c:v>
                </c:pt>
                <c:pt idx="3">
                  <c:v>1990</c:v>
                </c:pt>
                <c:pt idx="4">
                  <c:v>1975</c:v>
                </c:pt>
              </c:numCache>
            </c:numRef>
          </c:val>
          <c:extLst>
            <c:ext xmlns:c16="http://schemas.microsoft.com/office/drawing/2014/chart" uri="{C3380CC4-5D6E-409C-BE32-E72D297353CC}">
              <c16:uniqueId val="{00000005-B290-410A-A6AA-2ACE23C3A6ED}"/>
            </c:ext>
          </c:extLst>
        </c:ser>
        <c:ser>
          <c:idx val="1"/>
          <c:order val="1"/>
          <c:tx>
            <c:strRef>
              <c:f>TABLICA!$D$13</c:f>
              <c:strCache>
                <c:ptCount val="1"/>
                <c:pt idx="0">
                  <c:v>2019</c:v>
                </c:pt>
              </c:strCache>
            </c:strRef>
          </c:tx>
          <c:spPr>
            <a:solidFill>
              <a:schemeClr val="accent2"/>
            </a:solidFill>
            <a:ln>
              <a:noFill/>
            </a:ln>
            <a:effectLst/>
          </c:spPr>
          <c:invertIfNegative val="0"/>
          <c:dLbls>
            <c:dLbl>
              <c:idx val="0"/>
              <c:layout>
                <c:manualLayout>
                  <c:x val="-3.1139055788797676E-17"/>
                  <c:y val="0.167364016736401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290-410A-A6AA-2ACE23C3A6ED}"/>
                </c:ext>
              </c:extLst>
            </c:dLbl>
            <c:dLbl>
              <c:idx val="1"/>
              <c:layout>
                <c:manualLayout>
                  <c:x val="0"/>
                  <c:y val="0.167364016736401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290-410A-A6AA-2ACE23C3A6ED}"/>
                </c:ext>
              </c:extLst>
            </c:dLbl>
            <c:dLbl>
              <c:idx val="2"/>
              <c:layout>
                <c:manualLayout>
                  <c:x val="0"/>
                  <c:y val="0.167364016736401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290-410A-A6AA-2ACE23C3A6ED}"/>
                </c:ext>
              </c:extLst>
            </c:dLbl>
            <c:dLbl>
              <c:idx val="3"/>
              <c:layout>
                <c:manualLayout>
                  <c:x val="-1.245562231551907E-16"/>
                  <c:y val="0.161785216178521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290-410A-A6AA-2ACE23C3A6ED}"/>
                </c:ext>
              </c:extLst>
            </c:dLbl>
            <c:dLbl>
              <c:idx val="4"/>
              <c:layout>
                <c:manualLayout>
                  <c:x val="0"/>
                  <c:y val="0.161785216178521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290-410A-A6AA-2ACE23C3A6ED}"/>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TABLICA!$B$14:$B$18</c:f>
              <c:strCache>
                <c:ptCount val="5"/>
                <c:pt idx="0">
                  <c:v>Olsztyn</c:v>
                </c:pt>
                <c:pt idx="1">
                  <c:v>Kielce</c:v>
                </c:pt>
                <c:pt idx="2">
                  <c:v>Białystok</c:v>
                </c:pt>
                <c:pt idx="3">
                  <c:v>Rzeszów</c:v>
                </c:pt>
                <c:pt idx="4">
                  <c:v>Lublin</c:v>
                </c:pt>
              </c:strCache>
            </c:strRef>
          </c:cat>
          <c:val>
            <c:numRef>
              <c:f>TABLICA!$D$14:$D$18</c:f>
              <c:numCache>
                <c:formatCode>#,##0</c:formatCode>
                <c:ptCount val="5"/>
                <c:pt idx="0">
                  <c:v>2819</c:v>
                </c:pt>
                <c:pt idx="1">
                  <c:v>2320</c:v>
                </c:pt>
                <c:pt idx="2">
                  <c:v>2362</c:v>
                </c:pt>
                <c:pt idx="3">
                  <c:v>2281</c:v>
                </c:pt>
                <c:pt idx="4">
                  <c:v>2360</c:v>
                </c:pt>
              </c:numCache>
            </c:numRef>
          </c:val>
          <c:extLst>
            <c:ext xmlns:c16="http://schemas.microsoft.com/office/drawing/2014/chart" uri="{C3380CC4-5D6E-409C-BE32-E72D297353CC}">
              <c16:uniqueId val="{0000000B-B290-410A-A6AA-2ACE23C3A6ED}"/>
            </c:ext>
          </c:extLst>
        </c:ser>
        <c:dLbls>
          <c:showLegendKey val="0"/>
          <c:showVal val="0"/>
          <c:showCatName val="0"/>
          <c:showSerName val="0"/>
          <c:showPercent val="0"/>
          <c:showBubbleSize val="0"/>
        </c:dLbls>
        <c:gapWidth val="219"/>
        <c:overlap val="-27"/>
        <c:axId val="284742520"/>
        <c:axId val="284751048"/>
      </c:barChart>
      <c:catAx>
        <c:axId val="284742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84751048"/>
        <c:crosses val="autoZero"/>
        <c:auto val="1"/>
        <c:lblAlgn val="ctr"/>
        <c:lblOffset val="100"/>
        <c:noMultiLvlLbl val="0"/>
      </c:catAx>
      <c:valAx>
        <c:axId val="2847510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84742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TABLICA!$D$53</c:f>
              <c:strCache>
                <c:ptCount val="1"/>
                <c:pt idx="0">
                  <c:v>2013</c:v>
                </c:pt>
              </c:strCache>
            </c:strRef>
          </c:tx>
          <c:spPr>
            <a:solidFill>
              <a:schemeClr val="accent1"/>
            </a:solidFill>
            <a:ln>
              <a:noFill/>
            </a:ln>
            <a:effectLst/>
          </c:spPr>
          <c:invertIfNegative val="0"/>
          <c:dLbls>
            <c:dLbl>
              <c:idx val="0"/>
              <c:layout>
                <c:manualLayout>
                  <c:x val="-3.0931536270539545E-17"/>
                  <c:y val="0.165971933212365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B15-479C-926B-466019B5060B}"/>
                </c:ext>
              </c:extLst>
            </c:dLbl>
            <c:dLbl>
              <c:idx val="1"/>
              <c:layout>
                <c:manualLayout>
                  <c:x val="0"/>
                  <c:y val="0.1653160426828253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B15-479C-926B-466019B5060B}"/>
                </c:ext>
              </c:extLst>
            </c:dLbl>
            <c:dLbl>
              <c:idx val="2"/>
              <c:layout>
                <c:manualLayout>
                  <c:x val="6.1863072541079091E-17"/>
                  <c:y val="0.1653160426828253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B15-479C-926B-466019B5060B}"/>
                </c:ext>
              </c:extLst>
            </c:dLbl>
            <c:dLbl>
              <c:idx val="3"/>
              <c:layout>
                <c:manualLayout>
                  <c:x val="0"/>
                  <c:y val="0.1600306304206688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B15-479C-926B-466019B5060B}"/>
                </c:ext>
              </c:extLst>
            </c:dLbl>
            <c:dLbl>
              <c:idx val="4"/>
              <c:layout>
                <c:manualLayout>
                  <c:x val="0"/>
                  <c:y val="0.165971933212365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B15-479C-926B-466019B5060B}"/>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TABLICA!$C$54:$C$58</c:f>
              <c:strCache>
                <c:ptCount val="5"/>
                <c:pt idx="0">
                  <c:v>Olsztyn</c:v>
                </c:pt>
                <c:pt idx="1">
                  <c:v>Kielce</c:v>
                </c:pt>
                <c:pt idx="2">
                  <c:v>Białystok</c:v>
                </c:pt>
                <c:pt idx="3">
                  <c:v>Rzeszów</c:v>
                </c:pt>
                <c:pt idx="4">
                  <c:v>Lublin</c:v>
                </c:pt>
              </c:strCache>
            </c:strRef>
          </c:cat>
          <c:val>
            <c:numRef>
              <c:f>TABLICA!$D$54:$D$58</c:f>
              <c:numCache>
                <c:formatCode>#,##0</c:formatCode>
                <c:ptCount val="5"/>
                <c:pt idx="0">
                  <c:v>1772</c:v>
                </c:pt>
                <c:pt idx="1">
                  <c:v>1793</c:v>
                </c:pt>
                <c:pt idx="2">
                  <c:v>2514</c:v>
                </c:pt>
                <c:pt idx="3">
                  <c:v>2211</c:v>
                </c:pt>
                <c:pt idx="4">
                  <c:v>3951</c:v>
                </c:pt>
              </c:numCache>
            </c:numRef>
          </c:val>
          <c:extLst>
            <c:ext xmlns:c16="http://schemas.microsoft.com/office/drawing/2014/chart" uri="{C3380CC4-5D6E-409C-BE32-E72D297353CC}">
              <c16:uniqueId val="{00000005-CB15-479C-926B-466019B5060B}"/>
            </c:ext>
          </c:extLst>
        </c:ser>
        <c:ser>
          <c:idx val="1"/>
          <c:order val="1"/>
          <c:tx>
            <c:strRef>
              <c:f>TABLICA!$E$53</c:f>
              <c:strCache>
                <c:ptCount val="1"/>
                <c:pt idx="0">
                  <c:v>2019</c:v>
                </c:pt>
              </c:strCache>
            </c:strRef>
          </c:tx>
          <c:spPr>
            <a:solidFill>
              <a:schemeClr val="accent2"/>
            </a:solidFill>
            <a:ln>
              <a:noFill/>
            </a:ln>
            <a:effectLst/>
          </c:spPr>
          <c:invertIfNegative val="0"/>
          <c:dLbls>
            <c:dLbl>
              <c:idx val="0"/>
              <c:layout>
                <c:manualLayout>
                  <c:x val="-3.0931536270539545E-17"/>
                  <c:y val="0.165316042682825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B15-479C-926B-466019B5060B}"/>
                </c:ext>
              </c:extLst>
            </c:dLbl>
            <c:dLbl>
              <c:idx val="1"/>
              <c:layout>
                <c:manualLayout>
                  <c:x val="0"/>
                  <c:y val="0.1540893276289723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B15-479C-926B-466019B5060B}"/>
                </c:ext>
              </c:extLst>
            </c:dLbl>
            <c:dLbl>
              <c:idx val="2"/>
              <c:layout>
                <c:manualLayout>
                  <c:x val="0"/>
                  <c:y val="0.154745218158512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B15-479C-926B-466019B5060B}"/>
                </c:ext>
              </c:extLst>
            </c:dLbl>
            <c:dLbl>
              <c:idx val="3"/>
              <c:layout>
                <c:manualLayout>
                  <c:x val="-1.2372614508215818E-16"/>
                  <c:y val="0.1554011086880524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B15-479C-926B-466019B5060B}"/>
                </c:ext>
              </c:extLst>
            </c:dLbl>
            <c:dLbl>
              <c:idx val="4"/>
              <c:layout>
                <c:manualLayout>
                  <c:x val="-6.182836053879858E-4"/>
                  <c:y val="0.149459805896355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B15-479C-926B-466019B5060B}"/>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TABLICA!$C$54:$C$58</c:f>
              <c:strCache>
                <c:ptCount val="5"/>
                <c:pt idx="0">
                  <c:v>Olsztyn</c:v>
                </c:pt>
                <c:pt idx="1">
                  <c:v>Kielce</c:v>
                </c:pt>
                <c:pt idx="2">
                  <c:v>Białystok</c:v>
                </c:pt>
                <c:pt idx="3">
                  <c:v>Rzeszów</c:v>
                </c:pt>
                <c:pt idx="4">
                  <c:v>Lublin</c:v>
                </c:pt>
              </c:strCache>
            </c:strRef>
          </c:cat>
          <c:val>
            <c:numRef>
              <c:f>TABLICA!$E$54:$E$58</c:f>
              <c:numCache>
                <c:formatCode>#,##0</c:formatCode>
                <c:ptCount val="5"/>
                <c:pt idx="0">
                  <c:v>1756</c:v>
                </c:pt>
                <c:pt idx="1">
                  <c:v>1810</c:v>
                </c:pt>
                <c:pt idx="2">
                  <c:v>2454</c:v>
                </c:pt>
                <c:pt idx="3">
                  <c:v>2354</c:v>
                </c:pt>
                <c:pt idx="4">
                  <c:v>3680</c:v>
                </c:pt>
              </c:numCache>
            </c:numRef>
          </c:val>
          <c:extLst>
            <c:ext xmlns:c16="http://schemas.microsoft.com/office/drawing/2014/chart" uri="{C3380CC4-5D6E-409C-BE32-E72D297353CC}">
              <c16:uniqueId val="{0000000B-CB15-479C-926B-466019B5060B}"/>
            </c:ext>
          </c:extLst>
        </c:ser>
        <c:dLbls>
          <c:showLegendKey val="0"/>
          <c:showVal val="0"/>
          <c:showCatName val="0"/>
          <c:showSerName val="0"/>
          <c:showPercent val="0"/>
          <c:showBubbleSize val="0"/>
        </c:dLbls>
        <c:gapWidth val="219"/>
        <c:overlap val="-27"/>
        <c:axId val="424664752"/>
        <c:axId val="424661800"/>
      </c:barChart>
      <c:catAx>
        <c:axId val="424664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4661800"/>
        <c:crosses val="autoZero"/>
        <c:auto val="1"/>
        <c:lblAlgn val="ctr"/>
        <c:lblOffset val="100"/>
        <c:noMultiLvlLbl val="0"/>
      </c:catAx>
      <c:valAx>
        <c:axId val="424661800"/>
        <c:scaling>
          <c:orientation val="minMax"/>
          <c:max val="420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4664752"/>
        <c:crosses val="autoZero"/>
        <c:crossBetween val="between"/>
        <c:majorUnit val="1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62433860891417"/>
          <c:y val="0.18964894537501456"/>
          <c:w val="0.85365000422707249"/>
          <c:h val="0.54185784764726974"/>
        </c:manualLayout>
      </c:layout>
      <c:barChart>
        <c:barDir val="col"/>
        <c:grouping val="clustered"/>
        <c:varyColors val="0"/>
        <c:ser>
          <c:idx val="0"/>
          <c:order val="0"/>
          <c:tx>
            <c:strRef>
              <c:f>TABLICA!$N$70</c:f>
              <c:strCache>
                <c:ptCount val="1"/>
                <c:pt idx="0">
                  <c:v>2013</c:v>
                </c:pt>
              </c:strCache>
            </c:strRef>
          </c:tx>
          <c:spPr>
            <a:solidFill>
              <a:schemeClr val="accent1"/>
            </a:solidFill>
            <a:ln>
              <a:noFill/>
            </a:ln>
            <a:effectLst/>
          </c:spPr>
          <c:invertIfNegative val="0"/>
          <c:dLbls>
            <c:dLbl>
              <c:idx val="0"/>
              <c:layout>
                <c:manualLayout>
                  <c:x val="-3.3778078027360244E-3"/>
                  <c:y val="0.110080786487257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BF6-4CFF-B901-F0F26211E3A2}"/>
                </c:ext>
              </c:extLst>
            </c:dLbl>
            <c:dLbl>
              <c:idx val="1"/>
              <c:layout>
                <c:manualLayout>
                  <c:x val="-3.3778078027360244E-3"/>
                  <c:y val="0.135028594193212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BF6-4CFF-B901-F0F26211E3A2}"/>
                </c:ext>
              </c:extLst>
            </c:dLbl>
            <c:dLbl>
              <c:idx val="2"/>
              <c:layout>
                <c:manualLayout>
                  <c:x val="-6.1925761011818242E-17"/>
                  <c:y val="0.134128644480678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BF6-4CFF-B901-F0F26211E3A2}"/>
                </c:ext>
              </c:extLst>
            </c:dLbl>
            <c:dLbl>
              <c:idx val="3"/>
              <c:layout>
                <c:manualLayout>
                  <c:x val="0"/>
                  <c:y val="0.105451291908942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BF6-4CFF-B901-F0F26211E3A2}"/>
                </c:ext>
              </c:extLst>
            </c:dLbl>
            <c:dLbl>
              <c:idx val="4"/>
              <c:layout>
                <c:manualLayout>
                  <c:x val="-3.3778078027360244E-3"/>
                  <c:y val="9.99218476180939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BF6-4CFF-B901-F0F26211E3A2}"/>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TABLICA!$M$71:$M$75</c:f>
              <c:strCache>
                <c:ptCount val="5"/>
                <c:pt idx="0">
                  <c:v>Olsztyn</c:v>
                </c:pt>
                <c:pt idx="1">
                  <c:v>Kielce</c:v>
                </c:pt>
                <c:pt idx="2">
                  <c:v>Białystok</c:v>
                </c:pt>
                <c:pt idx="3">
                  <c:v>Rzeszów</c:v>
                </c:pt>
                <c:pt idx="4">
                  <c:v>Lublin</c:v>
                </c:pt>
              </c:strCache>
            </c:strRef>
          </c:cat>
          <c:val>
            <c:numRef>
              <c:f>TABLICA!$N$71:$N$75</c:f>
              <c:numCache>
                <c:formatCode>#,##0</c:formatCode>
                <c:ptCount val="5"/>
                <c:pt idx="0">
                  <c:v>98.575056433408577</c:v>
                </c:pt>
                <c:pt idx="1">
                  <c:v>111.47239263803681</c:v>
                </c:pt>
                <c:pt idx="2">
                  <c:v>117.45505171042164</c:v>
                </c:pt>
                <c:pt idx="3">
                  <c:v>82.816824966078698</c:v>
                </c:pt>
                <c:pt idx="4">
                  <c:v>86.964819033156161</c:v>
                </c:pt>
              </c:numCache>
            </c:numRef>
          </c:val>
          <c:extLst>
            <c:ext xmlns:c16="http://schemas.microsoft.com/office/drawing/2014/chart" uri="{C3380CC4-5D6E-409C-BE32-E72D297353CC}">
              <c16:uniqueId val="{00000005-FBF6-4CFF-B901-F0F26211E3A2}"/>
            </c:ext>
          </c:extLst>
        </c:ser>
        <c:ser>
          <c:idx val="1"/>
          <c:order val="1"/>
          <c:tx>
            <c:strRef>
              <c:f>TABLICA!$O$70</c:f>
              <c:strCache>
                <c:ptCount val="1"/>
                <c:pt idx="0">
                  <c:v>2019</c:v>
                </c:pt>
              </c:strCache>
            </c:strRef>
          </c:tx>
          <c:spPr>
            <a:solidFill>
              <a:schemeClr val="accent2"/>
            </a:solidFill>
            <a:ln>
              <a:noFill/>
            </a:ln>
            <a:effectLst/>
          </c:spPr>
          <c:invertIfNegative val="0"/>
          <c:dLbls>
            <c:dLbl>
              <c:idx val="0"/>
              <c:layout>
                <c:manualLayout>
                  <c:x val="-3.0962880505909121E-17"/>
                  <c:y val="0.110080786487257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BF6-4CFF-B901-F0F26211E3A2}"/>
                </c:ext>
              </c:extLst>
            </c:dLbl>
            <c:dLbl>
              <c:idx val="1"/>
              <c:layout>
                <c:manualLayout>
                  <c:x val="0"/>
                  <c:y val="0.1396580887715272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BF6-4CFF-B901-F0F26211E3A2}"/>
                </c:ext>
              </c:extLst>
            </c:dLbl>
            <c:dLbl>
              <c:idx val="2"/>
              <c:layout>
                <c:manualLayout>
                  <c:x val="-6.1925761011818242E-17"/>
                  <c:y val="0.138758139058993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BF6-4CFF-B901-F0F26211E3A2}"/>
                </c:ext>
              </c:extLst>
            </c:dLbl>
            <c:dLbl>
              <c:idx val="3"/>
              <c:layout>
                <c:manualLayout>
                  <c:x val="0"/>
                  <c:y val="0.110980736199791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BF6-4CFF-B901-F0F26211E3A2}"/>
                </c:ext>
              </c:extLst>
            </c:dLbl>
            <c:dLbl>
              <c:idx val="4"/>
              <c:layout>
                <c:manualLayout>
                  <c:x val="2.7777814717934337E-3"/>
                  <c:y val="0.110080786487257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BF6-4CFF-B901-F0F26211E3A2}"/>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TABLICA!$M$71:$M$75</c:f>
              <c:strCache>
                <c:ptCount val="5"/>
                <c:pt idx="0">
                  <c:v>Olsztyn</c:v>
                </c:pt>
                <c:pt idx="1">
                  <c:v>Kielce</c:v>
                </c:pt>
                <c:pt idx="2">
                  <c:v>Białystok</c:v>
                </c:pt>
                <c:pt idx="3">
                  <c:v>Rzeszów</c:v>
                </c:pt>
                <c:pt idx="4">
                  <c:v>Lublin</c:v>
                </c:pt>
              </c:strCache>
            </c:strRef>
          </c:cat>
          <c:val>
            <c:numRef>
              <c:f>TABLICA!$O$71:$O$75</c:f>
              <c:numCache>
                <c:formatCode>#,##0</c:formatCode>
                <c:ptCount val="5"/>
                <c:pt idx="0">
                  <c:v>97.937927107061498</c:v>
                </c:pt>
                <c:pt idx="1">
                  <c:v>107.65303867403316</c:v>
                </c:pt>
                <c:pt idx="2">
                  <c:v>121.25264873675631</c:v>
                </c:pt>
                <c:pt idx="3">
                  <c:v>83.350892098555647</c:v>
                </c:pt>
                <c:pt idx="4">
                  <c:v>92.332608695652169</c:v>
                </c:pt>
              </c:numCache>
            </c:numRef>
          </c:val>
          <c:extLst>
            <c:ext xmlns:c16="http://schemas.microsoft.com/office/drawing/2014/chart" uri="{C3380CC4-5D6E-409C-BE32-E72D297353CC}">
              <c16:uniqueId val="{0000000B-FBF6-4CFF-B901-F0F26211E3A2}"/>
            </c:ext>
          </c:extLst>
        </c:ser>
        <c:dLbls>
          <c:showLegendKey val="0"/>
          <c:showVal val="0"/>
          <c:showCatName val="0"/>
          <c:showSerName val="0"/>
          <c:showPercent val="0"/>
          <c:showBubbleSize val="0"/>
        </c:dLbls>
        <c:gapWidth val="219"/>
        <c:overlap val="-27"/>
        <c:axId val="464323648"/>
        <c:axId val="464328896"/>
      </c:barChart>
      <c:catAx>
        <c:axId val="464323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64328896"/>
        <c:crosses val="autoZero"/>
        <c:auto val="1"/>
        <c:lblAlgn val="ctr"/>
        <c:lblOffset val="100"/>
        <c:noMultiLvlLbl val="0"/>
      </c:catAx>
      <c:valAx>
        <c:axId val="464328896"/>
        <c:scaling>
          <c:orientation val="minMax"/>
          <c:max val="14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64323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3665791776028"/>
          <c:y val="0.12647302904564314"/>
          <c:w val="0.84168570840409651"/>
          <c:h val="0.61862580455451366"/>
        </c:manualLayout>
      </c:layout>
      <c:barChart>
        <c:barDir val="col"/>
        <c:grouping val="clustered"/>
        <c:varyColors val="0"/>
        <c:ser>
          <c:idx val="0"/>
          <c:order val="0"/>
          <c:tx>
            <c:strRef>
              <c:f>TABLICA!$C$44</c:f>
              <c:strCache>
                <c:ptCount val="1"/>
                <c:pt idx="0">
                  <c:v>lekarze</c:v>
                </c:pt>
              </c:strCache>
            </c:strRef>
          </c:tx>
          <c:spPr>
            <a:solidFill>
              <a:schemeClr val="accent1"/>
            </a:solidFill>
            <a:ln>
              <a:noFill/>
            </a:ln>
            <a:effectLst/>
          </c:spPr>
          <c:invertIfNegative val="0"/>
          <c:dLbls>
            <c:dLbl>
              <c:idx val="0"/>
              <c:layout>
                <c:manualLayout>
                  <c:x val="0"/>
                  <c:y val="0.1813432657017457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0AC-45D8-88BF-2B4C5F306929}"/>
                </c:ext>
              </c:extLst>
            </c:dLbl>
            <c:dLbl>
              <c:idx val="1"/>
              <c:layout>
                <c:manualLayout>
                  <c:x val="-5.9912161920094089E-17"/>
                  <c:y val="0.1711808845471079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0AC-45D8-88BF-2B4C5F306929}"/>
                </c:ext>
              </c:extLst>
            </c:dLbl>
            <c:dLbl>
              <c:idx val="2"/>
              <c:layout>
                <c:manualLayout>
                  <c:x val="5.9912161920094089E-17"/>
                  <c:y val="0.1813432657017457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0AC-45D8-88BF-2B4C5F306929}"/>
                </c:ext>
              </c:extLst>
            </c:dLbl>
            <c:dLbl>
              <c:idx val="3"/>
              <c:layout>
                <c:manualLayout>
                  <c:x val="0"/>
                  <c:y val="0.1813432657017457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0AC-45D8-88BF-2B4C5F306929}"/>
                </c:ext>
              </c:extLst>
            </c:dLbl>
            <c:dLbl>
              <c:idx val="4"/>
              <c:layout>
                <c:manualLayout>
                  <c:x val="0"/>
                  <c:y val="0.176713388004922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0AC-45D8-88BF-2B4C5F306929}"/>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TABLICA!$B$45:$B$49</c:f>
              <c:strCache>
                <c:ptCount val="5"/>
                <c:pt idx="0">
                  <c:v>Olsztyn</c:v>
                </c:pt>
                <c:pt idx="1">
                  <c:v>Kielce</c:v>
                </c:pt>
                <c:pt idx="2">
                  <c:v>Białystok</c:v>
                </c:pt>
                <c:pt idx="3">
                  <c:v>Rzeszów</c:v>
                </c:pt>
                <c:pt idx="4">
                  <c:v>Lublin</c:v>
                </c:pt>
              </c:strCache>
            </c:strRef>
          </c:cat>
          <c:val>
            <c:numRef>
              <c:f>TABLICA!$C$45:$C$49</c:f>
              <c:numCache>
                <c:formatCode>#,##0</c:formatCode>
                <c:ptCount val="5"/>
                <c:pt idx="0">
                  <c:v>118.2</c:v>
                </c:pt>
                <c:pt idx="1">
                  <c:v>151.4</c:v>
                </c:pt>
                <c:pt idx="2">
                  <c:v>119.9</c:v>
                </c:pt>
                <c:pt idx="3">
                  <c:v>184.9</c:v>
                </c:pt>
                <c:pt idx="4">
                  <c:v>204.9</c:v>
                </c:pt>
              </c:numCache>
            </c:numRef>
          </c:val>
          <c:extLst>
            <c:ext xmlns:c16="http://schemas.microsoft.com/office/drawing/2014/chart" uri="{C3380CC4-5D6E-409C-BE32-E72D297353CC}">
              <c16:uniqueId val="{00000005-B0AC-45D8-88BF-2B4C5F306929}"/>
            </c:ext>
          </c:extLst>
        </c:ser>
        <c:ser>
          <c:idx val="1"/>
          <c:order val="1"/>
          <c:tx>
            <c:strRef>
              <c:f>TABLICA!$D$44</c:f>
              <c:strCache>
                <c:ptCount val="1"/>
                <c:pt idx="0">
                  <c:v>pielęgniarki i położne</c:v>
                </c:pt>
              </c:strCache>
            </c:strRef>
          </c:tx>
          <c:spPr>
            <a:solidFill>
              <a:schemeClr val="accent2"/>
            </a:solidFill>
            <a:ln>
              <a:noFill/>
            </a:ln>
            <a:effectLst/>
          </c:spPr>
          <c:invertIfNegative val="0"/>
          <c:dLbls>
            <c:dLbl>
              <c:idx val="0"/>
              <c:layout>
                <c:manualLayout>
                  <c:x val="0"/>
                  <c:y val="0.148128618246258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0AC-45D8-88BF-2B4C5F306929}"/>
                </c:ext>
              </c:extLst>
            </c:dLbl>
            <c:dLbl>
              <c:idx val="1"/>
              <c:layout>
                <c:manualLayout>
                  <c:x val="0"/>
                  <c:y val="0.1481509919429267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0AC-45D8-88BF-2B4C5F306929}"/>
                </c:ext>
              </c:extLst>
            </c:dLbl>
            <c:dLbl>
              <c:idx val="2"/>
              <c:layout>
                <c:manualLayout>
                  <c:x val="-6.0796290988389293E-17"/>
                  <c:y val="0.149031193509593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0AC-45D8-88BF-2B4C5F306929}"/>
                </c:ext>
              </c:extLst>
            </c:dLbl>
            <c:dLbl>
              <c:idx val="3"/>
              <c:layout>
                <c:manualLayout>
                  <c:x val="-3.3161996352180402E-3"/>
                  <c:y val="0.149054075699368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0AC-45D8-88BF-2B4C5F306929}"/>
                </c:ext>
              </c:extLst>
            </c:dLbl>
            <c:dLbl>
              <c:idx val="4"/>
              <c:layout>
                <c:manualLayout>
                  <c:x val="5.3842548408016173E-4"/>
                  <c:y val="0.149031193509593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0AC-45D8-88BF-2B4C5F306929}"/>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TABLICA!$B$45:$B$49</c:f>
              <c:strCache>
                <c:ptCount val="5"/>
                <c:pt idx="0">
                  <c:v>Olsztyn</c:v>
                </c:pt>
                <c:pt idx="1">
                  <c:v>Kielce</c:v>
                </c:pt>
                <c:pt idx="2">
                  <c:v>Białystok</c:v>
                </c:pt>
                <c:pt idx="3">
                  <c:v>Rzeszów</c:v>
                </c:pt>
                <c:pt idx="4">
                  <c:v>Lublin</c:v>
                </c:pt>
              </c:strCache>
            </c:strRef>
          </c:cat>
          <c:val>
            <c:numRef>
              <c:f>TABLICA!$D$45:$D$49</c:f>
              <c:numCache>
                <c:formatCode>#,##0</c:formatCode>
                <c:ptCount val="5"/>
                <c:pt idx="0">
                  <c:v>156.6</c:v>
                </c:pt>
                <c:pt idx="1">
                  <c:v>191.9</c:v>
                </c:pt>
                <c:pt idx="2">
                  <c:v>133.1</c:v>
                </c:pt>
                <c:pt idx="3">
                  <c:v>215.5</c:v>
                </c:pt>
                <c:pt idx="4">
                  <c:v>197.9</c:v>
                </c:pt>
              </c:numCache>
            </c:numRef>
          </c:val>
          <c:extLst>
            <c:ext xmlns:c16="http://schemas.microsoft.com/office/drawing/2014/chart" uri="{C3380CC4-5D6E-409C-BE32-E72D297353CC}">
              <c16:uniqueId val="{0000000B-B0AC-45D8-88BF-2B4C5F306929}"/>
            </c:ext>
          </c:extLst>
        </c:ser>
        <c:dLbls>
          <c:showLegendKey val="0"/>
          <c:showVal val="0"/>
          <c:showCatName val="0"/>
          <c:showSerName val="0"/>
          <c:showPercent val="0"/>
          <c:showBubbleSize val="0"/>
        </c:dLbls>
        <c:gapWidth val="219"/>
        <c:overlap val="-27"/>
        <c:axId val="427555832"/>
        <c:axId val="427555176"/>
      </c:barChart>
      <c:catAx>
        <c:axId val="427555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7555176"/>
        <c:crosses val="autoZero"/>
        <c:auto val="1"/>
        <c:lblAlgn val="ctr"/>
        <c:lblOffset val="100"/>
        <c:noMultiLvlLbl val="0"/>
      </c:catAx>
      <c:valAx>
        <c:axId val="4275551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7555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TABLICA!$M$5</c:f>
              <c:strCache>
                <c:ptCount val="1"/>
                <c:pt idx="0">
                  <c:v>2013</c:v>
                </c:pt>
              </c:strCache>
            </c:strRef>
          </c:tx>
          <c:spPr>
            <a:solidFill>
              <a:schemeClr val="accent1"/>
            </a:solidFill>
            <a:ln>
              <a:noFill/>
            </a:ln>
            <a:effectLst/>
          </c:spPr>
          <c:invertIfNegative val="0"/>
          <c:dLbls>
            <c:dLbl>
              <c:idx val="0"/>
              <c:layout>
                <c:manualLayout>
                  <c:x val="0"/>
                  <c:y val="0.143518518518518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DDB-45C6-BA42-43CCC0C70500}"/>
                </c:ext>
              </c:extLst>
            </c:dLbl>
            <c:dLbl>
              <c:idx val="1"/>
              <c:layout>
                <c:manualLayout>
                  <c:x val="-5.1111685112205817E-17"/>
                  <c:y val="0.143518518518518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DDB-45C6-BA42-43CCC0C70500}"/>
                </c:ext>
              </c:extLst>
            </c:dLbl>
            <c:dLbl>
              <c:idx val="2"/>
              <c:layout>
                <c:manualLayout>
                  <c:x val="0"/>
                  <c:y val="0.143518518518518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DDB-45C6-BA42-43CCC0C70500}"/>
                </c:ext>
              </c:extLst>
            </c:dLbl>
            <c:dLbl>
              <c:idx val="3"/>
              <c:layout>
                <c:manualLayout>
                  <c:x val="0"/>
                  <c:y val="0.143518518518518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DDB-45C6-BA42-43CCC0C70500}"/>
                </c:ext>
              </c:extLst>
            </c:dLbl>
            <c:dLbl>
              <c:idx val="4"/>
              <c:layout>
                <c:manualLayout>
                  <c:x val="1.0222337022441163E-16"/>
                  <c:y val="0.143518518518518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DDB-45C6-BA42-43CCC0C70500}"/>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TABLICA!$L$6:$L$10</c:f>
              <c:strCache>
                <c:ptCount val="5"/>
                <c:pt idx="0">
                  <c:v>Olsztyn</c:v>
                </c:pt>
                <c:pt idx="1">
                  <c:v>Kielce</c:v>
                </c:pt>
                <c:pt idx="2">
                  <c:v>Białystok</c:v>
                </c:pt>
                <c:pt idx="3">
                  <c:v>Rzeszów</c:v>
                </c:pt>
                <c:pt idx="4">
                  <c:v>Lublin</c:v>
                </c:pt>
              </c:strCache>
            </c:strRef>
          </c:cat>
          <c:val>
            <c:numRef>
              <c:f>TABLICA!$M$6:$M$10</c:f>
              <c:numCache>
                <c:formatCode>#,##0</c:formatCode>
                <c:ptCount val="5"/>
                <c:pt idx="0">
                  <c:v>100.2</c:v>
                </c:pt>
                <c:pt idx="1">
                  <c:v>118.5</c:v>
                </c:pt>
                <c:pt idx="2">
                  <c:v>118</c:v>
                </c:pt>
                <c:pt idx="3">
                  <c:v>138.19999999999999</c:v>
                </c:pt>
                <c:pt idx="4">
                  <c:v>182.4</c:v>
                </c:pt>
              </c:numCache>
            </c:numRef>
          </c:val>
          <c:extLst>
            <c:ext xmlns:c16="http://schemas.microsoft.com/office/drawing/2014/chart" uri="{C3380CC4-5D6E-409C-BE32-E72D297353CC}">
              <c16:uniqueId val="{00000005-5DDB-45C6-BA42-43CCC0C70500}"/>
            </c:ext>
          </c:extLst>
        </c:ser>
        <c:ser>
          <c:idx val="1"/>
          <c:order val="1"/>
          <c:tx>
            <c:strRef>
              <c:f>TABLICA!$N$5</c:f>
              <c:strCache>
                <c:ptCount val="1"/>
                <c:pt idx="0">
                  <c:v>2014</c:v>
                </c:pt>
              </c:strCache>
            </c:strRef>
          </c:tx>
          <c:spPr>
            <a:solidFill>
              <a:schemeClr val="accent2"/>
            </a:solidFill>
            <a:ln>
              <a:noFill/>
            </a:ln>
            <a:effectLst/>
          </c:spPr>
          <c:invertIfNegative val="0"/>
          <c:cat>
            <c:strRef>
              <c:f>TABLICA!$L$6:$L$10</c:f>
              <c:strCache>
                <c:ptCount val="5"/>
                <c:pt idx="0">
                  <c:v>Olsztyn</c:v>
                </c:pt>
                <c:pt idx="1">
                  <c:v>Kielce</c:v>
                </c:pt>
                <c:pt idx="2">
                  <c:v>Białystok</c:v>
                </c:pt>
                <c:pt idx="3">
                  <c:v>Rzeszów</c:v>
                </c:pt>
                <c:pt idx="4">
                  <c:v>Lublin</c:v>
                </c:pt>
              </c:strCache>
            </c:strRef>
          </c:cat>
          <c:val>
            <c:numRef>
              <c:f>TABLICA!$N$6:$N$10</c:f>
              <c:numCache>
                <c:formatCode>#,##0</c:formatCode>
                <c:ptCount val="5"/>
                <c:pt idx="0">
                  <c:v>106.8</c:v>
                </c:pt>
                <c:pt idx="1">
                  <c:v>132.5</c:v>
                </c:pt>
                <c:pt idx="2">
                  <c:v>115.2</c:v>
                </c:pt>
                <c:pt idx="3">
                  <c:v>142.1</c:v>
                </c:pt>
                <c:pt idx="4">
                  <c:v>193.3</c:v>
                </c:pt>
              </c:numCache>
            </c:numRef>
          </c:val>
          <c:extLst>
            <c:ext xmlns:c16="http://schemas.microsoft.com/office/drawing/2014/chart" uri="{C3380CC4-5D6E-409C-BE32-E72D297353CC}">
              <c16:uniqueId val="{00000006-5DDB-45C6-BA42-43CCC0C70500}"/>
            </c:ext>
          </c:extLst>
        </c:ser>
        <c:ser>
          <c:idx val="2"/>
          <c:order val="2"/>
          <c:tx>
            <c:strRef>
              <c:f>TABLICA!$O$5</c:f>
              <c:strCache>
                <c:ptCount val="1"/>
                <c:pt idx="0">
                  <c:v>2015</c:v>
                </c:pt>
              </c:strCache>
            </c:strRef>
          </c:tx>
          <c:spPr>
            <a:solidFill>
              <a:schemeClr val="accent3"/>
            </a:solidFill>
            <a:ln>
              <a:noFill/>
            </a:ln>
            <a:effectLst/>
          </c:spPr>
          <c:invertIfNegative val="0"/>
          <c:cat>
            <c:strRef>
              <c:f>TABLICA!$L$6:$L$10</c:f>
              <c:strCache>
                <c:ptCount val="5"/>
                <c:pt idx="0">
                  <c:v>Olsztyn</c:v>
                </c:pt>
                <c:pt idx="1">
                  <c:v>Kielce</c:v>
                </c:pt>
                <c:pt idx="2">
                  <c:v>Białystok</c:v>
                </c:pt>
                <c:pt idx="3">
                  <c:v>Rzeszów</c:v>
                </c:pt>
                <c:pt idx="4">
                  <c:v>Lublin</c:v>
                </c:pt>
              </c:strCache>
            </c:strRef>
          </c:cat>
          <c:val>
            <c:numRef>
              <c:f>TABLICA!$O$6:$O$10</c:f>
              <c:numCache>
                <c:formatCode>#,##0</c:formatCode>
                <c:ptCount val="5"/>
                <c:pt idx="0">
                  <c:v>110.5</c:v>
                </c:pt>
                <c:pt idx="1">
                  <c:v>139.1</c:v>
                </c:pt>
                <c:pt idx="2">
                  <c:v>114.8</c:v>
                </c:pt>
                <c:pt idx="3">
                  <c:v>155.5</c:v>
                </c:pt>
                <c:pt idx="4">
                  <c:v>197.1</c:v>
                </c:pt>
              </c:numCache>
            </c:numRef>
          </c:val>
          <c:extLst>
            <c:ext xmlns:c16="http://schemas.microsoft.com/office/drawing/2014/chart" uri="{C3380CC4-5D6E-409C-BE32-E72D297353CC}">
              <c16:uniqueId val="{00000007-5DDB-45C6-BA42-43CCC0C70500}"/>
            </c:ext>
          </c:extLst>
        </c:ser>
        <c:ser>
          <c:idx val="3"/>
          <c:order val="3"/>
          <c:tx>
            <c:strRef>
              <c:f>TABLICA!$P$5</c:f>
              <c:strCache>
                <c:ptCount val="1"/>
                <c:pt idx="0">
                  <c:v>2016</c:v>
                </c:pt>
              </c:strCache>
            </c:strRef>
          </c:tx>
          <c:spPr>
            <a:solidFill>
              <a:schemeClr val="accent4"/>
            </a:solidFill>
            <a:ln>
              <a:noFill/>
            </a:ln>
            <a:effectLst/>
          </c:spPr>
          <c:invertIfNegative val="0"/>
          <c:cat>
            <c:strRef>
              <c:f>TABLICA!$L$6:$L$10</c:f>
              <c:strCache>
                <c:ptCount val="5"/>
                <c:pt idx="0">
                  <c:v>Olsztyn</c:v>
                </c:pt>
                <c:pt idx="1">
                  <c:v>Kielce</c:v>
                </c:pt>
                <c:pt idx="2">
                  <c:v>Białystok</c:v>
                </c:pt>
                <c:pt idx="3">
                  <c:v>Rzeszów</c:v>
                </c:pt>
                <c:pt idx="4">
                  <c:v>Lublin</c:v>
                </c:pt>
              </c:strCache>
            </c:strRef>
          </c:cat>
          <c:val>
            <c:numRef>
              <c:f>TABLICA!$P$6:$P$10</c:f>
              <c:numCache>
                <c:formatCode>#,##0</c:formatCode>
                <c:ptCount val="5"/>
                <c:pt idx="0">
                  <c:v>118.8</c:v>
                </c:pt>
                <c:pt idx="1">
                  <c:v>144.5</c:v>
                </c:pt>
                <c:pt idx="2">
                  <c:v>122.6</c:v>
                </c:pt>
                <c:pt idx="3">
                  <c:v>166.6</c:v>
                </c:pt>
                <c:pt idx="4">
                  <c:v>198.5</c:v>
                </c:pt>
              </c:numCache>
            </c:numRef>
          </c:val>
          <c:extLst>
            <c:ext xmlns:c16="http://schemas.microsoft.com/office/drawing/2014/chart" uri="{C3380CC4-5D6E-409C-BE32-E72D297353CC}">
              <c16:uniqueId val="{00000008-5DDB-45C6-BA42-43CCC0C70500}"/>
            </c:ext>
          </c:extLst>
        </c:ser>
        <c:ser>
          <c:idx val="4"/>
          <c:order val="4"/>
          <c:tx>
            <c:strRef>
              <c:f>TABLICA!$Q$5</c:f>
              <c:strCache>
                <c:ptCount val="1"/>
                <c:pt idx="0">
                  <c:v>2017</c:v>
                </c:pt>
              </c:strCache>
            </c:strRef>
          </c:tx>
          <c:spPr>
            <a:solidFill>
              <a:schemeClr val="accent5"/>
            </a:solidFill>
            <a:ln>
              <a:noFill/>
            </a:ln>
            <a:effectLst/>
          </c:spPr>
          <c:invertIfNegative val="0"/>
          <c:cat>
            <c:strRef>
              <c:f>TABLICA!$L$6:$L$10</c:f>
              <c:strCache>
                <c:ptCount val="5"/>
                <c:pt idx="0">
                  <c:v>Olsztyn</c:v>
                </c:pt>
                <c:pt idx="1">
                  <c:v>Kielce</c:v>
                </c:pt>
                <c:pt idx="2">
                  <c:v>Białystok</c:v>
                </c:pt>
                <c:pt idx="3">
                  <c:v>Rzeszów</c:v>
                </c:pt>
                <c:pt idx="4">
                  <c:v>Lublin</c:v>
                </c:pt>
              </c:strCache>
            </c:strRef>
          </c:cat>
          <c:val>
            <c:numRef>
              <c:f>TABLICA!$Q$6:$Q$10</c:f>
              <c:numCache>
                <c:formatCode>#,##0</c:formatCode>
                <c:ptCount val="5"/>
                <c:pt idx="0">
                  <c:v>109.3</c:v>
                </c:pt>
                <c:pt idx="1">
                  <c:v>146.69999999999999</c:v>
                </c:pt>
                <c:pt idx="2">
                  <c:v>125.9</c:v>
                </c:pt>
                <c:pt idx="3">
                  <c:v>169.2</c:v>
                </c:pt>
                <c:pt idx="4">
                  <c:v>204.8</c:v>
                </c:pt>
              </c:numCache>
            </c:numRef>
          </c:val>
          <c:extLst>
            <c:ext xmlns:c16="http://schemas.microsoft.com/office/drawing/2014/chart" uri="{C3380CC4-5D6E-409C-BE32-E72D297353CC}">
              <c16:uniqueId val="{00000009-5DDB-45C6-BA42-43CCC0C70500}"/>
            </c:ext>
          </c:extLst>
        </c:ser>
        <c:ser>
          <c:idx val="5"/>
          <c:order val="5"/>
          <c:tx>
            <c:strRef>
              <c:f>TABLICA!$R$5</c:f>
              <c:strCache>
                <c:ptCount val="1"/>
                <c:pt idx="0">
                  <c:v>2018</c:v>
                </c:pt>
              </c:strCache>
            </c:strRef>
          </c:tx>
          <c:spPr>
            <a:solidFill>
              <a:schemeClr val="accent6"/>
            </a:solidFill>
            <a:ln>
              <a:noFill/>
            </a:ln>
            <a:effectLst/>
          </c:spPr>
          <c:invertIfNegative val="0"/>
          <c:cat>
            <c:strRef>
              <c:f>TABLICA!$L$6:$L$10</c:f>
              <c:strCache>
                <c:ptCount val="5"/>
                <c:pt idx="0">
                  <c:v>Olsztyn</c:v>
                </c:pt>
                <c:pt idx="1">
                  <c:v>Kielce</c:v>
                </c:pt>
                <c:pt idx="2">
                  <c:v>Białystok</c:v>
                </c:pt>
                <c:pt idx="3">
                  <c:v>Rzeszów</c:v>
                </c:pt>
                <c:pt idx="4">
                  <c:v>Lublin</c:v>
                </c:pt>
              </c:strCache>
            </c:strRef>
          </c:cat>
          <c:val>
            <c:numRef>
              <c:f>TABLICA!$R$6:$R$10</c:f>
              <c:numCache>
                <c:formatCode>#,##0</c:formatCode>
                <c:ptCount val="5"/>
                <c:pt idx="0">
                  <c:v>104.8</c:v>
                </c:pt>
                <c:pt idx="1">
                  <c:v>149.69999999999999</c:v>
                </c:pt>
                <c:pt idx="2">
                  <c:v>121.4</c:v>
                </c:pt>
                <c:pt idx="3">
                  <c:v>175.1</c:v>
                </c:pt>
                <c:pt idx="4">
                  <c:v>198.2</c:v>
                </c:pt>
              </c:numCache>
            </c:numRef>
          </c:val>
          <c:extLst>
            <c:ext xmlns:c16="http://schemas.microsoft.com/office/drawing/2014/chart" uri="{C3380CC4-5D6E-409C-BE32-E72D297353CC}">
              <c16:uniqueId val="{0000000A-5DDB-45C6-BA42-43CCC0C70500}"/>
            </c:ext>
          </c:extLst>
        </c:ser>
        <c:ser>
          <c:idx val="6"/>
          <c:order val="6"/>
          <c:tx>
            <c:strRef>
              <c:f>TABLICA!$S$5</c:f>
              <c:strCache>
                <c:ptCount val="1"/>
                <c:pt idx="0">
                  <c:v>2019</c:v>
                </c:pt>
              </c:strCache>
            </c:strRef>
          </c:tx>
          <c:spPr>
            <a:solidFill>
              <a:schemeClr val="accent1">
                <a:lumMod val="60000"/>
              </a:schemeClr>
            </a:solidFill>
            <a:ln>
              <a:noFill/>
            </a:ln>
            <a:effectLst/>
          </c:spPr>
          <c:invertIfNegative val="0"/>
          <c:dLbls>
            <c:dLbl>
              <c:idx val="0"/>
              <c:layout>
                <c:manualLayout>
                  <c:x val="0"/>
                  <c:y val="0.120441175075947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DDB-45C6-BA42-43CCC0C70500}"/>
                </c:ext>
              </c:extLst>
            </c:dLbl>
            <c:dLbl>
              <c:idx val="1"/>
              <c:layout>
                <c:manualLayout>
                  <c:x val="0"/>
                  <c:y val="0.1115196065518032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DDB-45C6-BA42-43CCC0C70500}"/>
                </c:ext>
              </c:extLst>
            </c:dLbl>
            <c:dLbl>
              <c:idx val="2"/>
              <c:layout>
                <c:manualLayout>
                  <c:x val="-2.2623305924099699E-3"/>
                  <c:y val="0.120441175075947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DDB-45C6-BA42-43CCC0C70500}"/>
                </c:ext>
              </c:extLst>
            </c:dLbl>
            <c:dLbl>
              <c:idx val="3"/>
              <c:layout>
                <c:manualLayout>
                  <c:x val="0"/>
                  <c:y val="0.1159803908138753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DDB-45C6-BA42-43CCC0C70500}"/>
                </c:ext>
              </c:extLst>
            </c:dLbl>
            <c:dLbl>
              <c:idx val="4"/>
              <c:layout>
                <c:manualLayout>
                  <c:x val="0"/>
                  <c:y val="0.120441175075947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DDB-45C6-BA42-43CCC0C70500}"/>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lumMod val="20000"/>
                        <a:lumOff val="80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TABLICA!$L$6:$L$10</c:f>
              <c:strCache>
                <c:ptCount val="5"/>
                <c:pt idx="0">
                  <c:v>Olsztyn</c:v>
                </c:pt>
                <c:pt idx="1">
                  <c:v>Kielce</c:v>
                </c:pt>
                <c:pt idx="2">
                  <c:v>Białystok</c:v>
                </c:pt>
                <c:pt idx="3">
                  <c:v>Rzeszów</c:v>
                </c:pt>
                <c:pt idx="4">
                  <c:v>Lublin</c:v>
                </c:pt>
              </c:strCache>
            </c:strRef>
          </c:cat>
          <c:val>
            <c:numRef>
              <c:f>TABLICA!$S$6:$S$10</c:f>
              <c:numCache>
                <c:formatCode>#,##0</c:formatCode>
                <c:ptCount val="5"/>
                <c:pt idx="0">
                  <c:v>118.2</c:v>
                </c:pt>
                <c:pt idx="1">
                  <c:v>151.4</c:v>
                </c:pt>
                <c:pt idx="2">
                  <c:v>119.9</c:v>
                </c:pt>
                <c:pt idx="3">
                  <c:v>184.9</c:v>
                </c:pt>
                <c:pt idx="4">
                  <c:v>204.9</c:v>
                </c:pt>
              </c:numCache>
            </c:numRef>
          </c:val>
          <c:extLst>
            <c:ext xmlns:c16="http://schemas.microsoft.com/office/drawing/2014/chart" uri="{C3380CC4-5D6E-409C-BE32-E72D297353CC}">
              <c16:uniqueId val="{00000010-5DDB-45C6-BA42-43CCC0C70500}"/>
            </c:ext>
          </c:extLst>
        </c:ser>
        <c:dLbls>
          <c:showLegendKey val="0"/>
          <c:showVal val="0"/>
          <c:showCatName val="0"/>
          <c:showSerName val="0"/>
          <c:showPercent val="0"/>
          <c:showBubbleSize val="0"/>
        </c:dLbls>
        <c:gapWidth val="219"/>
        <c:overlap val="-27"/>
        <c:axId val="464302328"/>
        <c:axId val="464303312"/>
      </c:barChart>
      <c:catAx>
        <c:axId val="464302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64303312"/>
        <c:crosses val="autoZero"/>
        <c:auto val="1"/>
        <c:lblAlgn val="ctr"/>
        <c:lblOffset val="100"/>
        <c:noMultiLvlLbl val="0"/>
      </c:catAx>
      <c:valAx>
        <c:axId val="4643033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64302328"/>
        <c:crosses val="autoZero"/>
        <c:crossBetween val="between"/>
      </c:valAx>
      <c:spPr>
        <a:noFill/>
        <a:ln>
          <a:noFill/>
        </a:ln>
        <a:effectLst/>
      </c:spPr>
    </c:plotArea>
    <c:legend>
      <c:legendPos val="b"/>
      <c:layout>
        <c:manualLayout>
          <c:xMode val="edge"/>
          <c:yMode val="edge"/>
          <c:x val="0.18146211548622918"/>
          <c:y val="0.89409667541557303"/>
          <c:w val="0.53450463866839582"/>
          <c:h val="7.5276261286750107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TABLICA!$M$19</c:f>
              <c:strCache>
                <c:ptCount val="1"/>
                <c:pt idx="0">
                  <c:v>2013</c:v>
                </c:pt>
              </c:strCache>
            </c:strRef>
          </c:tx>
          <c:spPr>
            <a:solidFill>
              <a:schemeClr val="accent1"/>
            </a:solidFill>
            <a:ln>
              <a:noFill/>
            </a:ln>
            <a:effectLst/>
          </c:spPr>
          <c:invertIfNegative val="0"/>
          <c:dLbls>
            <c:dLbl>
              <c:idx val="0"/>
              <c:layout>
                <c:manualLayout>
                  <c:x val="0"/>
                  <c:y val="0.143518518518518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4B0-45F7-B614-105D4DD68EB6}"/>
                </c:ext>
              </c:extLst>
            </c:dLbl>
            <c:dLbl>
              <c:idx val="1"/>
              <c:layout>
                <c:manualLayout>
                  <c:x val="-5.1111685112205817E-17"/>
                  <c:y val="0.143518518518518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4B0-45F7-B614-105D4DD68EB6}"/>
                </c:ext>
              </c:extLst>
            </c:dLbl>
            <c:dLbl>
              <c:idx val="2"/>
              <c:layout>
                <c:manualLayout>
                  <c:x val="0"/>
                  <c:y val="0.143518518518518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4B0-45F7-B614-105D4DD68EB6}"/>
                </c:ext>
              </c:extLst>
            </c:dLbl>
            <c:dLbl>
              <c:idx val="3"/>
              <c:layout>
                <c:manualLayout>
                  <c:x val="0"/>
                  <c:y val="0.143518518518518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4B0-45F7-B614-105D4DD68EB6}"/>
                </c:ext>
              </c:extLst>
            </c:dLbl>
            <c:dLbl>
              <c:idx val="4"/>
              <c:layout>
                <c:manualLayout>
                  <c:x val="1.0222337022441163E-16"/>
                  <c:y val="0.143518518518518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4B0-45F7-B614-105D4DD68EB6}"/>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TABLICA!$L$20:$L$24</c:f>
              <c:strCache>
                <c:ptCount val="5"/>
                <c:pt idx="0">
                  <c:v>Olsztyn</c:v>
                </c:pt>
                <c:pt idx="1">
                  <c:v>Kielce</c:v>
                </c:pt>
                <c:pt idx="2">
                  <c:v>Białystok</c:v>
                </c:pt>
                <c:pt idx="3">
                  <c:v>Rzeszów</c:v>
                </c:pt>
                <c:pt idx="4">
                  <c:v>Lublin</c:v>
                </c:pt>
              </c:strCache>
            </c:strRef>
          </c:cat>
          <c:val>
            <c:numRef>
              <c:f>TABLICA!$M$20:$M$24</c:f>
              <c:numCache>
                <c:formatCode>#,##0</c:formatCode>
                <c:ptCount val="5"/>
                <c:pt idx="0">
                  <c:v>141.19999999999999</c:v>
                </c:pt>
                <c:pt idx="1">
                  <c:v>158.9</c:v>
                </c:pt>
                <c:pt idx="2">
                  <c:v>126.7</c:v>
                </c:pt>
                <c:pt idx="3">
                  <c:v>175.7</c:v>
                </c:pt>
                <c:pt idx="4">
                  <c:v>179.8</c:v>
                </c:pt>
              </c:numCache>
            </c:numRef>
          </c:val>
          <c:extLst>
            <c:ext xmlns:c16="http://schemas.microsoft.com/office/drawing/2014/chart" uri="{C3380CC4-5D6E-409C-BE32-E72D297353CC}">
              <c16:uniqueId val="{00000005-54B0-45F7-B614-105D4DD68EB6}"/>
            </c:ext>
          </c:extLst>
        </c:ser>
        <c:ser>
          <c:idx val="1"/>
          <c:order val="1"/>
          <c:tx>
            <c:strRef>
              <c:f>TABLICA!$N$19</c:f>
              <c:strCache>
                <c:ptCount val="1"/>
                <c:pt idx="0">
                  <c:v>2014</c:v>
                </c:pt>
              </c:strCache>
            </c:strRef>
          </c:tx>
          <c:spPr>
            <a:solidFill>
              <a:schemeClr val="accent2"/>
            </a:solidFill>
            <a:ln>
              <a:noFill/>
            </a:ln>
            <a:effectLst/>
          </c:spPr>
          <c:invertIfNegative val="0"/>
          <c:cat>
            <c:strRef>
              <c:f>TABLICA!$L$20:$L$24</c:f>
              <c:strCache>
                <c:ptCount val="5"/>
                <c:pt idx="0">
                  <c:v>Olsztyn</c:v>
                </c:pt>
                <c:pt idx="1">
                  <c:v>Kielce</c:v>
                </c:pt>
                <c:pt idx="2">
                  <c:v>Białystok</c:v>
                </c:pt>
                <c:pt idx="3">
                  <c:v>Rzeszów</c:v>
                </c:pt>
                <c:pt idx="4">
                  <c:v>Lublin</c:v>
                </c:pt>
              </c:strCache>
            </c:strRef>
          </c:cat>
          <c:val>
            <c:numRef>
              <c:f>TABLICA!$N$20:$N$24</c:f>
              <c:numCache>
                <c:formatCode>#,##0</c:formatCode>
                <c:ptCount val="5"/>
                <c:pt idx="0">
                  <c:v>138.5</c:v>
                </c:pt>
                <c:pt idx="1">
                  <c:v>171.6</c:v>
                </c:pt>
                <c:pt idx="2">
                  <c:v>123.1</c:v>
                </c:pt>
                <c:pt idx="3">
                  <c:v>179.6</c:v>
                </c:pt>
                <c:pt idx="4">
                  <c:v>183.2</c:v>
                </c:pt>
              </c:numCache>
            </c:numRef>
          </c:val>
          <c:extLst>
            <c:ext xmlns:c16="http://schemas.microsoft.com/office/drawing/2014/chart" uri="{C3380CC4-5D6E-409C-BE32-E72D297353CC}">
              <c16:uniqueId val="{00000006-54B0-45F7-B614-105D4DD68EB6}"/>
            </c:ext>
          </c:extLst>
        </c:ser>
        <c:ser>
          <c:idx val="2"/>
          <c:order val="2"/>
          <c:tx>
            <c:strRef>
              <c:f>TABLICA!$O$19</c:f>
              <c:strCache>
                <c:ptCount val="1"/>
                <c:pt idx="0">
                  <c:v>2015</c:v>
                </c:pt>
              </c:strCache>
            </c:strRef>
          </c:tx>
          <c:spPr>
            <a:solidFill>
              <a:schemeClr val="accent3"/>
            </a:solidFill>
            <a:ln>
              <a:noFill/>
            </a:ln>
            <a:effectLst/>
          </c:spPr>
          <c:invertIfNegative val="0"/>
          <c:cat>
            <c:strRef>
              <c:f>TABLICA!$L$20:$L$24</c:f>
              <c:strCache>
                <c:ptCount val="5"/>
                <c:pt idx="0">
                  <c:v>Olsztyn</c:v>
                </c:pt>
                <c:pt idx="1">
                  <c:v>Kielce</c:v>
                </c:pt>
                <c:pt idx="2">
                  <c:v>Białystok</c:v>
                </c:pt>
                <c:pt idx="3">
                  <c:v>Rzeszów</c:v>
                </c:pt>
                <c:pt idx="4">
                  <c:v>Lublin</c:v>
                </c:pt>
              </c:strCache>
            </c:strRef>
          </c:cat>
          <c:val>
            <c:numRef>
              <c:f>TABLICA!$O$20:$O$24</c:f>
              <c:numCache>
                <c:formatCode>#,##0</c:formatCode>
                <c:ptCount val="5"/>
                <c:pt idx="0">
                  <c:v>137.69999999999999</c:v>
                </c:pt>
                <c:pt idx="1">
                  <c:v>171.1</c:v>
                </c:pt>
                <c:pt idx="2">
                  <c:v>127.8</c:v>
                </c:pt>
                <c:pt idx="3">
                  <c:v>194</c:v>
                </c:pt>
                <c:pt idx="4">
                  <c:v>193</c:v>
                </c:pt>
              </c:numCache>
            </c:numRef>
          </c:val>
          <c:extLst>
            <c:ext xmlns:c16="http://schemas.microsoft.com/office/drawing/2014/chart" uri="{C3380CC4-5D6E-409C-BE32-E72D297353CC}">
              <c16:uniqueId val="{00000007-54B0-45F7-B614-105D4DD68EB6}"/>
            </c:ext>
          </c:extLst>
        </c:ser>
        <c:ser>
          <c:idx val="3"/>
          <c:order val="3"/>
          <c:tx>
            <c:strRef>
              <c:f>TABLICA!$P$19</c:f>
              <c:strCache>
                <c:ptCount val="1"/>
                <c:pt idx="0">
                  <c:v>2016</c:v>
                </c:pt>
              </c:strCache>
            </c:strRef>
          </c:tx>
          <c:spPr>
            <a:solidFill>
              <a:schemeClr val="accent4"/>
            </a:solidFill>
            <a:ln>
              <a:noFill/>
            </a:ln>
            <a:effectLst/>
          </c:spPr>
          <c:invertIfNegative val="0"/>
          <c:cat>
            <c:strRef>
              <c:f>TABLICA!$L$20:$L$24</c:f>
              <c:strCache>
                <c:ptCount val="5"/>
                <c:pt idx="0">
                  <c:v>Olsztyn</c:v>
                </c:pt>
                <c:pt idx="1">
                  <c:v>Kielce</c:v>
                </c:pt>
                <c:pt idx="2">
                  <c:v>Białystok</c:v>
                </c:pt>
                <c:pt idx="3">
                  <c:v>Rzeszów</c:v>
                </c:pt>
                <c:pt idx="4">
                  <c:v>Lublin</c:v>
                </c:pt>
              </c:strCache>
            </c:strRef>
          </c:cat>
          <c:val>
            <c:numRef>
              <c:f>TABLICA!$P$20:$P$24</c:f>
              <c:numCache>
                <c:formatCode>#,##0</c:formatCode>
                <c:ptCount val="5"/>
                <c:pt idx="0">
                  <c:v>146.1</c:v>
                </c:pt>
                <c:pt idx="1">
                  <c:v>171.3</c:v>
                </c:pt>
                <c:pt idx="2">
                  <c:v>131.30000000000001</c:v>
                </c:pt>
                <c:pt idx="3">
                  <c:v>198.4</c:v>
                </c:pt>
                <c:pt idx="4">
                  <c:v>193.6</c:v>
                </c:pt>
              </c:numCache>
            </c:numRef>
          </c:val>
          <c:extLst>
            <c:ext xmlns:c16="http://schemas.microsoft.com/office/drawing/2014/chart" uri="{C3380CC4-5D6E-409C-BE32-E72D297353CC}">
              <c16:uniqueId val="{00000008-54B0-45F7-B614-105D4DD68EB6}"/>
            </c:ext>
          </c:extLst>
        </c:ser>
        <c:ser>
          <c:idx val="4"/>
          <c:order val="4"/>
          <c:tx>
            <c:strRef>
              <c:f>TABLICA!$Q$19</c:f>
              <c:strCache>
                <c:ptCount val="1"/>
                <c:pt idx="0">
                  <c:v>2017</c:v>
                </c:pt>
              </c:strCache>
            </c:strRef>
          </c:tx>
          <c:spPr>
            <a:solidFill>
              <a:schemeClr val="accent5"/>
            </a:solidFill>
            <a:ln>
              <a:noFill/>
            </a:ln>
            <a:effectLst/>
          </c:spPr>
          <c:invertIfNegative val="0"/>
          <c:cat>
            <c:strRef>
              <c:f>TABLICA!$L$20:$L$24</c:f>
              <c:strCache>
                <c:ptCount val="5"/>
                <c:pt idx="0">
                  <c:v>Olsztyn</c:v>
                </c:pt>
                <c:pt idx="1">
                  <c:v>Kielce</c:v>
                </c:pt>
                <c:pt idx="2">
                  <c:v>Białystok</c:v>
                </c:pt>
                <c:pt idx="3">
                  <c:v>Rzeszów</c:v>
                </c:pt>
                <c:pt idx="4">
                  <c:v>Lublin</c:v>
                </c:pt>
              </c:strCache>
            </c:strRef>
          </c:cat>
          <c:val>
            <c:numRef>
              <c:f>TABLICA!$Q$20:$Q$24</c:f>
              <c:numCache>
                <c:formatCode>#,##0</c:formatCode>
                <c:ptCount val="5"/>
                <c:pt idx="0">
                  <c:v>144.69999999999999</c:v>
                </c:pt>
                <c:pt idx="1">
                  <c:v>188.4</c:v>
                </c:pt>
                <c:pt idx="2">
                  <c:v>129.1</c:v>
                </c:pt>
                <c:pt idx="3">
                  <c:v>206.3</c:v>
                </c:pt>
                <c:pt idx="4">
                  <c:v>203</c:v>
                </c:pt>
              </c:numCache>
            </c:numRef>
          </c:val>
          <c:extLst>
            <c:ext xmlns:c16="http://schemas.microsoft.com/office/drawing/2014/chart" uri="{C3380CC4-5D6E-409C-BE32-E72D297353CC}">
              <c16:uniqueId val="{00000009-54B0-45F7-B614-105D4DD68EB6}"/>
            </c:ext>
          </c:extLst>
        </c:ser>
        <c:ser>
          <c:idx val="5"/>
          <c:order val="5"/>
          <c:tx>
            <c:strRef>
              <c:f>TABLICA!$R$19</c:f>
              <c:strCache>
                <c:ptCount val="1"/>
                <c:pt idx="0">
                  <c:v>2018</c:v>
                </c:pt>
              </c:strCache>
            </c:strRef>
          </c:tx>
          <c:spPr>
            <a:solidFill>
              <a:schemeClr val="accent6"/>
            </a:solidFill>
            <a:ln>
              <a:noFill/>
            </a:ln>
            <a:effectLst/>
          </c:spPr>
          <c:invertIfNegative val="0"/>
          <c:cat>
            <c:strRef>
              <c:f>TABLICA!$L$20:$L$24</c:f>
              <c:strCache>
                <c:ptCount val="5"/>
                <c:pt idx="0">
                  <c:v>Olsztyn</c:v>
                </c:pt>
                <c:pt idx="1">
                  <c:v>Kielce</c:v>
                </c:pt>
                <c:pt idx="2">
                  <c:v>Białystok</c:v>
                </c:pt>
                <c:pt idx="3">
                  <c:v>Rzeszów</c:v>
                </c:pt>
                <c:pt idx="4">
                  <c:v>Lublin</c:v>
                </c:pt>
              </c:strCache>
            </c:strRef>
          </c:cat>
          <c:val>
            <c:numRef>
              <c:f>TABLICA!$R$20:$R$24</c:f>
              <c:numCache>
                <c:formatCode>#,##0</c:formatCode>
                <c:ptCount val="5"/>
                <c:pt idx="0">
                  <c:v>145.19999999999999</c:v>
                </c:pt>
                <c:pt idx="1">
                  <c:v>188.9</c:v>
                </c:pt>
                <c:pt idx="2">
                  <c:v>134.69999999999999</c:v>
                </c:pt>
                <c:pt idx="3">
                  <c:v>209.9</c:v>
                </c:pt>
                <c:pt idx="4">
                  <c:v>196.9</c:v>
                </c:pt>
              </c:numCache>
            </c:numRef>
          </c:val>
          <c:extLst>
            <c:ext xmlns:c16="http://schemas.microsoft.com/office/drawing/2014/chart" uri="{C3380CC4-5D6E-409C-BE32-E72D297353CC}">
              <c16:uniqueId val="{0000000A-54B0-45F7-B614-105D4DD68EB6}"/>
            </c:ext>
          </c:extLst>
        </c:ser>
        <c:ser>
          <c:idx val="6"/>
          <c:order val="6"/>
          <c:tx>
            <c:strRef>
              <c:f>TABLICA!$S$19</c:f>
              <c:strCache>
                <c:ptCount val="1"/>
                <c:pt idx="0">
                  <c:v>2019</c:v>
                </c:pt>
              </c:strCache>
            </c:strRef>
          </c:tx>
          <c:spPr>
            <a:solidFill>
              <a:schemeClr val="accent1">
                <a:lumMod val="60000"/>
              </a:schemeClr>
            </a:solidFill>
            <a:ln>
              <a:noFill/>
            </a:ln>
            <a:effectLst/>
          </c:spPr>
          <c:invertIfNegative val="0"/>
          <c:dLbls>
            <c:dLbl>
              <c:idx val="0"/>
              <c:layout>
                <c:manualLayout>
                  <c:x val="0"/>
                  <c:y val="0.125074866189225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4B0-45F7-B614-105D4DD68EB6}"/>
                </c:ext>
              </c:extLst>
            </c:dLbl>
            <c:dLbl>
              <c:idx val="1"/>
              <c:layout>
                <c:manualLayout>
                  <c:x val="0"/>
                  <c:y val="0.134339671092130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4B0-45F7-B614-105D4DD68EB6}"/>
                </c:ext>
              </c:extLst>
            </c:dLbl>
            <c:dLbl>
              <c:idx val="2"/>
              <c:layout>
                <c:manualLayout>
                  <c:x val="-8.1607170550512894E-17"/>
                  <c:y val="0.1204424637377724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4B0-45F7-B614-105D4DD68EB6}"/>
                </c:ext>
              </c:extLst>
            </c:dLbl>
            <c:dLbl>
              <c:idx val="3"/>
              <c:layout>
                <c:manualLayout>
                  <c:x val="0"/>
                  <c:y val="0.12507486618922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4B0-45F7-B614-105D4DD68EB6}"/>
                </c:ext>
              </c:extLst>
            </c:dLbl>
            <c:dLbl>
              <c:idx val="4"/>
              <c:layout>
                <c:manualLayout>
                  <c:x val="-2.2106775726760254E-3"/>
                  <c:y val="0.148534385206212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4B0-45F7-B614-105D4DD68EB6}"/>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lumMod val="20000"/>
                        <a:lumOff val="80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TABLICA!$L$20:$L$24</c:f>
              <c:strCache>
                <c:ptCount val="5"/>
                <c:pt idx="0">
                  <c:v>Olsztyn</c:v>
                </c:pt>
                <c:pt idx="1">
                  <c:v>Kielce</c:v>
                </c:pt>
                <c:pt idx="2">
                  <c:v>Białystok</c:v>
                </c:pt>
                <c:pt idx="3">
                  <c:v>Rzeszów</c:v>
                </c:pt>
                <c:pt idx="4">
                  <c:v>Lublin</c:v>
                </c:pt>
              </c:strCache>
            </c:strRef>
          </c:cat>
          <c:val>
            <c:numRef>
              <c:f>TABLICA!$S$20:$S$24</c:f>
              <c:numCache>
                <c:formatCode>#,##0</c:formatCode>
                <c:ptCount val="5"/>
                <c:pt idx="0">
                  <c:v>156.6</c:v>
                </c:pt>
                <c:pt idx="1">
                  <c:v>191.9</c:v>
                </c:pt>
                <c:pt idx="2">
                  <c:v>133.1</c:v>
                </c:pt>
                <c:pt idx="3">
                  <c:v>215.5</c:v>
                </c:pt>
                <c:pt idx="4">
                  <c:v>197.9</c:v>
                </c:pt>
              </c:numCache>
            </c:numRef>
          </c:val>
          <c:extLst>
            <c:ext xmlns:c16="http://schemas.microsoft.com/office/drawing/2014/chart" uri="{C3380CC4-5D6E-409C-BE32-E72D297353CC}">
              <c16:uniqueId val="{00000010-54B0-45F7-B614-105D4DD68EB6}"/>
            </c:ext>
          </c:extLst>
        </c:ser>
        <c:dLbls>
          <c:showLegendKey val="0"/>
          <c:showVal val="0"/>
          <c:showCatName val="0"/>
          <c:showSerName val="0"/>
          <c:showPercent val="0"/>
          <c:showBubbleSize val="0"/>
        </c:dLbls>
        <c:gapWidth val="219"/>
        <c:overlap val="-27"/>
        <c:axId val="433358728"/>
        <c:axId val="433360696"/>
      </c:barChart>
      <c:catAx>
        <c:axId val="433358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33360696"/>
        <c:crosses val="autoZero"/>
        <c:auto val="1"/>
        <c:lblAlgn val="ctr"/>
        <c:lblOffset val="100"/>
        <c:noMultiLvlLbl val="0"/>
      </c:catAx>
      <c:valAx>
        <c:axId val="433360696"/>
        <c:scaling>
          <c:orientation val="minMax"/>
          <c:max val="22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33358728"/>
        <c:crosses val="autoZero"/>
        <c:crossBetween val="between"/>
        <c:majorUnit val="40"/>
      </c:valAx>
      <c:spPr>
        <a:noFill/>
        <a:ln>
          <a:noFill/>
        </a:ln>
        <a:effectLst/>
      </c:spPr>
    </c:plotArea>
    <c:legend>
      <c:legendPos val="b"/>
      <c:layout>
        <c:manualLayout>
          <c:xMode val="edge"/>
          <c:yMode val="edge"/>
          <c:x val="0.18425005778943396"/>
          <c:y val="0.89409667541557303"/>
          <c:w val="0.52584447748492325"/>
          <c:h val="7.8172338502413605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TABLICA!$B$39</c:f>
              <c:strCache>
                <c:ptCount val="1"/>
                <c:pt idx="0">
                  <c:v>WARMIŃSKO-MAZURSKIE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7.4778847088558378E-2"/>
                  <c:y val="-4.255319148936170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303-4882-9312-CC53FCE6A40A}"/>
                </c:ext>
              </c:extLst>
            </c:dLbl>
            <c:dLbl>
              <c:idx val="6"/>
              <c:layout>
                <c:manualLayout>
                  <c:x val="0"/>
                  <c:y val="1.27659574468084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303-4882-9312-CC53FCE6A40A}"/>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TABLICA!$C$38:$I$38</c:f>
              <c:strCache>
                <c:ptCount val="7"/>
                <c:pt idx="0">
                  <c:v>2013</c:v>
                </c:pt>
                <c:pt idx="1">
                  <c:v>2014</c:v>
                </c:pt>
                <c:pt idx="2">
                  <c:v>2015</c:v>
                </c:pt>
                <c:pt idx="3">
                  <c:v>2016</c:v>
                </c:pt>
                <c:pt idx="4">
                  <c:v>2017</c:v>
                </c:pt>
                <c:pt idx="5">
                  <c:v>2018</c:v>
                </c:pt>
                <c:pt idx="6">
                  <c:v>2019</c:v>
                </c:pt>
              </c:strCache>
            </c:strRef>
          </c:cat>
          <c:val>
            <c:numRef>
              <c:f>TABLICA!$C$39:$I$39</c:f>
              <c:numCache>
                <c:formatCode>#\ ##0.0</c:formatCode>
                <c:ptCount val="7"/>
                <c:pt idx="0">
                  <c:v>878</c:v>
                </c:pt>
                <c:pt idx="1">
                  <c:v>837.3</c:v>
                </c:pt>
                <c:pt idx="2">
                  <c:v>782.39</c:v>
                </c:pt>
                <c:pt idx="3">
                  <c:v>713.1</c:v>
                </c:pt>
                <c:pt idx="4">
                  <c:v>635.1</c:v>
                </c:pt>
                <c:pt idx="5">
                  <c:v>580.70000000000005</c:v>
                </c:pt>
                <c:pt idx="6">
                  <c:v>542.6</c:v>
                </c:pt>
              </c:numCache>
            </c:numRef>
          </c:val>
          <c:smooth val="0"/>
          <c:extLst>
            <c:ext xmlns:c16="http://schemas.microsoft.com/office/drawing/2014/chart" uri="{C3380CC4-5D6E-409C-BE32-E72D297353CC}">
              <c16:uniqueId val="{00000002-1303-4882-9312-CC53FCE6A40A}"/>
            </c:ext>
          </c:extLst>
        </c:ser>
        <c:ser>
          <c:idx val="1"/>
          <c:order val="1"/>
          <c:tx>
            <c:strRef>
              <c:f>TABLICA!$B$40</c:f>
              <c:strCache>
                <c:ptCount val="1"/>
                <c:pt idx="0">
                  <c:v>ŚWIĘTOKRZYSKIE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7.2818154675110075E-2"/>
                  <c:y val="-3.41886413134528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303-4882-9312-CC53FCE6A40A}"/>
                </c:ext>
              </c:extLst>
            </c:dLbl>
            <c:dLbl>
              <c:idx val="6"/>
              <c:layout>
                <c:manualLayout>
                  <c:x val="0"/>
                  <c:y val="1.70212765957446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303-4882-9312-CC53FCE6A40A}"/>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TABLICA!$C$38:$I$38</c:f>
              <c:strCache>
                <c:ptCount val="7"/>
                <c:pt idx="0">
                  <c:v>2013</c:v>
                </c:pt>
                <c:pt idx="1">
                  <c:v>2014</c:v>
                </c:pt>
                <c:pt idx="2">
                  <c:v>2015</c:v>
                </c:pt>
                <c:pt idx="3">
                  <c:v>2016</c:v>
                </c:pt>
                <c:pt idx="4">
                  <c:v>2017</c:v>
                </c:pt>
                <c:pt idx="5">
                  <c:v>2018</c:v>
                </c:pt>
                <c:pt idx="6">
                  <c:v>2019</c:v>
                </c:pt>
              </c:strCache>
            </c:strRef>
          </c:cat>
          <c:val>
            <c:numRef>
              <c:f>TABLICA!$C$40:$I$40</c:f>
              <c:numCache>
                <c:formatCode>#\ ##0.0</c:formatCode>
                <c:ptCount val="7"/>
                <c:pt idx="0">
                  <c:v>663.6</c:v>
                </c:pt>
                <c:pt idx="1">
                  <c:v>632.70000000000005</c:v>
                </c:pt>
                <c:pt idx="2">
                  <c:v>605.03</c:v>
                </c:pt>
                <c:pt idx="3">
                  <c:v>537.20000000000005</c:v>
                </c:pt>
                <c:pt idx="4">
                  <c:v>486</c:v>
                </c:pt>
                <c:pt idx="5">
                  <c:v>446.8</c:v>
                </c:pt>
                <c:pt idx="6">
                  <c:v>413.2</c:v>
                </c:pt>
              </c:numCache>
            </c:numRef>
          </c:val>
          <c:smooth val="0"/>
          <c:extLst>
            <c:ext xmlns:c16="http://schemas.microsoft.com/office/drawing/2014/chart" uri="{C3380CC4-5D6E-409C-BE32-E72D297353CC}">
              <c16:uniqueId val="{00000005-1303-4882-9312-CC53FCE6A40A}"/>
            </c:ext>
          </c:extLst>
        </c:ser>
        <c:ser>
          <c:idx val="2"/>
          <c:order val="2"/>
          <c:tx>
            <c:strRef>
              <c:f>TABLICA!$B$41</c:f>
              <c:strCache>
                <c:ptCount val="1"/>
                <c:pt idx="0">
                  <c:v>PODLASKIE</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7.4125282950742263E-2"/>
                  <c:y val="2.09532585022616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303-4882-9312-CC53FCE6A40A}"/>
                </c:ext>
              </c:extLst>
            </c:dLbl>
            <c:dLbl>
              <c:idx val="6"/>
              <c:layout>
                <c:manualLayout>
                  <c:x val="0"/>
                  <c:y val="-1.27659574468085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303-4882-9312-CC53FCE6A40A}"/>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TABLICA!$C$38:$I$38</c:f>
              <c:strCache>
                <c:ptCount val="7"/>
                <c:pt idx="0">
                  <c:v>2013</c:v>
                </c:pt>
                <c:pt idx="1">
                  <c:v>2014</c:v>
                </c:pt>
                <c:pt idx="2">
                  <c:v>2015</c:v>
                </c:pt>
                <c:pt idx="3">
                  <c:v>2016</c:v>
                </c:pt>
                <c:pt idx="4">
                  <c:v>2017</c:v>
                </c:pt>
                <c:pt idx="5">
                  <c:v>2018</c:v>
                </c:pt>
                <c:pt idx="6">
                  <c:v>2019</c:v>
                </c:pt>
              </c:strCache>
            </c:strRef>
          </c:cat>
          <c:val>
            <c:numRef>
              <c:f>TABLICA!$C$41:$I$41</c:f>
              <c:numCache>
                <c:formatCode>#\ ##0.0</c:formatCode>
                <c:ptCount val="7"/>
                <c:pt idx="0">
                  <c:v>637.29999999999995</c:v>
                </c:pt>
                <c:pt idx="1">
                  <c:v>607.29999999999995</c:v>
                </c:pt>
                <c:pt idx="2">
                  <c:v>579.89</c:v>
                </c:pt>
                <c:pt idx="3">
                  <c:v>533.1</c:v>
                </c:pt>
                <c:pt idx="4">
                  <c:v>477.7</c:v>
                </c:pt>
                <c:pt idx="5">
                  <c:v>437</c:v>
                </c:pt>
                <c:pt idx="6">
                  <c:v>410.1</c:v>
                </c:pt>
              </c:numCache>
            </c:numRef>
          </c:val>
          <c:smooth val="0"/>
          <c:extLst>
            <c:ext xmlns:c16="http://schemas.microsoft.com/office/drawing/2014/chart" uri="{C3380CC4-5D6E-409C-BE32-E72D297353CC}">
              <c16:uniqueId val="{00000008-1303-4882-9312-CC53FCE6A40A}"/>
            </c:ext>
          </c:extLst>
        </c:ser>
        <c:ser>
          <c:idx val="3"/>
          <c:order val="3"/>
          <c:tx>
            <c:strRef>
              <c:f>TABLICA!$B$42</c:f>
              <c:strCache>
                <c:ptCount val="1"/>
                <c:pt idx="0">
                  <c:v>PODKARPACKIE</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7.2818154675110075E-2"/>
                  <c:y val="-1.32353828111911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303-4882-9312-CC53FCE6A40A}"/>
                </c:ext>
              </c:extLst>
            </c:dLbl>
            <c:dLbl>
              <c:idx val="6"/>
              <c:layout>
                <c:manualLayout>
                  <c:x val="0"/>
                  <c:y val="1.70212765957446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303-4882-9312-CC53FCE6A40A}"/>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TABLICA!$C$38:$I$38</c:f>
              <c:strCache>
                <c:ptCount val="7"/>
                <c:pt idx="0">
                  <c:v>2013</c:v>
                </c:pt>
                <c:pt idx="1">
                  <c:v>2014</c:v>
                </c:pt>
                <c:pt idx="2">
                  <c:v>2015</c:v>
                </c:pt>
                <c:pt idx="3">
                  <c:v>2016</c:v>
                </c:pt>
                <c:pt idx="4">
                  <c:v>2017</c:v>
                </c:pt>
                <c:pt idx="5">
                  <c:v>2018</c:v>
                </c:pt>
                <c:pt idx="6">
                  <c:v>2019</c:v>
                </c:pt>
              </c:strCache>
            </c:strRef>
          </c:cat>
          <c:val>
            <c:numRef>
              <c:f>TABLICA!$C$42:$I$42</c:f>
              <c:numCache>
                <c:formatCode>#\ ##0.0</c:formatCode>
                <c:ptCount val="7"/>
                <c:pt idx="0">
                  <c:v>641.1</c:v>
                </c:pt>
                <c:pt idx="1">
                  <c:v>596.9</c:v>
                </c:pt>
                <c:pt idx="2">
                  <c:v>568.52</c:v>
                </c:pt>
                <c:pt idx="3">
                  <c:v>510.5</c:v>
                </c:pt>
                <c:pt idx="4">
                  <c:v>454.3</c:v>
                </c:pt>
                <c:pt idx="5">
                  <c:v>408.4</c:v>
                </c:pt>
                <c:pt idx="6">
                  <c:v>370.7</c:v>
                </c:pt>
              </c:numCache>
            </c:numRef>
          </c:val>
          <c:smooth val="0"/>
          <c:extLst>
            <c:ext xmlns:c16="http://schemas.microsoft.com/office/drawing/2014/chart" uri="{C3380CC4-5D6E-409C-BE32-E72D297353CC}">
              <c16:uniqueId val="{0000000B-1303-4882-9312-CC53FCE6A40A}"/>
            </c:ext>
          </c:extLst>
        </c:ser>
        <c:ser>
          <c:idx val="4"/>
          <c:order val="4"/>
          <c:tx>
            <c:strRef>
              <c:f>TABLICA!$B$43</c:f>
              <c:strCache>
                <c:ptCount val="1"/>
                <c:pt idx="0">
                  <c:v>LUBELSKIE</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0"/>
              <c:layout>
                <c:manualLayout>
                  <c:x val="-7.5676304350845033E-2"/>
                  <c:y val="4.255319148936131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303-4882-9312-CC53FCE6A40A}"/>
                </c:ext>
              </c:extLst>
            </c:dLbl>
            <c:dLbl>
              <c:idx val="6"/>
              <c:layout>
                <c:manualLayout>
                  <c:x val="0"/>
                  <c:y val="1.2765957446808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303-4882-9312-CC53FCE6A40A}"/>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TABLICA!$C$38:$I$38</c:f>
              <c:strCache>
                <c:ptCount val="7"/>
                <c:pt idx="0">
                  <c:v>2013</c:v>
                </c:pt>
                <c:pt idx="1">
                  <c:v>2014</c:v>
                </c:pt>
                <c:pt idx="2">
                  <c:v>2015</c:v>
                </c:pt>
                <c:pt idx="3">
                  <c:v>2016</c:v>
                </c:pt>
                <c:pt idx="4">
                  <c:v>2017</c:v>
                </c:pt>
                <c:pt idx="5">
                  <c:v>2018</c:v>
                </c:pt>
                <c:pt idx="6">
                  <c:v>2019</c:v>
                </c:pt>
              </c:strCache>
            </c:strRef>
          </c:cat>
          <c:val>
            <c:numRef>
              <c:f>TABLICA!$C$43:$I$43</c:f>
              <c:numCache>
                <c:formatCode>#\ ##0.0</c:formatCode>
                <c:ptCount val="7"/>
                <c:pt idx="0">
                  <c:v>555.4</c:v>
                </c:pt>
                <c:pt idx="1">
                  <c:v>534.20000000000005</c:v>
                </c:pt>
                <c:pt idx="2">
                  <c:v>510.17</c:v>
                </c:pt>
                <c:pt idx="3">
                  <c:v>458.9</c:v>
                </c:pt>
                <c:pt idx="4">
                  <c:v>393.3</c:v>
                </c:pt>
                <c:pt idx="5">
                  <c:v>360</c:v>
                </c:pt>
                <c:pt idx="6">
                  <c:v>328.9</c:v>
                </c:pt>
              </c:numCache>
            </c:numRef>
          </c:val>
          <c:smooth val="0"/>
          <c:extLst>
            <c:ext xmlns:c16="http://schemas.microsoft.com/office/drawing/2014/chart" uri="{C3380CC4-5D6E-409C-BE32-E72D297353CC}">
              <c16:uniqueId val="{0000000E-1303-4882-9312-CC53FCE6A40A}"/>
            </c:ext>
          </c:extLst>
        </c:ser>
        <c:ser>
          <c:idx val="5"/>
          <c:order val="5"/>
          <c:tx>
            <c:strRef>
              <c:f>TABLICA!$B$44</c:f>
              <c:strCache>
                <c:ptCount val="1"/>
                <c:pt idx="0">
                  <c:v>MAZOWIECKIE</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dLbl>
              <c:idx val="0"/>
              <c:layout>
                <c:manualLayout>
                  <c:x val="-7.4778847088558378E-2"/>
                  <c:y val="-2.993466242251633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303-4882-9312-CC53FCE6A40A}"/>
                </c:ext>
              </c:extLst>
            </c:dLbl>
            <c:dLbl>
              <c:idx val="6"/>
              <c:layout>
                <c:manualLayout>
                  <c:x val="0"/>
                  <c:y val="8.510638297872340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303-4882-9312-CC53FCE6A40A}"/>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TABLICA!$C$38:$I$38</c:f>
              <c:strCache>
                <c:ptCount val="7"/>
                <c:pt idx="0">
                  <c:v>2013</c:v>
                </c:pt>
                <c:pt idx="1">
                  <c:v>2014</c:v>
                </c:pt>
                <c:pt idx="2">
                  <c:v>2015</c:v>
                </c:pt>
                <c:pt idx="3">
                  <c:v>2016</c:v>
                </c:pt>
                <c:pt idx="4">
                  <c:v>2017</c:v>
                </c:pt>
                <c:pt idx="5">
                  <c:v>2018</c:v>
                </c:pt>
                <c:pt idx="6">
                  <c:v>2019</c:v>
                </c:pt>
              </c:strCache>
            </c:strRef>
          </c:cat>
          <c:val>
            <c:numRef>
              <c:f>TABLICA!$C$44:$I$44</c:f>
              <c:numCache>
                <c:formatCode>#\ ##0.0</c:formatCode>
                <c:ptCount val="7"/>
                <c:pt idx="0">
                  <c:v>421.2</c:v>
                </c:pt>
                <c:pt idx="1">
                  <c:v>402.9</c:v>
                </c:pt>
                <c:pt idx="2">
                  <c:v>384.78</c:v>
                </c:pt>
                <c:pt idx="3">
                  <c:v>352.8</c:v>
                </c:pt>
                <c:pt idx="4">
                  <c:v>315.5</c:v>
                </c:pt>
                <c:pt idx="5">
                  <c:v>290.7</c:v>
                </c:pt>
                <c:pt idx="6">
                  <c:v>269.89999999999998</c:v>
                </c:pt>
              </c:numCache>
            </c:numRef>
          </c:val>
          <c:smooth val="0"/>
          <c:extLst>
            <c:ext xmlns:c16="http://schemas.microsoft.com/office/drawing/2014/chart" uri="{C3380CC4-5D6E-409C-BE32-E72D297353CC}">
              <c16:uniqueId val="{00000011-1303-4882-9312-CC53FCE6A40A}"/>
            </c:ext>
          </c:extLst>
        </c:ser>
        <c:dLbls>
          <c:showLegendKey val="0"/>
          <c:showVal val="0"/>
          <c:showCatName val="0"/>
          <c:showSerName val="0"/>
          <c:showPercent val="0"/>
          <c:showBubbleSize val="0"/>
        </c:dLbls>
        <c:marker val="1"/>
        <c:smooth val="0"/>
        <c:axId val="399473496"/>
        <c:axId val="399470872"/>
      </c:lineChart>
      <c:catAx>
        <c:axId val="399473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99470872"/>
        <c:crosses val="autoZero"/>
        <c:auto val="1"/>
        <c:lblAlgn val="ctr"/>
        <c:lblOffset val="100"/>
        <c:noMultiLvlLbl val="0"/>
      </c:catAx>
      <c:valAx>
        <c:axId val="399470872"/>
        <c:scaling>
          <c:orientation val="minMax"/>
          <c:max val="1000"/>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99473496"/>
        <c:crosses val="autoZero"/>
        <c:crossBetween val="between"/>
        <c:majorUnit val="1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dLbls>
            <c:dLbl>
              <c:idx val="0"/>
              <c:layout>
                <c:manualLayout>
                  <c:x val="-4.4241262350685769E-2"/>
                  <c:y val="-3.8195273334924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426-48E8-B029-0AE88401F40A}"/>
                </c:ext>
              </c:extLst>
            </c:dLbl>
            <c:dLbl>
              <c:idx val="1"/>
              <c:layout>
                <c:manualLayout>
                  <c:x val="-4.1291844860640026E-2"/>
                  <c:y val="-4.29696825017904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426-48E8-B029-0AE88401F40A}"/>
                </c:ext>
              </c:extLst>
            </c:dLbl>
            <c:dLbl>
              <c:idx val="2"/>
              <c:layout>
                <c:manualLayout>
                  <c:x val="-3.8342427370594359E-2"/>
                  <c:y val="2.86464550011936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426-48E8-B029-0AE88401F40A}"/>
                </c:ext>
              </c:extLst>
            </c:dLbl>
            <c:dLbl>
              <c:idx val="3"/>
              <c:layout>
                <c:manualLayout>
                  <c:x val="-3.5393009880548588E-2"/>
                  <c:y val="-2.38720458343280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426-48E8-B029-0AE88401F40A}"/>
                </c:ext>
              </c:extLst>
            </c:dLbl>
            <c:dLbl>
              <c:idx val="4"/>
              <c:layout>
                <c:manualLayout>
                  <c:x val="-4.7190679840731567E-2"/>
                  <c:y val="3.342086416805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426-48E8-B029-0AE88401F40A}"/>
                </c:ext>
              </c:extLst>
            </c:dLbl>
            <c:dLbl>
              <c:idx val="5"/>
              <c:layout>
                <c:manualLayout>
                  <c:x val="-3.5393009880548484E-2"/>
                  <c:y val="-4.77440916686560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426-48E8-B029-0AE88401F40A}"/>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Zdrowie!$S$38:$S$43</c:f>
              <c:numCache>
                <c:formatCode>General</c:formatCode>
                <c:ptCount val="6"/>
                <c:pt idx="0">
                  <c:v>2014</c:v>
                </c:pt>
                <c:pt idx="1">
                  <c:v>2015</c:v>
                </c:pt>
                <c:pt idx="2">
                  <c:v>2016</c:v>
                </c:pt>
                <c:pt idx="3">
                  <c:v>2017</c:v>
                </c:pt>
                <c:pt idx="4">
                  <c:v>2018</c:v>
                </c:pt>
                <c:pt idx="5">
                  <c:v>2019</c:v>
                </c:pt>
              </c:numCache>
            </c:numRef>
          </c:cat>
          <c:val>
            <c:numRef>
              <c:f>Zdrowie!$X$38:$X$43</c:f>
              <c:numCache>
                <c:formatCode>General</c:formatCode>
                <c:ptCount val="6"/>
                <c:pt idx="0">
                  <c:v>48</c:v>
                </c:pt>
                <c:pt idx="1">
                  <c:v>54</c:v>
                </c:pt>
                <c:pt idx="2">
                  <c:v>45</c:v>
                </c:pt>
                <c:pt idx="3">
                  <c:v>64</c:v>
                </c:pt>
                <c:pt idx="4">
                  <c:v>61</c:v>
                </c:pt>
                <c:pt idx="5">
                  <c:v>79</c:v>
                </c:pt>
              </c:numCache>
            </c:numRef>
          </c:val>
          <c:smooth val="0"/>
          <c:extLst>
            <c:ext xmlns:c16="http://schemas.microsoft.com/office/drawing/2014/chart" uri="{C3380CC4-5D6E-409C-BE32-E72D297353CC}">
              <c16:uniqueId val="{00000000-B54C-4A41-8652-F63F3A902151}"/>
            </c:ext>
          </c:extLst>
        </c:ser>
        <c:dLbls>
          <c:showLegendKey val="0"/>
          <c:showVal val="0"/>
          <c:showCatName val="0"/>
          <c:showSerName val="0"/>
          <c:showPercent val="0"/>
          <c:showBubbleSize val="0"/>
        </c:dLbls>
        <c:smooth val="0"/>
        <c:axId val="205472088"/>
        <c:axId val="205474056"/>
      </c:lineChart>
      <c:catAx>
        <c:axId val="205472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05474056"/>
        <c:crosses val="autoZero"/>
        <c:auto val="1"/>
        <c:lblAlgn val="ctr"/>
        <c:lblOffset val="100"/>
        <c:noMultiLvlLbl val="0"/>
      </c:catAx>
      <c:valAx>
        <c:axId val="205474056"/>
        <c:scaling>
          <c:orientation val="minMax"/>
          <c:min val="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05472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Zdrowie!$S$48</c:f>
              <c:strCache>
                <c:ptCount val="1"/>
                <c:pt idx="0">
                  <c:v>2017</c:v>
                </c:pt>
              </c:strCache>
            </c:strRef>
          </c:tx>
          <c:spPr>
            <a:solidFill>
              <a:schemeClr val="accent1"/>
            </a:solidFill>
            <a:ln>
              <a:noFill/>
            </a:ln>
            <a:effectLst/>
          </c:spPr>
          <c:invertIfNegative val="0"/>
          <c:dLbls>
            <c:dLbl>
              <c:idx val="0"/>
              <c:layout>
                <c:manualLayout>
                  <c:x val="0"/>
                  <c:y val="7.87037037037037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1DD-4ECD-BF2A-471AED243AA0}"/>
                </c:ext>
              </c:extLst>
            </c:dLbl>
            <c:dLbl>
              <c:idx val="1"/>
              <c:layout>
                <c:manualLayout>
                  <c:x val="0"/>
                  <c:y val="7.87037037037037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1DD-4ECD-BF2A-471AED243AA0}"/>
                </c:ext>
              </c:extLst>
            </c:dLbl>
            <c:dLbl>
              <c:idx val="2"/>
              <c:layout>
                <c:manualLayout>
                  <c:x val="-2.7777777777778798E-3"/>
                  <c:y val="7.87037037037037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1DD-4ECD-BF2A-471AED243AA0}"/>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Zdrowie!$T$47:$W$47</c:f>
              <c:strCache>
                <c:ptCount val="4"/>
                <c:pt idx="0">
                  <c:v>Pielęgniarstwo I st.</c:v>
                </c:pt>
                <c:pt idx="1">
                  <c:v>Pielęgniarstwo II st.</c:v>
                </c:pt>
                <c:pt idx="2">
                  <c:v>Dietetyka</c:v>
                </c:pt>
                <c:pt idx="3">
                  <c:v>Ratownictwo medyczne</c:v>
                </c:pt>
              </c:strCache>
            </c:strRef>
          </c:cat>
          <c:val>
            <c:numRef>
              <c:f>Zdrowie!$T$48:$W$48</c:f>
              <c:numCache>
                <c:formatCode>General</c:formatCode>
                <c:ptCount val="4"/>
                <c:pt idx="0">
                  <c:v>35</c:v>
                </c:pt>
                <c:pt idx="1">
                  <c:v>13</c:v>
                </c:pt>
                <c:pt idx="2">
                  <c:v>34</c:v>
                </c:pt>
                <c:pt idx="3">
                  <c:v>0</c:v>
                </c:pt>
              </c:numCache>
            </c:numRef>
          </c:val>
          <c:extLst>
            <c:ext xmlns:c16="http://schemas.microsoft.com/office/drawing/2014/chart" uri="{C3380CC4-5D6E-409C-BE32-E72D297353CC}">
              <c16:uniqueId val="{00000000-28F5-4C1D-B2C3-1FBBDDB6C37A}"/>
            </c:ext>
          </c:extLst>
        </c:ser>
        <c:ser>
          <c:idx val="1"/>
          <c:order val="1"/>
          <c:tx>
            <c:strRef>
              <c:f>Zdrowie!$S$49</c:f>
              <c:strCache>
                <c:ptCount val="1"/>
                <c:pt idx="0">
                  <c:v>2018</c:v>
                </c:pt>
              </c:strCache>
            </c:strRef>
          </c:tx>
          <c:spPr>
            <a:solidFill>
              <a:schemeClr val="accent2"/>
            </a:solidFill>
            <a:ln>
              <a:noFill/>
            </a:ln>
            <a:effectLst/>
          </c:spPr>
          <c:invertIfNegative val="0"/>
          <c:dLbls>
            <c:dLbl>
              <c:idx val="0"/>
              <c:layout>
                <c:manualLayout>
                  <c:x val="-2.5462668816039986E-17"/>
                  <c:y val="7.407407407407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1DD-4ECD-BF2A-471AED243AA0}"/>
                </c:ext>
              </c:extLst>
            </c:dLbl>
            <c:dLbl>
              <c:idx val="1"/>
              <c:layout>
                <c:manualLayout>
                  <c:x val="0"/>
                  <c:y val="7.87037037037037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1DD-4ECD-BF2A-471AED243AA0}"/>
                </c:ext>
              </c:extLst>
            </c:dLbl>
            <c:dLbl>
              <c:idx val="2"/>
              <c:layout>
                <c:manualLayout>
                  <c:x val="0"/>
                  <c:y val="8.79629629629629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1DD-4ECD-BF2A-471AED243AA0}"/>
                </c:ext>
              </c:extLst>
            </c:dLbl>
            <c:dLbl>
              <c:idx val="3"/>
              <c:layout>
                <c:manualLayout>
                  <c:x val="0"/>
                  <c:y val="7.40740740740739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1DD-4ECD-BF2A-471AED243AA0}"/>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Zdrowie!$T$47:$W$47</c:f>
              <c:strCache>
                <c:ptCount val="4"/>
                <c:pt idx="0">
                  <c:v>Pielęgniarstwo I st.</c:v>
                </c:pt>
                <c:pt idx="1">
                  <c:v>Pielęgniarstwo II st.</c:v>
                </c:pt>
                <c:pt idx="2">
                  <c:v>Dietetyka</c:v>
                </c:pt>
                <c:pt idx="3">
                  <c:v>Ratownictwo medyczne</c:v>
                </c:pt>
              </c:strCache>
            </c:strRef>
          </c:cat>
          <c:val>
            <c:numRef>
              <c:f>Zdrowie!$T$49:$W$49</c:f>
              <c:numCache>
                <c:formatCode>General</c:formatCode>
                <c:ptCount val="4"/>
                <c:pt idx="0">
                  <c:v>35</c:v>
                </c:pt>
                <c:pt idx="1">
                  <c:v>21</c:v>
                </c:pt>
                <c:pt idx="2">
                  <c:v>49</c:v>
                </c:pt>
                <c:pt idx="3">
                  <c:v>11</c:v>
                </c:pt>
              </c:numCache>
            </c:numRef>
          </c:val>
          <c:extLst>
            <c:ext xmlns:c16="http://schemas.microsoft.com/office/drawing/2014/chart" uri="{C3380CC4-5D6E-409C-BE32-E72D297353CC}">
              <c16:uniqueId val="{00000001-28F5-4C1D-B2C3-1FBBDDB6C37A}"/>
            </c:ext>
          </c:extLst>
        </c:ser>
        <c:ser>
          <c:idx val="2"/>
          <c:order val="2"/>
          <c:tx>
            <c:strRef>
              <c:f>Zdrowie!$S$50</c:f>
              <c:strCache>
                <c:ptCount val="1"/>
                <c:pt idx="0">
                  <c:v>2019</c:v>
                </c:pt>
              </c:strCache>
            </c:strRef>
          </c:tx>
          <c:spPr>
            <a:solidFill>
              <a:schemeClr val="accent3"/>
            </a:solidFill>
            <a:ln>
              <a:noFill/>
            </a:ln>
            <a:effectLst/>
          </c:spPr>
          <c:invertIfNegative val="0"/>
          <c:dLbls>
            <c:dLbl>
              <c:idx val="0"/>
              <c:layout>
                <c:manualLayout>
                  <c:x val="0"/>
                  <c:y val="8.7962962962962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1DD-4ECD-BF2A-471AED243AA0}"/>
                </c:ext>
              </c:extLst>
            </c:dLbl>
            <c:dLbl>
              <c:idx val="1"/>
              <c:layout>
                <c:manualLayout>
                  <c:x val="-5.0925337632079971E-17"/>
                  <c:y val="8.3333333333333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1DD-4ECD-BF2A-471AED243AA0}"/>
                </c:ext>
              </c:extLst>
            </c:dLbl>
            <c:dLbl>
              <c:idx val="2"/>
              <c:layout>
                <c:manualLayout>
                  <c:x val="0"/>
                  <c:y val="8.79629629629629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1DD-4ECD-BF2A-471AED243AA0}"/>
                </c:ext>
              </c:extLst>
            </c:dLbl>
            <c:dLbl>
              <c:idx val="3"/>
              <c:layout>
                <c:manualLayout>
                  <c:x val="-5.5555555555555558E-3"/>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1DD-4ECD-BF2A-471AED243AA0}"/>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Zdrowie!$T$47:$W$47</c:f>
              <c:strCache>
                <c:ptCount val="4"/>
                <c:pt idx="0">
                  <c:v>Pielęgniarstwo I st.</c:v>
                </c:pt>
                <c:pt idx="1">
                  <c:v>Pielęgniarstwo II st.</c:v>
                </c:pt>
                <c:pt idx="2">
                  <c:v>Dietetyka</c:v>
                </c:pt>
                <c:pt idx="3">
                  <c:v>Ratownictwo medyczne</c:v>
                </c:pt>
              </c:strCache>
            </c:strRef>
          </c:cat>
          <c:val>
            <c:numRef>
              <c:f>Zdrowie!$T$50:$W$50</c:f>
              <c:numCache>
                <c:formatCode>General</c:formatCode>
                <c:ptCount val="4"/>
                <c:pt idx="0">
                  <c:v>80</c:v>
                </c:pt>
                <c:pt idx="1">
                  <c:v>33</c:v>
                </c:pt>
                <c:pt idx="2">
                  <c:v>60</c:v>
                </c:pt>
                <c:pt idx="3">
                  <c:v>5</c:v>
                </c:pt>
              </c:numCache>
            </c:numRef>
          </c:val>
          <c:extLst>
            <c:ext xmlns:c16="http://schemas.microsoft.com/office/drawing/2014/chart" uri="{C3380CC4-5D6E-409C-BE32-E72D297353CC}">
              <c16:uniqueId val="{00000002-28F5-4C1D-B2C3-1FBBDDB6C37A}"/>
            </c:ext>
          </c:extLst>
        </c:ser>
        <c:dLbls>
          <c:showLegendKey val="0"/>
          <c:showVal val="0"/>
          <c:showCatName val="0"/>
          <c:showSerName val="0"/>
          <c:showPercent val="0"/>
          <c:showBubbleSize val="0"/>
        </c:dLbls>
        <c:gapWidth val="219"/>
        <c:overlap val="-27"/>
        <c:axId val="187425320"/>
        <c:axId val="187423352"/>
      </c:barChart>
      <c:catAx>
        <c:axId val="187425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187423352"/>
        <c:crosses val="autoZero"/>
        <c:auto val="1"/>
        <c:lblAlgn val="ctr"/>
        <c:lblOffset val="100"/>
        <c:noMultiLvlLbl val="0"/>
      </c:catAx>
      <c:valAx>
        <c:axId val="187423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187425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TABLICA!$H$121</c:f>
              <c:strCache>
                <c:ptCount val="1"/>
                <c:pt idx="0">
                  <c:v>Olsztyn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TABLICA!$G$122:$G$126</c:f>
              <c:strCache>
                <c:ptCount val="5"/>
                <c:pt idx="0">
                  <c:v>centra, domy i ośrodki kultury, kluby i świetlice</c:v>
                </c:pt>
                <c:pt idx="1">
                  <c:v>biblioteki publiczne</c:v>
                </c:pt>
                <c:pt idx="2">
                  <c:v>muzea </c:v>
                </c:pt>
                <c:pt idx="3">
                  <c:v>teatry</c:v>
                </c:pt>
                <c:pt idx="4">
                  <c:v>obiekty działalności wystawienniczej</c:v>
                </c:pt>
              </c:strCache>
            </c:strRef>
          </c:cat>
          <c:val>
            <c:numRef>
              <c:f>TABLICA!$H$122:$H$126</c:f>
              <c:numCache>
                <c:formatCode>General</c:formatCode>
                <c:ptCount val="5"/>
                <c:pt idx="0">
                  <c:v>7</c:v>
                </c:pt>
                <c:pt idx="1">
                  <c:v>16</c:v>
                </c:pt>
                <c:pt idx="2">
                  <c:v>4</c:v>
                </c:pt>
                <c:pt idx="3">
                  <c:v>2</c:v>
                </c:pt>
                <c:pt idx="4">
                  <c:v>5</c:v>
                </c:pt>
              </c:numCache>
            </c:numRef>
          </c:val>
          <c:extLst>
            <c:ext xmlns:c16="http://schemas.microsoft.com/office/drawing/2014/chart" uri="{C3380CC4-5D6E-409C-BE32-E72D297353CC}">
              <c16:uniqueId val="{00000000-59F7-40BD-93A2-441966493014}"/>
            </c:ext>
          </c:extLst>
        </c:ser>
        <c:ser>
          <c:idx val="1"/>
          <c:order val="1"/>
          <c:tx>
            <c:strRef>
              <c:f>TABLICA!$I$121</c:f>
              <c:strCache>
                <c:ptCount val="1"/>
                <c:pt idx="0">
                  <c:v>Kielce</c:v>
                </c:pt>
              </c:strCache>
            </c:strRef>
          </c:tx>
          <c:spPr>
            <a:solidFill>
              <a:schemeClr val="accent2"/>
            </a:solidFill>
            <a:ln>
              <a:noFill/>
            </a:ln>
            <a:effectLst/>
          </c:spPr>
          <c:invertIfNegative val="0"/>
          <c:cat>
            <c:strRef>
              <c:f>TABLICA!$G$122:$G$126</c:f>
              <c:strCache>
                <c:ptCount val="5"/>
                <c:pt idx="0">
                  <c:v>centra, domy i ośrodki kultury, kluby i świetlice</c:v>
                </c:pt>
                <c:pt idx="1">
                  <c:v>biblioteki publiczne</c:v>
                </c:pt>
                <c:pt idx="2">
                  <c:v>muzea </c:v>
                </c:pt>
                <c:pt idx="3">
                  <c:v>teatry</c:v>
                </c:pt>
                <c:pt idx="4">
                  <c:v>obiekty działalności wystawienniczej</c:v>
                </c:pt>
              </c:strCache>
            </c:strRef>
          </c:cat>
          <c:val>
            <c:numRef>
              <c:f>TABLICA!$I$122:$I$126</c:f>
              <c:numCache>
                <c:formatCode>General</c:formatCode>
                <c:ptCount val="5"/>
                <c:pt idx="0">
                  <c:v>14</c:v>
                </c:pt>
                <c:pt idx="1">
                  <c:v>14</c:v>
                </c:pt>
                <c:pt idx="2">
                  <c:v>8</c:v>
                </c:pt>
                <c:pt idx="3">
                  <c:v>3</c:v>
                </c:pt>
                <c:pt idx="4">
                  <c:v>5</c:v>
                </c:pt>
              </c:numCache>
            </c:numRef>
          </c:val>
          <c:extLst>
            <c:ext xmlns:c16="http://schemas.microsoft.com/office/drawing/2014/chart" uri="{C3380CC4-5D6E-409C-BE32-E72D297353CC}">
              <c16:uniqueId val="{00000001-59F7-40BD-93A2-441966493014}"/>
            </c:ext>
          </c:extLst>
        </c:ser>
        <c:ser>
          <c:idx val="2"/>
          <c:order val="2"/>
          <c:tx>
            <c:strRef>
              <c:f>TABLICA!$J$121</c:f>
              <c:strCache>
                <c:ptCount val="1"/>
                <c:pt idx="0">
                  <c:v>Białystok</c:v>
                </c:pt>
              </c:strCache>
            </c:strRef>
          </c:tx>
          <c:spPr>
            <a:solidFill>
              <a:schemeClr val="accent3"/>
            </a:solidFill>
            <a:ln>
              <a:noFill/>
            </a:ln>
            <a:effectLst/>
          </c:spPr>
          <c:invertIfNegative val="0"/>
          <c:cat>
            <c:strRef>
              <c:f>TABLICA!$G$122:$G$126</c:f>
              <c:strCache>
                <c:ptCount val="5"/>
                <c:pt idx="0">
                  <c:v>centra, domy i ośrodki kultury, kluby i świetlice</c:v>
                </c:pt>
                <c:pt idx="1">
                  <c:v>biblioteki publiczne</c:v>
                </c:pt>
                <c:pt idx="2">
                  <c:v>muzea </c:v>
                </c:pt>
                <c:pt idx="3">
                  <c:v>teatry</c:v>
                </c:pt>
                <c:pt idx="4">
                  <c:v>obiekty działalności wystawienniczej</c:v>
                </c:pt>
              </c:strCache>
            </c:strRef>
          </c:cat>
          <c:val>
            <c:numRef>
              <c:f>TABLICA!$J$122:$J$126</c:f>
              <c:numCache>
                <c:formatCode>General</c:formatCode>
                <c:ptCount val="5"/>
                <c:pt idx="0">
                  <c:v>17</c:v>
                </c:pt>
                <c:pt idx="1">
                  <c:v>17</c:v>
                </c:pt>
                <c:pt idx="2">
                  <c:v>8</c:v>
                </c:pt>
                <c:pt idx="3">
                  <c:v>5</c:v>
                </c:pt>
                <c:pt idx="4">
                  <c:v>3</c:v>
                </c:pt>
              </c:numCache>
            </c:numRef>
          </c:val>
          <c:extLst>
            <c:ext xmlns:c16="http://schemas.microsoft.com/office/drawing/2014/chart" uri="{C3380CC4-5D6E-409C-BE32-E72D297353CC}">
              <c16:uniqueId val="{00000002-59F7-40BD-93A2-441966493014}"/>
            </c:ext>
          </c:extLst>
        </c:ser>
        <c:ser>
          <c:idx val="3"/>
          <c:order val="3"/>
          <c:tx>
            <c:strRef>
              <c:f>TABLICA!$K$121</c:f>
              <c:strCache>
                <c:ptCount val="1"/>
                <c:pt idx="0">
                  <c:v>Rzeszów</c:v>
                </c:pt>
              </c:strCache>
            </c:strRef>
          </c:tx>
          <c:spPr>
            <a:solidFill>
              <a:schemeClr val="accent4"/>
            </a:solidFill>
            <a:ln>
              <a:noFill/>
            </a:ln>
            <a:effectLst/>
          </c:spPr>
          <c:invertIfNegative val="0"/>
          <c:cat>
            <c:strRef>
              <c:f>TABLICA!$G$122:$G$126</c:f>
              <c:strCache>
                <c:ptCount val="5"/>
                <c:pt idx="0">
                  <c:v>centra, domy i ośrodki kultury, kluby i świetlice</c:v>
                </c:pt>
                <c:pt idx="1">
                  <c:v>biblioteki publiczne</c:v>
                </c:pt>
                <c:pt idx="2">
                  <c:v>muzea </c:v>
                </c:pt>
                <c:pt idx="3">
                  <c:v>teatry</c:v>
                </c:pt>
                <c:pt idx="4">
                  <c:v>obiekty działalności wystawienniczej</c:v>
                </c:pt>
              </c:strCache>
            </c:strRef>
          </c:cat>
          <c:val>
            <c:numRef>
              <c:f>TABLICA!$K$122:$K$126</c:f>
              <c:numCache>
                <c:formatCode>General</c:formatCode>
                <c:ptCount val="5"/>
                <c:pt idx="0">
                  <c:v>23</c:v>
                </c:pt>
                <c:pt idx="1">
                  <c:v>19</c:v>
                </c:pt>
                <c:pt idx="2">
                  <c:v>10</c:v>
                </c:pt>
                <c:pt idx="3">
                  <c:v>2</c:v>
                </c:pt>
                <c:pt idx="4">
                  <c:v>2</c:v>
                </c:pt>
              </c:numCache>
            </c:numRef>
          </c:val>
          <c:extLst>
            <c:ext xmlns:c16="http://schemas.microsoft.com/office/drawing/2014/chart" uri="{C3380CC4-5D6E-409C-BE32-E72D297353CC}">
              <c16:uniqueId val="{00000003-59F7-40BD-93A2-441966493014}"/>
            </c:ext>
          </c:extLst>
        </c:ser>
        <c:ser>
          <c:idx val="4"/>
          <c:order val="4"/>
          <c:tx>
            <c:strRef>
              <c:f>TABLICA!$L$121</c:f>
              <c:strCache>
                <c:ptCount val="1"/>
                <c:pt idx="0">
                  <c:v>Lublin</c:v>
                </c:pt>
              </c:strCache>
            </c:strRef>
          </c:tx>
          <c:spPr>
            <a:solidFill>
              <a:schemeClr val="accent5"/>
            </a:solidFill>
            <a:ln>
              <a:noFill/>
            </a:ln>
            <a:effectLst/>
          </c:spPr>
          <c:invertIfNegative val="0"/>
          <c:cat>
            <c:strRef>
              <c:f>TABLICA!$G$122:$G$126</c:f>
              <c:strCache>
                <c:ptCount val="5"/>
                <c:pt idx="0">
                  <c:v>centra, domy i ośrodki kultury, kluby i świetlice</c:v>
                </c:pt>
                <c:pt idx="1">
                  <c:v>biblioteki publiczne</c:v>
                </c:pt>
                <c:pt idx="2">
                  <c:v>muzea </c:v>
                </c:pt>
                <c:pt idx="3">
                  <c:v>teatry</c:v>
                </c:pt>
                <c:pt idx="4">
                  <c:v>obiekty działalności wystawienniczej</c:v>
                </c:pt>
              </c:strCache>
            </c:strRef>
          </c:cat>
          <c:val>
            <c:numRef>
              <c:f>TABLICA!$L$122:$L$126</c:f>
              <c:numCache>
                <c:formatCode>General</c:formatCode>
                <c:ptCount val="5"/>
                <c:pt idx="0">
                  <c:v>16</c:v>
                </c:pt>
                <c:pt idx="1">
                  <c:v>43</c:v>
                </c:pt>
                <c:pt idx="2">
                  <c:v>9</c:v>
                </c:pt>
                <c:pt idx="3">
                  <c:v>5</c:v>
                </c:pt>
                <c:pt idx="4">
                  <c:v>7</c:v>
                </c:pt>
              </c:numCache>
            </c:numRef>
          </c:val>
          <c:extLst>
            <c:ext xmlns:c16="http://schemas.microsoft.com/office/drawing/2014/chart" uri="{C3380CC4-5D6E-409C-BE32-E72D297353CC}">
              <c16:uniqueId val="{00000004-59F7-40BD-93A2-441966493014}"/>
            </c:ext>
          </c:extLst>
        </c:ser>
        <c:dLbls>
          <c:showLegendKey val="0"/>
          <c:showVal val="0"/>
          <c:showCatName val="0"/>
          <c:showSerName val="0"/>
          <c:showPercent val="0"/>
          <c:showBubbleSize val="0"/>
        </c:dLbls>
        <c:gapWidth val="219"/>
        <c:overlap val="-27"/>
        <c:axId val="325284008"/>
        <c:axId val="325281384"/>
      </c:barChart>
      <c:catAx>
        <c:axId val="325284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25281384"/>
        <c:crosses val="autoZero"/>
        <c:auto val="1"/>
        <c:lblAlgn val="ctr"/>
        <c:lblOffset val="100"/>
        <c:noMultiLvlLbl val="0"/>
      </c:catAx>
      <c:valAx>
        <c:axId val="325281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25284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TABLICA!$L$133</c:f>
              <c:strCache>
                <c:ptCount val="1"/>
                <c:pt idx="0">
                  <c:v>uczestnicy imprez na 1000 mieszkańców</c:v>
                </c:pt>
              </c:strCache>
            </c:strRef>
          </c:tx>
          <c:spPr>
            <a:solidFill>
              <a:schemeClr val="accent1"/>
            </a:solidFill>
            <a:ln>
              <a:noFill/>
            </a:ln>
            <a:effectLst/>
          </c:spPr>
          <c:invertIfNegative val="0"/>
          <c:dLbls>
            <c:dLbl>
              <c:idx val="0"/>
              <c:layout>
                <c:manualLayout>
                  <c:x val="0"/>
                  <c:y val="0.130081300813007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9DB-42FA-9296-0C0579F6F037}"/>
                </c:ext>
              </c:extLst>
            </c:dLbl>
            <c:dLbl>
              <c:idx val="1"/>
              <c:layout>
                <c:manualLayout>
                  <c:x val="0"/>
                  <c:y val="0.163661221282174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9DB-42FA-9296-0C0579F6F037}"/>
                </c:ext>
              </c:extLst>
            </c:dLbl>
            <c:dLbl>
              <c:idx val="2"/>
              <c:layout>
                <c:manualLayout>
                  <c:x val="-2.7777777777777779E-3"/>
                  <c:y val="0.130081300813008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9DB-42FA-9296-0C0579F6F037}"/>
                </c:ext>
              </c:extLst>
            </c:dLbl>
            <c:dLbl>
              <c:idx val="3"/>
              <c:layout>
                <c:manualLayout>
                  <c:x val="-1.0185067526415994E-16"/>
                  <c:y val="0.130081300813008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9DB-42FA-9296-0C0579F6F037}"/>
                </c:ext>
              </c:extLst>
            </c:dLbl>
            <c:dLbl>
              <c:idx val="4"/>
              <c:layout>
                <c:manualLayout>
                  <c:x val="0"/>
                  <c:y val="0.103042039641126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9DB-42FA-9296-0C0579F6F037}"/>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TABLICA!$K$134:$K$138</c:f>
              <c:strCache>
                <c:ptCount val="5"/>
                <c:pt idx="0">
                  <c:v>Olsztyn</c:v>
                </c:pt>
                <c:pt idx="1">
                  <c:v>Kielce</c:v>
                </c:pt>
                <c:pt idx="2">
                  <c:v>Białystok</c:v>
                </c:pt>
                <c:pt idx="3">
                  <c:v>Rzeszów</c:v>
                </c:pt>
                <c:pt idx="4">
                  <c:v>Lublin</c:v>
                </c:pt>
              </c:strCache>
            </c:strRef>
          </c:cat>
          <c:val>
            <c:numRef>
              <c:f>TABLICA!$L$134:$L$138</c:f>
              <c:numCache>
                <c:formatCode>#\ ##0.0</c:formatCode>
                <c:ptCount val="5"/>
                <c:pt idx="0">
                  <c:v>893.6</c:v>
                </c:pt>
                <c:pt idx="1">
                  <c:v>1643.7</c:v>
                </c:pt>
                <c:pt idx="2">
                  <c:v>907</c:v>
                </c:pt>
                <c:pt idx="3">
                  <c:v>787.6</c:v>
                </c:pt>
                <c:pt idx="4">
                  <c:v>2823.3</c:v>
                </c:pt>
              </c:numCache>
            </c:numRef>
          </c:val>
          <c:extLst>
            <c:ext xmlns:c16="http://schemas.microsoft.com/office/drawing/2014/chart" uri="{C3380CC4-5D6E-409C-BE32-E72D297353CC}">
              <c16:uniqueId val="{00000005-09DB-42FA-9296-0C0579F6F037}"/>
            </c:ext>
          </c:extLst>
        </c:ser>
        <c:ser>
          <c:idx val="1"/>
          <c:order val="1"/>
          <c:tx>
            <c:strRef>
              <c:f>TABLICA!$M$133</c:f>
              <c:strCache>
                <c:ptCount val="1"/>
                <c:pt idx="0">
                  <c:v>zwiedzający muzea na 1000 mieszkańców</c:v>
                </c:pt>
              </c:strCache>
            </c:strRef>
          </c:tx>
          <c:spPr>
            <a:solidFill>
              <a:schemeClr val="accent2"/>
            </a:solidFill>
            <a:ln>
              <a:noFill/>
            </a:ln>
            <a:effectLst/>
          </c:spPr>
          <c:invertIfNegative val="0"/>
          <c:dLbls>
            <c:dLbl>
              <c:idx val="0"/>
              <c:layout>
                <c:manualLayout>
                  <c:x val="0"/>
                  <c:y val="0.126016260162601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9DB-42FA-9296-0C0579F6F037}"/>
                </c:ext>
              </c:extLst>
            </c:dLbl>
            <c:dLbl>
              <c:idx val="1"/>
              <c:layout>
                <c:manualLayout>
                  <c:x val="0"/>
                  <c:y val="0.143600977134840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9DB-42FA-9296-0C0579F6F037}"/>
                </c:ext>
              </c:extLst>
            </c:dLbl>
            <c:dLbl>
              <c:idx val="2"/>
              <c:layout>
                <c:manualLayout>
                  <c:x val="-1.0185067526415994E-16"/>
                  <c:y val="1.21951219512195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9DB-42FA-9296-0C0579F6F037}"/>
                </c:ext>
              </c:extLst>
            </c:dLbl>
            <c:dLbl>
              <c:idx val="3"/>
              <c:layout>
                <c:manualLayout>
                  <c:x val="0"/>
                  <c:y val="2.0325203252032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9DB-42FA-9296-0C0579F6F037}"/>
                </c:ext>
              </c:extLst>
            </c:dLbl>
            <c:dLbl>
              <c:idx val="4"/>
              <c:layout>
                <c:manualLayout>
                  <c:x val="-2.773540424351685E-3"/>
                  <c:y val="0.159331279736384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9DB-42FA-9296-0C0579F6F037}"/>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TABLICA!$K$134:$K$138</c:f>
              <c:strCache>
                <c:ptCount val="5"/>
                <c:pt idx="0">
                  <c:v>Olsztyn</c:v>
                </c:pt>
                <c:pt idx="1">
                  <c:v>Kielce</c:v>
                </c:pt>
                <c:pt idx="2">
                  <c:v>Białystok</c:v>
                </c:pt>
                <c:pt idx="3">
                  <c:v>Rzeszów</c:v>
                </c:pt>
                <c:pt idx="4">
                  <c:v>Lublin</c:v>
                </c:pt>
              </c:strCache>
            </c:strRef>
          </c:cat>
          <c:val>
            <c:numRef>
              <c:f>TABLICA!$M$134:$M$138</c:f>
              <c:numCache>
                <c:formatCode>#\ ##0.0</c:formatCode>
                <c:ptCount val="5"/>
                <c:pt idx="0">
                  <c:v>694.1</c:v>
                </c:pt>
                <c:pt idx="1">
                  <c:v>603.79999999999995</c:v>
                </c:pt>
                <c:pt idx="2">
                  <c:v>394.9</c:v>
                </c:pt>
                <c:pt idx="3">
                  <c:v>420.2</c:v>
                </c:pt>
                <c:pt idx="4">
                  <c:v>1259.8</c:v>
                </c:pt>
              </c:numCache>
            </c:numRef>
          </c:val>
          <c:extLst>
            <c:ext xmlns:c16="http://schemas.microsoft.com/office/drawing/2014/chart" uri="{C3380CC4-5D6E-409C-BE32-E72D297353CC}">
              <c16:uniqueId val="{0000000B-09DB-42FA-9296-0C0579F6F037}"/>
            </c:ext>
          </c:extLst>
        </c:ser>
        <c:ser>
          <c:idx val="2"/>
          <c:order val="2"/>
          <c:tx>
            <c:strRef>
              <c:f>TABLICA!$N$133</c:f>
              <c:strCache>
                <c:ptCount val="1"/>
                <c:pt idx="0">
                  <c:v>zwiedzający galerie i salony sztuki na 1000 mieszkańców</c:v>
                </c:pt>
              </c:strCache>
            </c:strRef>
          </c:tx>
          <c:spPr>
            <a:solidFill>
              <a:schemeClr val="accent3"/>
            </a:solidFill>
            <a:ln>
              <a:noFill/>
            </a:ln>
            <a:effectLst/>
          </c:spPr>
          <c:invertIfNegative val="0"/>
          <c:dLbls>
            <c:dLbl>
              <c:idx val="0"/>
              <c:layout>
                <c:manualLayout>
                  <c:x val="-2.5462668816039986E-17"/>
                  <c:y val="0.121951219512195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9DB-42FA-9296-0C0579F6F037}"/>
                </c:ext>
              </c:extLst>
            </c:dLbl>
            <c:dLbl>
              <c:idx val="2"/>
              <c:layout>
                <c:manualLayout>
                  <c:x val="0"/>
                  <c:y val="1.21951219512194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9DB-42FA-9296-0C0579F6F037}"/>
                </c:ext>
              </c:extLst>
            </c:dLbl>
            <c:dLbl>
              <c:idx val="3"/>
              <c:layout>
                <c:manualLayout>
                  <c:x val="-1.0185067526415994E-16"/>
                  <c:y val="2.43902439024389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9DB-42FA-9296-0C0579F6F037}"/>
                </c:ext>
              </c:extLst>
            </c:dLbl>
            <c:dLbl>
              <c:idx val="4"/>
              <c:layout>
                <c:manualLayout>
                  <c:x val="1.0185067526415994E-16"/>
                  <c:y val="1.62601626016260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9DB-42FA-9296-0C0579F6F037}"/>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TABLICA!$K$134:$K$138</c:f>
              <c:strCache>
                <c:ptCount val="5"/>
                <c:pt idx="0">
                  <c:v>Olsztyn</c:v>
                </c:pt>
                <c:pt idx="1">
                  <c:v>Kielce</c:v>
                </c:pt>
                <c:pt idx="2">
                  <c:v>Białystok</c:v>
                </c:pt>
                <c:pt idx="3">
                  <c:v>Rzeszów</c:v>
                </c:pt>
                <c:pt idx="4">
                  <c:v>Lublin</c:v>
                </c:pt>
              </c:strCache>
            </c:strRef>
          </c:cat>
          <c:val>
            <c:numRef>
              <c:f>TABLICA!$N$134:$N$138</c:f>
              <c:numCache>
                <c:formatCode>General</c:formatCode>
                <c:ptCount val="5"/>
                <c:pt idx="0">
                  <c:v>819.5</c:v>
                </c:pt>
                <c:pt idx="1">
                  <c:v>121.5</c:v>
                </c:pt>
                <c:pt idx="2">
                  <c:v>308</c:v>
                </c:pt>
                <c:pt idx="3">
                  <c:v>240.2</c:v>
                </c:pt>
                <c:pt idx="4">
                  <c:v>116.7</c:v>
                </c:pt>
              </c:numCache>
            </c:numRef>
          </c:val>
          <c:extLst>
            <c:ext xmlns:c16="http://schemas.microsoft.com/office/drawing/2014/chart" uri="{C3380CC4-5D6E-409C-BE32-E72D297353CC}">
              <c16:uniqueId val="{00000010-09DB-42FA-9296-0C0579F6F037}"/>
            </c:ext>
          </c:extLst>
        </c:ser>
        <c:dLbls>
          <c:showLegendKey val="0"/>
          <c:showVal val="0"/>
          <c:showCatName val="0"/>
          <c:showSerName val="0"/>
          <c:showPercent val="0"/>
          <c:showBubbleSize val="0"/>
        </c:dLbls>
        <c:gapWidth val="219"/>
        <c:overlap val="-27"/>
        <c:axId val="430070736"/>
        <c:axId val="430068112"/>
      </c:barChart>
      <c:catAx>
        <c:axId val="430070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30068112"/>
        <c:crosses val="autoZero"/>
        <c:auto val="1"/>
        <c:lblAlgn val="ctr"/>
        <c:lblOffset val="100"/>
        <c:noMultiLvlLbl val="0"/>
      </c:catAx>
      <c:valAx>
        <c:axId val="430068112"/>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30070736"/>
        <c:crosses val="autoZero"/>
        <c:crossBetween val="between"/>
      </c:valAx>
      <c:spPr>
        <a:noFill/>
        <a:ln>
          <a:noFill/>
        </a:ln>
        <a:effectLst/>
      </c:spPr>
    </c:plotArea>
    <c:legend>
      <c:legendPos val="b"/>
      <c:layout>
        <c:manualLayout>
          <c:xMode val="edge"/>
          <c:yMode val="edge"/>
          <c:x val="5.9698162729658777E-2"/>
          <c:y val="0.74479002624671919"/>
          <c:w val="0.91115901137357835"/>
          <c:h val="0.20891367745698455"/>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TABLICA!$C$38</c:f>
              <c:strCache>
                <c:ptCount val="1"/>
                <c:pt idx="0">
                  <c:v>2013</c:v>
                </c:pt>
              </c:strCache>
            </c:strRef>
          </c:tx>
          <c:spPr>
            <a:solidFill>
              <a:schemeClr val="accent1"/>
            </a:solidFill>
            <a:ln>
              <a:noFill/>
            </a:ln>
            <a:effectLst/>
          </c:spPr>
          <c:invertIfNegative val="0"/>
          <c:dLbls>
            <c:dLbl>
              <c:idx val="0"/>
              <c:layout>
                <c:manualLayout>
                  <c:x val="0"/>
                  <c:y val="0.139654317403872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33E-4351-9E3A-D6D114839E8C}"/>
                </c:ext>
              </c:extLst>
            </c:dLbl>
            <c:dLbl>
              <c:idx val="1"/>
              <c:layout>
                <c:manualLayout>
                  <c:x val="-5.8062142668404717E-17"/>
                  <c:y val="0.1519431038862077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33E-4351-9E3A-D6D114839E8C}"/>
                </c:ext>
              </c:extLst>
            </c:dLbl>
            <c:dLbl>
              <c:idx val="2"/>
              <c:layout>
                <c:manualLayout>
                  <c:x val="-5.8062142668404717E-17"/>
                  <c:y val="0.149373102555728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33E-4351-9E3A-D6D114839E8C}"/>
                </c:ext>
              </c:extLst>
            </c:dLbl>
            <c:dLbl>
              <c:idx val="3"/>
              <c:layout>
                <c:manualLayout>
                  <c:x val="0"/>
                  <c:y val="0.145798710645040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33E-4351-9E3A-D6D114839E8C}"/>
                </c:ext>
              </c:extLst>
            </c:dLbl>
            <c:dLbl>
              <c:idx val="4"/>
              <c:layout>
                <c:manualLayout>
                  <c:x val="1.1612428533680943E-16"/>
                  <c:y val="0.159874693082719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33E-4351-9E3A-D6D114839E8C}"/>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TABLICA!$B$39:$B$43</c:f>
              <c:strCache>
                <c:ptCount val="5"/>
                <c:pt idx="0">
                  <c:v>Olsztyn</c:v>
                </c:pt>
                <c:pt idx="1">
                  <c:v>Kielce</c:v>
                </c:pt>
                <c:pt idx="2">
                  <c:v>Białystok</c:v>
                </c:pt>
                <c:pt idx="3">
                  <c:v>Rzeszów</c:v>
                </c:pt>
                <c:pt idx="4">
                  <c:v>Lublin</c:v>
                </c:pt>
              </c:strCache>
            </c:strRef>
          </c:cat>
          <c:val>
            <c:numRef>
              <c:f>TABLICA!$C$39:$C$43</c:f>
              <c:numCache>
                <c:formatCode>#,##0</c:formatCode>
                <c:ptCount val="5"/>
                <c:pt idx="0">
                  <c:v>247</c:v>
                </c:pt>
                <c:pt idx="1">
                  <c:v>247</c:v>
                </c:pt>
                <c:pt idx="2">
                  <c:v>139</c:v>
                </c:pt>
                <c:pt idx="3">
                  <c:v>230</c:v>
                </c:pt>
                <c:pt idx="4">
                  <c:v>225</c:v>
                </c:pt>
              </c:numCache>
            </c:numRef>
          </c:val>
          <c:extLst>
            <c:ext xmlns:c16="http://schemas.microsoft.com/office/drawing/2014/chart" uri="{C3380CC4-5D6E-409C-BE32-E72D297353CC}">
              <c16:uniqueId val="{00000005-633E-4351-9E3A-D6D114839E8C}"/>
            </c:ext>
          </c:extLst>
        </c:ser>
        <c:ser>
          <c:idx val="1"/>
          <c:order val="1"/>
          <c:tx>
            <c:strRef>
              <c:f>TABLICA!$D$38</c:f>
              <c:strCache>
                <c:ptCount val="1"/>
                <c:pt idx="0">
                  <c:v>2019</c:v>
                </c:pt>
              </c:strCache>
            </c:strRef>
          </c:tx>
          <c:spPr>
            <a:solidFill>
              <a:schemeClr val="accent2"/>
            </a:solidFill>
            <a:ln>
              <a:noFill/>
            </a:ln>
            <a:effectLst/>
          </c:spPr>
          <c:invertIfNegative val="0"/>
          <c:dLbls>
            <c:dLbl>
              <c:idx val="0"/>
              <c:layout>
                <c:manualLayout>
                  <c:x val="3.1670625494853522E-3"/>
                  <c:y val="0.153730299841552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33E-4351-9E3A-D6D114839E8C}"/>
                </c:ext>
              </c:extLst>
            </c:dLbl>
            <c:dLbl>
              <c:idx val="1"/>
              <c:layout>
                <c:manualLayout>
                  <c:x val="0"/>
                  <c:y val="0.1457987106450403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33E-4351-9E3A-D6D114839E8C}"/>
                </c:ext>
              </c:extLst>
            </c:dLbl>
            <c:dLbl>
              <c:idx val="2"/>
              <c:layout>
                <c:manualLayout>
                  <c:x val="0"/>
                  <c:y val="0.1450159052699057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33E-4351-9E3A-D6D114839E8C}"/>
                </c:ext>
              </c:extLst>
            </c:dLbl>
            <c:dLbl>
              <c:idx val="3"/>
              <c:layout>
                <c:manualLayout>
                  <c:x val="0"/>
                  <c:y val="0.147585906600384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33E-4351-9E3A-D6D114839E8C}"/>
                </c:ext>
              </c:extLst>
            </c:dLbl>
            <c:dLbl>
              <c:idx val="4"/>
              <c:layout>
                <c:manualLayout>
                  <c:x val="-1.1612428533680943E-16"/>
                  <c:y val="0.153730299841552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33E-4351-9E3A-D6D114839E8C}"/>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TABLICA!$B$39:$B$43</c:f>
              <c:strCache>
                <c:ptCount val="5"/>
                <c:pt idx="0">
                  <c:v>Olsztyn</c:v>
                </c:pt>
                <c:pt idx="1">
                  <c:v>Kielce</c:v>
                </c:pt>
                <c:pt idx="2">
                  <c:v>Białystok</c:v>
                </c:pt>
                <c:pt idx="3">
                  <c:v>Rzeszów</c:v>
                </c:pt>
                <c:pt idx="4">
                  <c:v>Lublin</c:v>
                </c:pt>
              </c:strCache>
            </c:strRef>
          </c:cat>
          <c:val>
            <c:numRef>
              <c:f>TABLICA!$D$39:$D$43</c:f>
              <c:numCache>
                <c:formatCode>#,##0</c:formatCode>
                <c:ptCount val="5"/>
                <c:pt idx="0">
                  <c:v>211</c:v>
                </c:pt>
                <c:pt idx="1">
                  <c:v>175</c:v>
                </c:pt>
                <c:pt idx="2">
                  <c:v>156</c:v>
                </c:pt>
                <c:pt idx="3">
                  <c:v>195</c:v>
                </c:pt>
                <c:pt idx="4">
                  <c:v>209</c:v>
                </c:pt>
              </c:numCache>
            </c:numRef>
          </c:val>
          <c:extLst>
            <c:ext xmlns:c16="http://schemas.microsoft.com/office/drawing/2014/chart" uri="{C3380CC4-5D6E-409C-BE32-E72D297353CC}">
              <c16:uniqueId val="{0000000B-633E-4351-9E3A-D6D114839E8C}"/>
            </c:ext>
          </c:extLst>
        </c:ser>
        <c:dLbls>
          <c:showLegendKey val="0"/>
          <c:showVal val="0"/>
          <c:showCatName val="0"/>
          <c:showSerName val="0"/>
          <c:showPercent val="0"/>
          <c:showBubbleSize val="0"/>
        </c:dLbls>
        <c:gapWidth val="219"/>
        <c:overlap val="-27"/>
        <c:axId val="450259088"/>
        <c:axId val="450259416"/>
      </c:barChart>
      <c:catAx>
        <c:axId val="450259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50259416"/>
        <c:crosses val="autoZero"/>
        <c:auto val="1"/>
        <c:lblAlgn val="ctr"/>
        <c:lblOffset val="100"/>
        <c:noMultiLvlLbl val="0"/>
      </c:catAx>
      <c:valAx>
        <c:axId val="4502594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50259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layout>
                <c:manualLayout>
                  <c:x val="0"/>
                  <c:y val="9.95260539704626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967-47A2-8E40-7290CCC11AFA}"/>
                </c:ext>
              </c:extLst>
            </c:dLbl>
            <c:dLbl>
              <c:idx val="1"/>
              <c:layout>
                <c:manualLayout>
                  <c:x val="-5.6014928528745406E-17"/>
                  <c:y val="0.1050552791910437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967-47A2-8E40-7290CCC11AFA}"/>
                </c:ext>
              </c:extLst>
            </c:dLbl>
            <c:dLbl>
              <c:idx val="2"/>
              <c:layout>
                <c:manualLayout>
                  <c:x val="-5.6014928528745406E-17"/>
                  <c:y val="9.39968287498813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967-47A2-8E40-7290CCC11AFA}"/>
                </c:ext>
              </c:extLst>
            </c:dLbl>
            <c:dLbl>
              <c:idx val="3"/>
              <c:layout>
                <c:manualLayout>
                  <c:x val="3.0553950337078722E-3"/>
                  <c:y val="9.39968287498813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967-47A2-8E40-7290CCC11AFA}"/>
                </c:ext>
              </c:extLst>
            </c:dLbl>
            <c:dLbl>
              <c:idx val="4"/>
              <c:layout>
                <c:manualLayout>
                  <c:x val="-1.1202985705749081E-16"/>
                  <c:y val="9.39968287498813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967-47A2-8E40-7290CCC11AFA}"/>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TABLICA!$G$178:$G$182</c:f>
              <c:strCache>
                <c:ptCount val="5"/>
                <c:pt idx="0">
                  <c:v>Olsztyn</c:v>
                </c:pt>
                <c:pt idx="1">
                  <c:v>Kielce</c:v>
                </c:pt>
                <c:pt idx="2">
                  <c:v>Białystok</c:v>
                </c:pt>
                <c:pt idx="3">
                  <c:v>Rzeszów</c:v>
                </c:pt>
                <c:pt idx="4">
                  <c:v>Lublin</c:v>
                </c:pt>
              </c:strCache>
            </c:strRef>
          </c:cat>
          <c:val>
            <c:numRef>
              <c:f>TABLICA!$H$178:$H$182</c:f>
              <c:numCache>
                <c:formatCode>General</c:formatCode>
                <c:ptCount val="5"/>
                <c:pt idx="0">
                  <c:v>0.81</c:v>
                </c:pt>
                <c:pt idx="1">
                  <c:v>0.48</c:v>
                </c:pt>
                <c:pt idx="2">
                  <c:v>0.57999999999999996</c:v>
                </c:pt>
                <c:pt idx="3">
                  <c:v>0.64</c:v>
                </c:pt>
                <c:pt idx="4">
                  <c:v>0.76</c:v>
                </c:pt>
              </c:numCache>
            </c:numRef>
          </c:val>
          <c:extLst>
            <c:ext xmlns:c16="http://schemas.microsoft.com/office/drawing/2014/chart" uri="{C3380CC4-5D6E-409C-BE32-E72D297353CC}">
              <c16:uniqueId val="{00000005-D967-47A2-8E40-7290CCC11AFA}"/>
            </c:ext>
          </c:extLst>
        </c:ser>
        <c:dLbls>
          <c:showLegendKey val="0"/>
          <c:showVal val="0"/>
          <c:showCatName val="0"/>
          <c:showSerName val="0"/>
          <c:showPercent val="0"/>
          <c:showBubbleSize val="0"/>
        </c:dLbls>
        <c:gapWidth val="219"/>
        <c:overlap val="-27"/>
        <c:axId val="325700344"/>
        <c:axId val="324958272"/>
      </c:barChart>
      <c:catAx>
        <c:axId val="325700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24958272"/>
        <c:crosses val="autoZero"/>
        <c:auto val="1"/>
        <c:lblAlgn val="ctr"/>
        <c:lblOffset val="100"/>
        <c:noMultiLvlLbl val="0"/>
      </c:catAx>
      <c:valAx>
        <c:axId val="324958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325700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TABLICA!$O$4</c:f>
              <c:strCache>
                <c:ptCount val="1"/>
                <c:pt idx="0">
                  <c:v>2014</c:v>
                </c:pt>
              </c:strCache>
            </c:strRef>
          </c:tx>
          <c:spPr>
            <a:solidFill>
              <a:schemeClr val="accent1"/>
            </a:solidFill>
            <a:ln>
              <a:noFill/>
            </a:ln>
            <a:effectLst/>
          </c:spPr>
          <c:invertIfNegative val="0"/>
          <c:dLbls>
            <c:dLbl>
              <c:idx val="0"/>
              <c:layout>
                <c:manualLayout>
                  <c:x val="0"/>
                  <c:y val="0.107357120900427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FA1-4B5C-9CA6-5DFCB8162F94}"/>
                </c:ext>
              </c:extLst>
            </c:dLbl>
            <c:dLbl>
              <c:idx val="1"/>
              <c:layout>
                <c:manualLayout>
                  <c:x val="-6.111042119797659E-17"/>
                  <c:y val="9.99749355654867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FA1-4B5C-9CA6-5DFCB8162F94}"/>
                </c:ext>
              </c:extLst>
            </c:dLbl>
            <c:dLbl>
              <c:idx val="2"/>
              <c:layout>
                <c:manualLayout>
                  <c:x val="-6.111042119797659E-17"/>
                  <c:y val="0.101351114894421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FA1-4B5C-9CA6-5DFCB8162F94}"/>
                </c:ext>
              </c:extLst>
            </c:dLbl>
            <c:dLbl>
              <c:idx val="3"/>
              <c:layout>
                <c:manualLayout>
                  <c:x val="-2.7776910177666715E-3"/>
                  <c:y val="0.107357120900427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FA1-4B5C-9CA6-5DFCB8162F94}"/>
                </c:ext>
              </c:extLst>
            </c:dLbl>
            <c:dLbl>
              <c:idx val="4"/>
              <c:layout>
                <c:manualLayout>
                  <c:x val="-3.3333342082242016E-3"/>
                  <c:y val="0.101351114894421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FA1-4B5C-9CA6-5DFCB8162F94}"/>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TABLICA!$N$5:$N$9</c:f>
              <c:strCache>
                <c:ptCount val="5"/>
                <c:pt idx="0">
                  <c:v>Olsztyn</c:v>
                </c:pt>
                <c:pt idx="1">
                  <c:v>Kielce</c:v>
                </c:pt>
                <c:pt idx="2">
                  <c:v>Białystok</c:v>
                </c:pt>
                <c:pt idx="3">
                  <c:v>Rzeszów</c:v>
                </c:pt>
                <c:pt idx="4">
                  <c:v>Lublin</c:v>
                </c:pt>
              </c:strCache>
            </c:strRef>
          </c:cat>
          <c:val>
            <c:numRef>
              <c:f>TABLICA!$O$5:$O$9</c:f>
              <c:numCache>
                <c:formatCode>#,##0</c:formatCode>
                <c:ptCount val="5"/>
                <c:pt idx="0">
                  <c:v>34</c:v>
                </c:pt>
                <c:pt idx="1">
                  <c:v>34</c:v>
                </c:pt>
                <c:pt idx="2">
                  <c:v>21</c:v>
                </c:pt>
                <c:pt idx="3">
                  <c:v>46</c:v>
                </c:pt>
                <c:pt idx="4">
                  <c:v>54</c:v>
                </c:pt>
              </c:numCache>
            </c:numRef>
          </c:val>
          <c:extLst>
            <c:ext xmlns:c16="http://schemas.microsoft.com/office/drawing/2014/chart" uri="{C3380CC4-5D6E-409C-BE32-E72D297353CC}">
              <c16:uniqueId val="{00000005-CFA1-4B5C-9CA6-5DFCB8162F94}"/>
            </c:ext>
          </c:extLst>
        </c:ser>
        <c:ser>
          <c:idx val="1"/>
          <c:order val="1"/>
          <c:tx>
            <c:strRef>
              <c:f>TABLICA!$P$4</c:f>
              <c:strCache>
                <c:ptCount val="1"/>
                <c:pt idx="0">
                  <c:v>2018</c:v>
                </c:pt>
              </c:strCache>
            </c:strRef>
          </c:tx>
          <c:spPr>
            <a:solidFill>
              <a:schemeClr val="accent2"/>
            </a:solidFill>
            <a:ln>
              <a:noFill/>
            </a:ln>
            <a:effectLst/>
          </c:spPr>
          <c:invertIfNegative val="0"/>
          <c:dLbls>
            <c:dLbl>
              <c:idx val="0"/>
              <c:layout>
                <c:manualLayout>
                  <c:x val="0"/>
                  <c:y val="9.99749355654867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FA1-4B5C-9CA6-5DFCB8162F94}"/>
                </c:ext>
              </c:extLst>
            </c:dLbl>
            <c:dLbl>
              <c:idx val="1"/>
              <c:layout>
                <c:manualLayout>
                  <c:x val="3.3333342082241405E-3"/>
                  <c:y val="9.53455818022746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FA1-4B5C-9CA6-5DFCB8162F94}"/>
                </c:ext>
              </c:extLst>
            </c:dLbl>
            <c:dLbl>
              <c:idx val="2"/>
              <c:layout>
                <c:manualLayout>
                  <c:x val="-6.111042119797659E-17"/>
                  <c:y val="0.101351114894421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FA1-4B5C-9CA6-5DFCB8162F94}"/>
                </c:ext>
              </c:extLst>
            </c:dLbl>
            <c:dLbl>
              <c:idx val="3"/>
              <c:layout>
                <c:manualLayout>
                  <c:x val="-1.2222084239595318E-16"/>
                  <c:y val="0.107357593814286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FA1-4B5C-9CA6-5DFCB8162F94}"/>
                </c:ext>
              </c:extLst>
            </c:dLbl>
            <c:dLbl>
              <c:idx val="4"/>
              <c:layout>
                <c:manualLayout>
                  <c:x val="-1.2222084239595318E-16"/>
                  <c:y val="0.1087337731432219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FA1-4B5C-9CA6-5DFCB8162F94}"/>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TABLICA!$N$5:$N$9</c:f>
              <c:strCache>
                <c:ptCount val="5"/>
                <c:pt idx="0">
                  <c:v>Olsztyn</c:v>
                </c:pt>
                <c:pt idx="1">
                  <c:v>Kielce</c:v>
                </c:pt>
                <c:pt idx="2">
                  <c:v>Białystok</c:v>
                </c:pt>
                <c:pt idx="3">
                  <c:v>Rzeszów</c:v>
                </c:pt>
                <c:pt idx="4">
                  <c:v>Lublin</c:v>
                </c:pt>
              </c:strCache>
            </c:strRef>
          </c:cat>
          <c:val>
            <c:numRef>
              <c:f>TABLICA!$P$5:$P$9</c:f>
              <c:numCache>
                <c:formatCode>#,##0</c:formatCode>
                <c:ptCount val="5"/>
                <c:pt idx="0">
                  <c:v>30</c:v>
                </c:pt>
                <c:pt idx="1">
                  <c:v>39</c:v>
                </c:pt>
                <c:pt idx="2">
                  <c:v>27</c:v>
                </c:pt>
                <c:pt idx="3">
                  <c:v>42</c:v>
                </c:pt>
                <c:pt idx="4">
                  <c:v>62</c:v>
                </c:pt>
              </c:numCache>
            </c:numRef>
          </c:val>
          <c:extLst>
            <c:ext xmlns:c16="http://schemas.microsoft.com/office/drawing/2014/chart" uri="{C3380CC4-5D6E-409C-BE32-E72D297353CC}">
              <c16:uniqueId val="{0000000B-CFA1-4B5C-9CA6-5DFCB8162F94}"/>
            </c:ext>
          </c:extLst>
        </c:ser>
        <c:dLbls>
          <c:showLegendKey val="0"/>
          <c:showVal val="0"/>
          <c:showCatName val="0"/>
          <c:showSerName val="0"/>
          <c:showPercent val="0"/>
          <c:showBubbleSize val="0"/>
        </c:dLbls>
        <c:gapWidth val="219"/>
        <c:overlap val="-27"/>
        <c:axId val="422213936"/>
        <c:axId val="422212624"/>
      </c:barChart>
      <c:catAx>
        <c:axId val="422213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2212624"/>
        <c:crosses val="autoZero"/>
        <c:auto val="1"/>
        <c:lblAlgn val="ctr"/>
        <c:lblOffset val="100"/>
        <c:noMultiLvlLbl val="0"/>
      </c:catAx>
      <c:valAx>
        <c:axId val="4222126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2213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TABLICA!$C$20</c:f>
              <c:strCache>
                <c:ptCount val="1"/>
                <c:pt idx="0">
                  <c:v>2014</c:v>
                </c:pt>
              </c:strCache>
            </c:strRef>
          </c:tx>
          <c:spPr>
            <a:solidFill>
              <a:schemeClr val="accent1"/>
            </a:solidFill>
            <a:ln>
              <a:noFill/>
            </a:ln>
            <a:effectLst/>
          </c:spPr>
          <c:invertIfNegative val="0"/>
          <c:dLbls>
            <c:dLbl>
              <c:idx val="0"/>
              <c:layout>
                <c:manualLayout>
                  <c:x val="0"/>
                  <c:y val="7.87037037037036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8BF-458C-A736-08E92958B816}"/>
                </c:ext>
              </c:extLst>
            </c:dLbl>
            <c:dLbl>
              <c:idx val="1"/>
              <c:layout>
                <c:manualLayout>
                  <c:x val="0"/>
                  <c:y val="8.79629629629629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8BF-458C-A736-08E92958B816}"/>
                </c:ext>
              </c:extLst>
            </c:dLbl>
            <c:dLbl>
              <c:idx val="2"/>
              <c:layout>
                <c:manualLayout>
                  <c:x val="0"/>
                  <c:y val="0.124999999999999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8BF-458C-A736-08E92958B816}"/>
                </c:ext>
              </c:extLst>
            </c:dLbl>
            <c:dLbl>
              <c:idx val="3"/>
              <c:layout>
                <c:manualLayout>
                  <c:x val="0"/>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8BF-458C-A736-08E92958B816}"/>
                </c:ext>
              </c:extLst>
            </c:dLbl>
            <c:dLbl>
              <c:idx val="4"/>
              <c:layout>
                <c:manualLayout>
                  <c:x val="-1.0185067526415994E-16"/>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8BF-458C-A736-08E92958B816}"/>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TABLICA!$B$21:$B$25</c:f>
              <c:strCache>
                <c:ptCount val="5"/>
                <c:pt idx="0">
                  <c:v>Olsztyn</c:v>
                </c:pt>
                <c:pt idx="1">
                  <c:v>Kielce</c:v>
                </c:pt>
                <c:pt idx="2">
                  <c:v>Białystok</c:v>
                </c:pt>
                <c:pt idx="3">
                  <c:v>Rzeszów</c:v>
                </c:pt>
                <c:pt idx="4">
                  <c:v>Lublin</c:v>
                </c:pt>
              </c:strCache>
            </c:strRef>
          </c:cat>
          <c:val>
            <c:numRef>
              <c:f>TABLICA!$C$21:$C$25</c:f>
              <c:numCache>
                <c:formatCode>#,##0</c:formatCode>
                <c:ptCount val="5"/>
                <c:pt idx="0">
                  <c:v>50</c:v>
                </c:pt>
                <c:pt idx="1">
                  <c:v>46</c:v>
                </c:pt>
                <c:pt idx="2">
                  <c:v>106</c:v>
                </c:pt>
                <c:pt idx="3">
                  <c:v>76</c:v>
                </c:pt>
                <c:pt idx="4">
                  <c:v>79</c:v>
                </c:pt>
              </c:numCache>
            </c:numRef>
          </c:val>
          <c:extLst>
            <c:ext xmlns:c16="http://schemas.microsoft.com/office/drawing/2014/chart" uri="{C3380CC4-5D6E-409C-BE32-E72D297353CC}">
              <c16:uniqueId val="{00000005-B8BF-458C-A736-08E92958B816}"/>
            </c:ext>
          </c:extLst>
        </c:ser>
        <c:ser>
          <c:idx val="1"/>
          <c:order val="1"/>
          <c:tx>
            <c:strRef>
              <c:f>TABLICA!$D$20</c:f>
              <c:strCache>
                <c:ptCount val="1"/>
                <c:pt idx="0">
                  <c:v>2016</c:v>
                </c:pt>
              </c:strCache>
            </c:strRef>
          </c:tx>
          <c:spPr>
            <a:solidFill>
              <a:schemeClr val="accent2"/>
            </a:solidFill>
            <a:ln>
              <a:noFill/>
            </a:ln>
            <a:effectLst/>
          </c:spPr>
          <c:invertIfNegative val="0"/>
          <c:dLbls>
            <c:dLbl>
              <c:idx val="0"/>
              <c:layout>
                <c:manualLayout>
                  <c:x val="-2.7777777777777779E-3"/>
                  <c:y val="7.40740740740739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8BF-458C-A736-08E92958B816}"/>
                </c:ext>
              </c:extLst>
            </c:dLbl>
            <c:dLbl>
              <c:idx val="1"/>
              <c:layout>
                <c:manualLayout>
                  <c:x val="0"/>
                  <c:y val="7.87037037037037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8BF-458C-A736-08E92958B816}"/>
                </c:ext>
              </c:extLst>
            </c:dLbl>
            <c:dLbl>
              <c:idx val="2"/>
              <c:layout>
                <c:manualLayout>
                  <c:x val="-1.0185067526415994E-16"/>
                  <c:y val="8.79629629629629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8BF-458C-A736-08E92958B816}"/>
                </c:ext>
              </c:extLst>
            </c:dLbl>
            <c:dLbl>
              <c:idx val="3"/>
              <c:layout>
                <c:manualLayout>
                  <c:x val="-1.0185067526415994E-16"/>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8BF-458C-A736-08E92958B816}"/>
                </c:ext>
              </c:extLst>
            </c:dLbl>
            <c:dLbl>
              <c:idx val="4"/>
              <c:layout>
                <c:manualLayout>
                  <c:x val="0"/>
                  <c:y val="7.87037037037036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8BF-458C-A736-08E92958B816}"/>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TABLICA!$B$21:$B$25</c:f>
              <c:strCache>
                <c:ptCount val="5"/>
                <c:pt idx="0">
                  <c:v>Olsztyn</c:v>
                </c:pt>
                <c:pt idx="1">
                  <c:v>Kielce</c:v>
                </c:pt>
                <c:pt idx="2">
                  <c:v>Białystok</c:v>
                </c:pt>
                <c:pt idx="3">
                  <c:v>Rzeszów</c:v>
                </c:pt>
                <c:pt idx="4">
                  <c:v>Lublin</c:v>
                </c:pt>
              </c:strCache>
            </c:strRef>
          </c:cat>
          <c:val>
            <c:numRef>
              <c:f>TABLICA!$D$21:$D$25</c:f>
              <c:numCache>
                <c:formatCode>#,##0</c:formatCode>
                <c:ptCount val="5"/>
                <c:pt idx="0">
                  <c:v>57</c:v>
                </c:pt>
                <c:pt idx="1">
                  <c:v>58</c:v>
                </c:pt>
                <c:pt idx="2">
                  <c:v>110</c:v>
                </c:pt>
                <c:pt idx="3">
                  <c:v>95</c:v>
                </c:pt>
                <c:pt idx="4">
                  <c:v>78</c:v>
                </c:pt>
              </c:numCache>
            </c:numRef>
          </c:val>
          <c:extLst>
            <c:ext xmlns:c16="http://schemas.microsoft.com/office/drawing/2014/chart" uri="{C3380CC4-5D6E-409C-BE32-E72D297353CC}">
              <c16:uniqueId val="{0000000B-B8BF-458C-A736-08E92958B816}"/>
            </c:ext>
          </c:extLst>
        </c:ser>
        <c:ser>
          <c:idx val="2"/>
          <c:order val="2"/>
          <c:tx>
            <c:strRef>
              <c:f>TABLICA!$E$20</c:f>
              <c:strCache>
                <c:ptCount val="1"/>
                <c:pt idx="0">
                  <c:v>2018</c:v>
                </c:pt>
              </c:strCache>
            </c:strRef>
          </c:tx>
          <c:spPr>
            <a:solidFill>
              <a:schemeClr val="accent3"/>
            </a:solidFill>
            <a:ln>
              <a:noFill/>
            </a:ln>
            <a:effectLst/>
          </c:spPr>
          <c:invertIfNegative val="0"/>
          <c:dLbls>
            <c:dLbl>
              <c:idx val="0"/>
              <c:layout>
                <c:manualLayout>
                  <c:x val="0"/>
                  <c:y val="7.407407407407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8BF-458C-A736-08E92958B816}"/>
                </c:ext>
              </c:extLst>
            </c:dLbl>
            <c:dLbl>
              <c:idx val="1"/>
              <c:layout>
                <c:manualLayout>
                  <c:x val="2.7777777777777267E-3"/>
                  <c:y val="7.407407407407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8BF-458C-A736-08E92958B816}"/>
                </c:ext>
              </c:extLst>
            </c:dLbl>
            <c:dLbl>
              <c:idx val="2"/>
              <c:layout>
                <c:manualLayout>
                  <c:x val="-1.0185067526415994E-16"/>
                  <c:y val="7.40740740740740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8BF-458C-A736-08E92958B816}"/>
                </c:ext>
              </c:extLst>
            </c:dLbl>
            <c:dLbl>
              <c:idx val="3"/>
              <c:layout>
                <c:manualLayout>
                  <c:x val="0"/>
                  <c:y val="7.407407407407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B8BF-458C-A736-08E92958B816}"/>
                </c:ext>
              </c:extLst>
            </c:dLbl>
            <c:dLbl>
              <c:idx val="4"/>
              <c:layout>
                <c:manualLayout>
                  <c:x val="-1.0185067526415994E-16"/>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B8BF-458C-A736-08E92958B816}"/>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TABLICA!$B$21:$B$25</c:f>
              <c:strCache>
                <c:ptCount val="5"/>
                <c:pt idx="0">
                  <c:v>Olsztyn</c:v>
                </c:pt>
                <c:pt idx="1">
                  <c:v>Kielce</c:v>
                </c:pt>
                <c:pt idx="2">
                  <c:v>Białystok</c:v>
                </c:pt>
                <c:pt idx="3">
                  <c:v>Rzeszów</c:v>
                </c:pt>
                <c:pt idx="4">
                  <c:v>Lublin</c:v>
                </c:pt>
              </c:strCache>
            </c:strRef>
          </c:cat>
          <c:val>
            <c:numRef>
              <c:f>TABLICA!$E$21:$E$25</c:f>
              <c:numCache>
                <c:formatCode>#,##0</c:formatCode>
                <c:ptCount val="5"/>
                <c:pt idx="0">
                  <c:v>64</c:v>
                </c:pt>
                <c:pt idx="1">
                  <c:v>55</c:v>
                </c:pt>
                <c:pt idx="2">
                  <c:v>123</c:v>
                </c:pt>
                <c:pt idx="3">
                  <c:v>107</c:v>
                </c:pt>
                <c:pt idx="4">
                  <c:v>85</c:v>
                </c:pt>
              </c:numCache>
            </c:numRef>
          </c:val>
          <c:extLst>
            <c:ext xmlns:c16="http://schemas.microsoft.com/office/drawing/2014/chart" uri="{C3380CC4-5D6E-409C-BE32-E72D297353CC}">
              <c16:uniqueId val="{00000011-B8BF-458C-A736-08E92958B816}"/>
            </c:ext>
          </c:extLst>
        </c:ser>
        <c:dLbls>
          <c:showLegendKey val="0"/>
          <c:showVal val="0"/>
          <c:showCatName val="0"/>
          <c:showSerName val="0"/>
          <c:showPercent val="0"/>
          <c:showBubbleSize val="0"/>
        </c:dLbls>
        <c:gapWidth val="219"/>
        <c:overlap val="-27"/>
        <c:axId val="426155904"/>
        <c:axId val="426154592"/>
      </c:barChart>
      <c:catAx>
        <c:axId val="426155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6154592"/>
        <c:crosses val="autoZero"/>
        <c:auto val="1"/>
        <c:lblAlgn val="ctr"/>
        <c:lblOffset val="100"/>
        <c:noMultiLvlLbl val="0"/>
      </c:catAx>
      <c:valAx>
        <c:axId val="4261545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426155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drogi!$C$30</c:f>
              <c:strCache>
                <c:ptCount val="1"/>
                <c:pt idx="0">
                  <c:v>2013</c:v>
                </c:pt>
              </c:strCache>
            </c:strRef>
          </c:tx>
          <c:spPr>
            <a:solidFill>
              <a:schemeClr val="accent1"/>
            </a:solidFill>
            <a:ln>
              <a:noFill/>
            </a:ln>
            <a:effectLst/>
          </c:spPr>
          <c:invertIfNegative val="0"/>
          <c:dLbls>
            <c:dLbl>
              <c:idx val="0"/>
              <c:layout>
                <c:manualLayout>
                  <c:x val="-2.5462668816039986E-17"/>
                  <c:y val="0.152777777777777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C8B-41C1-B660-F4F7102E04F4}"/>
                </c:ext>
              </c:extLst>
            </c:dLbl>
            <c:dLbl>
              <c:idx val="1"/>
              <c:layout>
                <c:manualLayout>
                  <c:x val="-2.7777777777777779E-3"/>
                  <c:y val="0.152777777777777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C8B-41C1-B660-F4F7102E04F4}"/>
                </c:ext>
              </c:extLst>
            </c:dLbl>
            <c:dLbl>
              <c:idx val="2"/>
              <c:layout>
                <c:manualLayout>
                  <c:x val="0"/>
                  <c:y val="0.138888888888888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C8B-41C1-B660-F4F7102E04F4}"/>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drogi!$B$31:$B$33</c:f>
              <c:strCache>
                <c:ptCount val="3"/>
                <c:pt idx="0">
                  <c:v>o nawierzchni twardej</c:v>
                </c:pt>
                <c:pt idx="1">
                  <c:v>o nawierzchni twardej ulepszonej</c:v>
                </c:pt>
                <c:pt idx="2">
                  <c:v>o nawierzchni gruntowej</c:v>
                </c:pt>
              </c:strCache>
            </c:strRef>
          </c:cat>
          <c:val>
            <c:numRef>
              <c:f>drogi!$C$31:$C$33</c:f>
              <c:numCache>
                <c:formatCode>#,##0</c:formatCode>
                <c:ptCount val="3"/>
                <c:pt idx="0">
                  <c:v>209</c:v>
                </c:pt>
                <c:pt idx="1">
                  <c:v>202.8</c:v>
                </c:pt>
                <c:pt idx="2">
                  <c:v>81.400000000000006</c:v>
                </c:pt>
              </c:numCache>
            </c:numRef>
          </c:val>
          <c:extLst>
            <c:ext xmlns:c16="http://schemas.microsoft.com/office/drawing/2014/chart" uri="{C3380CC4-5D6E-409C-BE32-E72D297353CC}">
              <c16:uniqueId val="{00000003-8C8B-41C1-B660-F4F7102E04F4}"/>
            </c:ext>
          </c:extLst>
        </c:ser>
        <c:ser>
          <c:idx val="1"/>
          <c:order val="1"/>
          <c:tx>
            <c:strRef>
              <c:f>drogi!$D$30</c:f>
              <c:strCache>
                <c:ptCount val="1"/>
                <c:pt idx="0">
                  <c:v>2019</c:v>
                </c:pt>
              </c:strCache>
            </c:strRef>
          </c:tx>
          <c:spPr>
            <a:solidFill>
              <a:schemeClr val="accent2"/>
            </a:solidFill>
            <a:ln>
              <a:noFill/>
            </a:ln>
            <a:effectLst/>
          </c:spPr>
          <c:invertIfNegative val="0"/>
          <c:dLbls>
            <c:dLbl>
              <c:idx val="0"/>
              <c:layout>
                <c:manualLayout>
                  <c:x val="0"/>
                  <c:y val="0.148148148148148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C8B-41C1-B660-F4F7102E04F4}"/>
                </c:ext>
              </c:extLst>
            </c:dLbl>
            <c:dLbl>
              <c:idx val="1"/>
              <c:layout>
                <c:manualLayout>
                  <c:x val="0"/>
                  <c:y val="0.1527777777777777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C8B-41C1-B660-F4F7102E04F4}"/>
                </c:ext>
              </c:extLst>
            </c:dLbl>
            <c:dLbl>
              <c:idx val="2"/>
              <c:layout>
                <c:manualLayout>
                  <c:x val="1.0185067526415994E-16"/>
                  <c:y val="0.134259259259259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C8B-41C1-B660-F4F7102E04F4}"/>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drogi!$B$31:$B$33</c:f>
              <c:strCache>
                <c:ptCount val="3"/>
                <c:pt idx="0">
                  <c:v>o nawierzchni twardej</c:v>
                </c:pt>
                <c:pt idx="1">
                  <c:v>o nawierzchni twardej ulepszonej</c:v>
                </c:pt>
                <c:pt idx="2">
                  <c:v>o nawierzchni gruntowej</c:v>
                </c:pt>
              </c:strCache>
            </c:strRef>
          </c:cat>
          <c:val>
            <c:numRef>
              <c:f>drogi!$D$31:$D$33</c:f>
              <c:numCache>
                <c:formatCode>#,##0</c:formatCode>
                <c:ptCount val="3"/>
                <c:pt idx="0">
                  <c:v>218.2</c:v>
                </c:pt>
                <c:pt idx="1">
                  <c:v>212</c:v>
                </c:pt>
                <c:pt idx="2">
                  <c:v>80.5</c:v>
                </c:pt>
              </c:numCache>
            </c:numRef>
          </c:val>
          <c:extLst>
            <c:ext xmlns:c16="http://schemas.microsoft.com/office/drawing/2014/chart" uri="{C3380CC4-5D6E-409C-BE32-E72D297353CC}">
              <c16:uniqueId val="{00000007-8C8B-41C1-B660-F4F7102E04F4}"/>
            </c:ext>
          </c:extLst>
        </c:ser>
        <c:dLbls>
          <c:showLegendKey val="0"/>
          <c:showVal val="0"/>
          <c:showCatName val="0"/>
          <c:showSerName val="0"/>
          <c:showPercent val="0"/>
          <c:showBubbleSize val="0"/>
        </c:dLbls>
        <c:gapWidth val="219"/>
        <c:overlap val="-27"/>
        <c:axId val="210106672"/>
        <c:axId val="210103392"/>
      </c:barChart>
      <c:catAx>
        <c:axId val="210106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10103392"/>
        <c:crosses val="autoZero"/>
        <c:auto val="1"/>
        <c:lblAlgn val="ctr"/>
        <c:lblOffset val="100"/>
        <c:noMultiLvlLbl val="0"/>
      </c:catAx>
      <c:valAx>
        <c:axId val="2101033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10106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092740692008796"/>
          <c:y val="3.6809332166812481E-2"/>
          <c:w val="0.38352048683209644"/>
          <c:h val="0.87044946048410621"/>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DC2-40EA-A11F-2510C6FBCE5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DC2-40EA-A11F-2510C6FBCE5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DC2-40EA-A11F-2510C6FBCE5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DC2-40EA-A11F-2510C6FBCE5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DC2-40EA-A11F-2510C6FBCE5C}"/>
              </c:ext>
            </c:extLst>
          </c:dPt>
          <c:dLbls>
            <c:dLbl>
              <c:idx val="0"/>
              <c:layout>
                <c:manualLayout>
                  <c:x val="-9.5447870778267344E-2"/>
                  <c:y val="0"/>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DC2-40EA-A11F-2510C6FBCE5C}"/>
                </c:ext>
              </c:extLst>
            </c:dLbl>
            <c:dLbl>
              <c:idx val="1"/>
              <c:layout>
                <c:manualLayout>
                  <c:x val="7.3421439060205127E-3"/>
                  <c:y val="-0.120092378752887"/>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DC2-40EA-A11F-2510C6FBCE5C}"/>
                </c:ext>
              </c:extLst>
            </c:dLbl>
            <c:dLbl>
              <c:idx val="2"/>
              <c:layout>
                <c:manualLayout>
                  <c:x val="7.8316201664219279E-2"/>
                  <c:y val="-8.314087759815251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DC2-40EA-A11F-2510C6FBCE5C}"/>
                </c:ext>
              </c:extLst>
            </c:dLbl>
            <c:dLbl>
              <c:idx val="3"/>
              <c:layout>
                <c:manualLayout>
                  <c:x val="6.8526676456191871E-2"/>
                  <c:y val="0.1154734411085450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DC2-40EA-A11F-2510C6FBCE5C}"/>
                </c:ext>
              </c:extLst>
            </c:dLbl>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Arkusz1!$A$31:$A$35</c:f>
              <c:strCache>
                <c:ptCount val="5"/>
                <c:pt idx="0">
                  <c:v>młodsze niż 5 lat</c:v>
                </c:pt>
                <c:pt idx="1">
                  <c:v>5-9 lat</c:v>
                </c:pt>
                <c:pt idx="2">
                  <c:v>10-14 lat</c:v>
                </c:pt>
                <c:pt idx="3">
                  <c:v>15-19 lat</c:v>
                </c:pt>
                <c:pt idx="4">
                  <c:v>starsze niż 20 lat</c:v>
                </c:pt>
              </c:strCache>
            </c:strRef>
          </c:cat>
          <c:val>
            <c:numRef>
              <c:f>Arkusz1!$B$31:$B$35</c:f>
              <c:numCache>
                <c:formatCode>0%</c:formatCode>
                <c:ptCount val="5"/>
                <c:pt idx="0">
                  <c:v>0.48</c:v>
                </c:pt>
                <c:pt idx="1">
                  <c:v>7.0000000000000007E-2</c:v>
                </c:pt>
                <c:pt idx="2">
                  <c:v>0.24</c:v>
                </c:pt>
                <c:pt idx="3">
                  <c:v>0.21</c:v>
                </c:pt>
                <c:pt idx="4" formatCode="0.00%">
                  <c:v>5.0000000000000001E-3</c:v>
                </c:pt>
              </c:numCache>
            </c:numRef>
          </c:val>
          <c:extLst>
            <c:ext xmlns:c16="http://schemas.microsoft.com/office/drawing/2014/chart" uri="{C3380CC4-5D6E-409C-BE32-E72D297353CC}">
              <c16:uniqueId val="{0000000A-0DC2-40EA-A11F-2510C6FBCE5C}"/>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73078362451389622"/>
          <c:y val="0.24319725045916601"/>
          <c:w val="0.25453208767406282"/>
          <c:h val="0.55138840901238395"/>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1BB59D-EC44-4555-B671-FD295B4954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2752</TotalTime>
  <Pages>151</Pages>
  <Words>38390</Words>
  <Characters>230344</Characters>
  <Application>Microsoft Office Word</Application>
  <DocSecurity>0</DocSecurity>
  <Lines>1919</Lines>
  <Paragraphs>536</Paragraphs>
  <ScaleCrop>false</ScaleCrop>
  <HeadingPairs>
    <vt:vector size="2" baseType="variant">
      <vt:variant>
        <vt:lpstr>Tytuł</vt:lpstr>
      </vt:variant>
      <vt:variant>
        <vt:i4>1</vt:i4>
      </vt:variant>
    </vt:vector>
  </HeadingPairs>
  <TitlesOfParts>
    <vt:vector size="1" baseType="lpstr">
      <vt:lpstr/>
    </vt:vector>
  </TitlesOfParts>
  <Company>Urząd Miasta Olsztyna</Company>
  <LinksUpToDate>false</LinksUpToDate>
  <CharactersWithSpaces>268198</CharactersWithSpaces>
  <SharedDoc>false</SharedDoc>
  <HLinks>
    <vt:vector size="654" baseType="variant">
      <vt:variant>
        <vt:i4>4194324</vt:i4>
      </vt:variant>
      <vt:variant>
        <vt:i4>582</vt:i4>
      </vt:variant>
      <vt:variant>
        <vt:i4>0</vt:i4>
      </vt:variant>
      <vt:variant>
        <vt:i4>5</vt:i4>
      </vt:variant>
      <vt:variant>
        <vt:lpwstr>https://www.plk-sa.pl/biuro-prasowe/mapy/</vt:lpwstr>
      </vt:variant>
      <vt:variant>
        <vt:lpwstr/>
      </vt:variant>
      <vt:variant>
        <vt:i4>852036</vt:i4>
      </vt:variant>
      <vt:variant>
        <vt:i4>549</vt:i4>
      </vt:variant>
      <vt:variant>
        <vt:i4>0</vt:i4>
      </vt:variant>
      <vt:variant>
        <vt:i4>5</vt:i4>
      </vt:variant>
      <vt:variant>
        <vt:lpwstr>http://www.wl.uwm.edu.pl/</vt:lpwstr>
      </vt:variant>
      <vt:variant>
        <vt:lpwstr/>
      </vt:variant>
      <vt:variant>
        <vt:i4>7405625</vt:i4>
      </vt:variant>
      <vt:variant>
        <vt:i4>534</vt:i4>
      </vt:variant>
      <vt:variant>
        <vt:i4>0</vt:i4>
      </vt:variant>
      <vt:variant>
        <vt:i4>5</vt:i4>
      </vt:variant>
      <vt:variant>
        <vt:lpwstr>http://journal.pan.olsztyn.pl/</vt:lpwstr>
      </vt:variant>
      <vt:variant>
        <vt:lpwstr/>
      </vt:variant>
      <vt:variant>
        <vt:i4>6946873</vt:i4>
      </vt:variant>
      <vt:variant>
        <vt:i4>525</vt:i4>
      </vt:variant>
      <vt:variant>
        <vt:i4>0</vt:i4>
      </vt:variant>
      <vt:variant>
        <vt:i4>5</vt:i4>
      </vt:variant>
      <vt:variant>
        <vt:lpwstr>http://ranking.perspektywy.pl/2019/ranking-uczelni-akademickich</vt:lpwstr>
      </vt:variant>
      <vt:variant>
        <vt:lpwstr/>
      </vt:variant>
      <vt:variant>
        <vt:i4>458799</vt:i4>
      </vt:variant>
      <vt:variant>
        <vt:i4>516</vt:i4>
      </vt:variant>
      <vt:variant>
        <vt:i4>0</vt:i4>
      </vt:variant>
      <vt:variant>
        <vt:i4>5</vt:i4>
      </vt:variant>
      <vt:variant>
        <vt:lpwstr>https://pl.wikipedia.org/wiki/Turystyka</vt:lpwstr>
      </vt:variant>
      <vt:variant>
        <vt:lpwstr>cite_note-2</vt:lpwstr>
      </vt:variant>
      <vt:variant>
        <vt:i4>3211368</vt:i4>
      </vt:variant>
      <vt:variant>
        <vt:i4>513</vt:i4>
      </vt:variant>
      <vt:variant>
        <vt:i4>0</vt:i4>
      </vt:variant>
      <vt:variant>
        <vt:i4>5</vt:i4>
      </vt:variant>
      <vt:variant>
        <vt:lpwstr>https://pl.wikipedia.org/wiki/Transport</vt:lpwstr>
      </vt:variant>
      <vt:variant>
        <vt:lpwstr/>
      </vt:variant>
      <vt:variant>
        <vt:i4>2228314</vt:i4>
      </vt:variant>
      <vt:variant>
        <vt:i4>510</vt:i4>
      </vt:variant>
      <vt:variant>
        <vt:i4>0</vt:i4>
      </vt:variant>
      <vt:variant>
        <vt:i4>5</vt:i4>
      </vt:variant>
      <vt:variant>
        <vt:lpwstr>https://pl.wikipedia.org/wiki/Gospodarka_komunalna</vt:lpwstr>
      </vt:variant>
      <vt:variant>
        <vt:lpwstr/>
      </vt:variant>
      <vt:variant>
        <vt:i4>4587522</vt:i4>
      </vt:variant>
      <vt:variant>
        <vt:i4>507</vt:i4>
      </vt:variant>
      <vt:variant>
        <vt:i4>0</vt:i4>
      </vt:variant>
      <vt:variant>
        <vt:i4>5</vt:i4>
      </vt:variant>
      <vt:variant>
        <vt:lpwstr>https://pl.wikipedia.org/wiki/Handel</vt:lpwstr>
      </vt:variant>
      <vt:variant>
        <vt:lpwstr/>
      </vt:variant>
      <vt:variant>
        <vt:i4>5373967</vt:i4>
      </vt:variant>
      <vt:variant>
        <vt:i4>504</vt:i4>
      </vt:variant>
      <vt:variant>
        <vt:i4>0</vt:i4>
      </vt:variant>
      <vt:variant>
        <vt:i4>5</vt:i4>
      </vt:variant>
      <vt:variant>
        <vt:lpwstr>https://pl.wikipedia.org/wiki/Bankowo%C5%9B%C4%87</vt:lpwstr>
      </vt:variant>
      <vt:variant>
        <vt:lpwstr/>
      </vt:variant>
      <vt:variant>
        <vt:i4>5439492</vt:i4>
      </vt:variant>
      <vt:variant>
        <vt:i4>501</vt:i4>
      </vt:variant>
      <vt:variant>
        <vt:i4>0</vt:i4>
      </vt:variant>
      <vt:variant>
        <vt:i4>5</vt:i4>
      </vt:variant>
      <vt:variant>
        <vt:lpwstr>https://pl.wikipedia.org/wiki/Gastronomia</vt:lpwstr>
      </vt:variant>
      <vt:variant>
        <vt:lpwstr/>
      </vt:variant>
      <vt:variant>
        <vt:i4>4194327</vt:i4>
      </vt:variant>
      <vt:variant>
        <vt:i4>498</vt:i4>
      </vt:variant>
      <vt:variant>
        <vt:i4>0</vt:i4>
      </vt:variant>
      <vt:variant>
        <vt:i4>5</vt:i4>
      </vt:variant>
      <vt:variant>
        <vt:lpwstr>https://pl.wikipedia.org/wiki/Hotelarstwo</vt:lpwstr>
      </vt:variant>
      <vt:variant>
        <vt:lpwstr/>
      </vt:variant>
      <vt:variant>
        <vt:i4>3997786</vt:i4>
      </vt:variant>
      <vt:variant>
        <vt:i4>495</vt:i4>
      </vt:variant>
      <vt:variant>
        <vt:i4>0</vt:i4>
      </vt:variant>
      <vt:variant>
        <vt:i4>5</vt:i4>
      </vt:variant>
      <vt:variant>
        <vt:lpwstr>https://pl.wikipedia.org/wiki/Ruch_turystyczny</vt:lpwstr>
      </vt:variant>
      <vt:variant>
        <vt:lpwstr/>
      </vt:variant>
      <vt:variant>
        <vt:i4>917607</vt:i4>
      </vt:variant>
      <vt:variant>
        <vt:i4>492</vt:i4>
      </vt:variant>
      <vt:variant>
        <vt:i4>0</vt:i4>
      </vt:variant>
      <vt:variant>
        <vt:i4>5</vt:i4>
      </vt:variant>
      <vt:variant>
        <vt:lpwstr>https://pl.wikipedia.org/wiki/Dzia%C5%82alno%C5%9B%C4%87_gospodarcza</vt:lpwstr>
      </vt:variant>
      <vt:variant>
        <vt:lpwstr/>
      </vt:variant>
      <vt:variant>
        <vt:i4>4325497</vt:i4>
      </vt:variant>
      <vt:variant>
        <vt:i4>489</vt:i4>
      </vt:variant>
      <vt:variant>
        <vt:i4>0</vt:i4>
      </vt:variant>
      <vt:variant>
        <vt:i4>5</vt:i4>
      </vt:variant>
      <vt:variant>
        <vt:lpwstr>https://pl.wikipedia.org/wiki/Kraje_rozwini%C4%99te</vt:lpwstr>
      </vt:variant>
      <vt:variant>
        <vt:lpwstr/>
      </vt:variant>
      <vt:variant>
        <vt:i4>6553678</vt:i4>
      </vt:variant>
      <vt:variant>
        <vt:i4>486</vt:i4>
      </vt:variant>
      <vt:variant>
        <vt:i4>0</vt:i4>
      </vt:variant>
      <vt:variant>
        <vt:i4>5</vt:i4>
      </vt:variant>
      <vt:variant>
        <vt:lpwstr>https://pl.wikipedia.org/wiki/Sektor_us%C5%82ug</vt:lpwstr>
      </vt:variant>
      <vt:variant>
        <vt:lpwstr/>
      </vt:variant>
      <vt:variant>
        <vt:i4>2490477</vt:i4>
      </vt:variant>
      <vt:variant>
        <vt:i4>483</vt:i4>
      </vt:variant>
      <vt:variant>
        <vt:i4>0</vt:i4>
      </vt:variant>
      <vt:variant>
        <vt:i4>5</vt:i4>
      </vt:variant>
      <vt:variant>
        <vt:lpwstr>https://pl.wikipedia.org/wiki/Ekonomia</vt:lpwstr>
      </vt:variant>
      <vt:variant>
        <vt:lpwstr/>
      </vt:variant>
      <vt:variant>
        <vt:i4>1310772</vt:i4>
      </vt:variant>
      <vt:variant>
        <vt:i4>428</vt:i4>
      </vt:variant>
      <vt:variant>
        <vt:i4>0</vt:i4>
      </vt:variant>
      <vt:variant>
        <vt:i4>5</vt:i4>
      </vt:variant>
      <vt:variant>
        <vt:lpwstr/>
      </vt:variant>
      <vt:variant>
        <vt:lpwstr>_Toc69645719</vt:lpwstr>
      </vt:variant>
      <vt:variant>
        <vt:i4>1376308</vt:i4>
      </vt:variant>
      <vt:variant>
        <vt:i4>422</vt:i4>
      </vt:variant>
      <vt:variant>
        <vt:i4>0</vt:i4>
      </vt:variant>
      <vt:variant>
        <vt:i4>5</vt:i4>
      </vt:variant>
      <vt:variant>
        <vt:lpwstr/>
      </vt:variant>
      <vt:variant>
        <vt:lpwstr>_Toc69645718</vt:lpwstr>
      </vt:variant>
      <vt:variant>
        <vt:i4>1703988</vt:i4>
      </vt:variant>
      <vt:variant>
        <vt:i4>416</vt:i4>
      </vt:variant>
      <vt:variant>
        <vt:i4>0</vt:i4>
      </vt:variant>
      <vt:variant>
        <vt:i4>5</vt:i4>
      </vt:variant>
      <vt:variant>
        <vt:lpwstr/>
      </vt:variant>
      <vt:variant>
        <vt:lpwstr>_Toc69645717</vt:lpwstr>
      </vt:variant>
      <vt:variant>
        <vt:i4>1769524</vt:i4>
      </vt:variant>
      <vt:variant>
        <vt:i4>410</vt:i4>
      </vt:variant>
      <vt:variant>
        <vt:i4>0</vt:i4>
      </vt:variant>
      <vt:variant>
        <vt:i4>5</vt:i4>
      </vt:variant>
      <vt:variant>
        <vt:lpwstr/>
      </vt:variant>
      <vt:variant>
        <vt:lpwstr>_Toc69645716</vt:lpwstr>
      </vt:variant>
      <vt:variant>
        <vt:i4>1572916</vt:i4>
      </vt:variant>
      <vt:variant>
        <vt:i4>404</vt:i4>
      </vt:variant>
      <vt:variant>
        <vt:i4>0</vt:i4>
      </vt:variant>
      <vt:variant>
        <vt:i4>5</vt:i4>
      </vt:variant>
      <vt:variant>
        <vt:lpwstr/>
      </vt:variant>
      <vt:variant>
        <vt:lpwstr>_Toc69645715</vt:lpwstr>
      </vt:variant>
      <vt:variant>
        <vt:i4>1638452</vt:i4>
      </vt:variant>
      <vt:variant>
        <vt:i4>398</vt:i4>
      </vt:variant>
      <vt:variant>
        <vt:i4>0</vt:i4>
      </vt:variant>
      <vt:variant>
        <vt:i4>5</vt:i4>
      </vt:variant>
      <vt:variant>
        <vt:lpwstr/>
      </vt:variant>
      <vt:variant>
        <vt:lpwstr>_Toc69645714</vt:lpwstr>
      </vt:variant>
      <vt:variant>
        <vt:i4>1966132</vt:i4>
      </vt:variant>
      <vt:variant>
        <vt:i4>392</vt:i4>
      </vt:variant>
      <vt:variant>
        <vt:i4>0</vt:i4>
      </vt:variant>
      <vt:variant>
        <vt:i4>5</vt:i4>
      </vt:variant>
      <vt:variant>
        <vt:lpwstr/>
      </vt:variant>
      <vt:variant>
        <vt:lpwstr>_Toc69645713</vt:lpwstr>
      </vt:variant>
      <vt:variant>
        <vt:i4>2031668</vt:i4>
      </vt:variant>
      <vt:variant>
        <vt:i4>386</vt:i4>
      </vt:variant>
      <vt:variant>
        <vt:i4>0</vt:i4>
      </vt:variant>
      <vt:variant>
        <vt:i4>5</vt:i4>
      </vt:variant>
      <vt:variant>
        <vt:lpwstr/>
      </vt:variant>
      <vt:variant>
        <vt:lpwstr>_Toc69645712</vt:lpwstr>
      </vt:variant>
      <vt:variant>
        <vt:i4>1835060</vt:i4>
      </vt:variant>
      <vt:variant>
        <vt:i4>380</vt:i4>
      </vt:variant>
      <vt:variant>
        <vt:i4>0</vt:i4>
      </vt:variant>
      <vt:variant>
        <vt:i4>5</vt:i4>
      </vt:variant>
      <vt:variant>
        <vt:lpwstr/>
      </vt:variant>
      <vt:variant>
        <vt:lpwstr>_Toc69645711</vt:lpwstr>
      </vt:variant>
      <vt:variant>
        <vt:i4>1900596</vt:i4>
      </vt:variant>
      <vt:variant>
        <vt:i4>374</vt:i4>
      </vt:variant>
      <vt:variant>
        <vt:i4>0</vt:i4>
      </vt:variant>
      <vt:variant>
        <vt:i4>5</vt:i4>
      </vt:variant>
      <vt:variant>
        <vt:lpwstr/>
      </vt:variant>
      <vt:variant>
        <vt:lpwstr>_Toc69645710</vt:lpwstr>
      </vt:variant>
      <vt:variant>
        <vt:i4>1310773</vt:i4>
      </vt:variant>
      <vt:variant>
        <vt:i4>368</vt:i4>
      </vt:variant>
      <vt:variant>
        <vt:i4>0</vt:i4>
      </vt:variant>
      <vt:variant>
        <vt:i4>5</vt:i4>
      </vt:variant>
      <vt:variant>
        <vt:lpwstr/>
      </vt:variant>
      <vt:variant>
        <vt:lpwstr>_Toc69645709</vt:lpwstr>
      </vt:variant>
      <vt:variant>
        <vt:i4>1376309</vt:i4>
      </vt:variant>
      <vt:variant>
        <vt:i4>362</vt:i4>
      </vt:variant>
      <vt:variant>
        <vt:i4>0</vt:i4>
      </vt:variant>
      <vt:variant>
        <vt:i4>5</vt:i4>
      </vt:variant>
      <vt:variant>
        <vt:lpwstr/>
      </vt:variant>
      <vt:variant>
        <vt:lpwstr>_Toc69645708</vt:lpwstr>
      </vt:variant>
      <vt:variant>
        <vt:i4>1703989</vt:i4>
      </vt:variant>
      <vt:variant>
        <vt:i4>356</vt:i4>
      </vt:variant>
      <vt:variant>
        <vt:i4>0</vt:i4>
      </vt:variant>
      <vt:variant>
        <vt:i4>5</vt:i4>
      </vt:variant>
      <vt:variant>
        <vt:lpwstr/>
      </vt:variant>
      <vt:variant>
        <vt:lpwstr>_Toc69645707</vt:lpwstr>
      </vt:variant>
      <vt:variant>
        <vt:i4>1769525</vt:i4>
      </vt:variant>
      <vt:variant>
        <vt:i4>350</vt:i4>
      </vt:variant>
      <vt:variant>
        <vt:i4>0</vt:i4>
      </vt:variant>
      <vt:variant>
        <vt:i4>5</vt:i4>
      </vt:variant>
      <vt:variant>
        <vt:lpwstr/>
      </vt:variant>
      <vt:variant>
        <vt:lpwstr>_Toc69645706</vt:lpwstr>
      </vt:variant>
      <vt:variant>
        <vt:i4>1572917</vt:i4>
      </vt:variant>
      <vt:variant>
        <vt:i4>344</vt:i4>
      </vt:variant>
      <vt:variant>
        <vt:i4>0</vt:i4>
      </vt:variant>
      <vt:variant>
        <vt:i4>5</vt:i4>
      </vt:variant>
      <vt:variant>
        <vt:lpwstr/>
      </vt:variant>
      <vt:variant>
        <vt:lpwstr>_Toc69645705</vt:lpwstr>
      </vt:variant>
      <vt:variant>
        <vt:i4>1638453</vt:i4>
      </vt:variant>
      <vt:variant>
        <vt:i4>338</vt:i4>
      </vt:variant>
      <vt:variant>
        <vt:i4>0</vt:i4>
      </vt:variant>
      <vt:variant>
        <vt:i4>5</vt:i4>
      </vt:variant>
      <vt:variant>
        <vt:lpwstr/>
      </vt:variant>
      <vt:variant>
        <vt:lpwstr>_Toc69645704</vt:lpwstr>
      </vt:variant>
      <vt:variant>
        <vt:i4>1966133</vt:i4>
      </vt:variant>
      <vt:variant>
        <vt:i4>332</vt:i4>
      </vt:variant>
      <vt:variant>
        <vt:i4>0</vt:i4>
      </vt:variant>
      <vt:variant>
        <vt:i4>5</vt:i4>
      </vt:variant>
      <vt:variant>
        <vt:lpwstr/>
      </vt:variant>
      <vt:variant>
        <vt:lpwstr>_Toc69645703</vt:lpwstr>
      </vt:variant>
      <vt:variant>
        <vt:i4>2031669</vt:i4>
      </vt:variant>
      <vt:variant>
        <vt:i4>326</vt:i4>
      </vt:variant>
      <vt:variant>
        <vt:i4>0</vt:i4>
      </vt:variant>
      <vt:variant>
        <vt:i4>5</vt:i4>
      </vt:variant>
      <vt:variant>
        <vt:lpwstr/>
      </vt:variant>
      <vt:variant>
        <vt:lpwstr>_Toc69645702</vt:lpwstr>
      </vt:variant>
      <vt:variant>
        <vt:i4>1835061</vt:i4>
      </vt:variant>
      <vt:variant>
        <vt:i4>320</vt:i4>
      </vt:variant>
      <vt:variant>
        <vt:i4>0</vt:i4>
      </vt:variant>
      <vt:variant>
        <vt:i4>5</vt:i4>
      </vt:variant>
      <vt:variant>
        <vt:lpwstr/>
      </vt:variant>
      <vt:variant>
        <vt:lpwstr>_Toc69645701</vt:lpwstr>
      </vt:variant>
      <vt:variant>
        <vt:i4>1900597</vt:i4>
      </vt:variant>
      <vt:variant>
        <vt:i4>314</vt:i4>
      </vt:variant>
      <vt:variant>
        <vt:i4>0</vt:i4>
      </vt:variant>
      <vt:variant>
        <vt:i4>5</vt:i4>
      </vt:variant>
      <vt:variant>
        <vt:lpwstr/>
      </vt:variant>
      <vt:variant>
        <vt:lpwstr>_Toc69645700</vt:lpwstr>
      </vt:variant>
      <vt:variant>
        <vt:i4>1376316</vt:i4>
      </vt:variant>
      <vt:variant>
        <vt:i4>308</vt:i4>
      </vt:variant>
      <vt:variant>
        <vt:i4>0</vt:i4>
      </vt:variant>
      <vt:variant>
        <vt:i4>5</vt:i4>
      </vt:variant>
      <vt:variant>
        <vt:lpwstr/>
      </vt:variant>
      <vt:variant>
        <vt:lpwstr>_Toc69645699</vt:lpwstr>
      </vt:variant>
      <vt:variant>
        <vt:i4>1310780</vt:i4>
      </vt:variant>
      <vt:variant>
        <vt:i4>302</vt:i4>
      </vt:variant>
      <vt:variant>
        <vt:i4>0</vt:i4>
      </vt:variant>
      <vt:variant>
        <vt:i4>5</vt:i4>
      </vt:variant>
      <vt:variant>
        <vt:lpwstr/>
      </vt:variant>
      <vt:variant>
        <vt:lpwstr>_Toc69645698</vt:lpwstr>
      </vt:variant>
      <vt:variant>
        <vt:i4>1769532</vt:i4>
      </vt:variant>
      <vt:variant>
        <vt:i4>296</vt:i4>
      </vt:variant>
      <vt:variant>
        <vt:i4>0</vt:i4>
      </vt:variant>
      <vt:variant>
        <vt:i4>5</vt:i4>
      </vt:variant>
      <vt:variant>
        <vt:lpwstr/>
      </vt:variant>
      <vt:variant>
        <vt:lpwstr>_Toc69645697</vt:lpwstr>
      </vt:variant>
      <vt:variant>
        <vt:i4>1703996</vt:i4>
      </vt:variant>
      <vt:variant>
        <vt:i4>290</vt:i4>
      </vt:variant>
      <vt:variant>
        <vt:i4>0</vt:i4>
      </vt:variant>
      <vt:variant>
        <vt:i4>5</vt:i4>
      </vt:variant>
      <vt:variant>
        <vt:lpwstr/>
      </vt:variant>
      <vt:variant>
        <vt:lpwstr>_Toc69645696</vt:lpwstr>
      </vt:variant>
      <vt:variant>
        <vt:i4>1638460</vt:i4>
      </vt:variant>
      <vt:variant>
        <vt:i4>284</vt:i4>
      </vt:variant>
      <vt:variant>
        <vt:i4>0</vt:i4>
      </vt:variant>
      <vt:variant>
        <vt:i4>5</vt:i4>
      </vt:variant>
      <vt:variant>
        <vt:lpwstr/>
      </vt:variant>
      <vt:variant>
        <vt:lpwstr>_Toc69645695</vt:lpwstr>
      </vt:variant>
      <vt:variant>
        <vt:i4>1572924</vt:i4>
      </vt:variant>
      <vt:variant>
        <vt:i4>278</vt:i4>
      </vt:variant>
      <vt:variant>
        <vt:i4>0</vt:i4>
      </vt:variant>
      <vt:variant>
        <vt:i4>5</vt:i4>
      </vt:variant>
      <vt:variant>
        <vt:lpwstr/>
      </vt:variant>
      <vt:variant>
        <vt:lpwstr>_Toc69645694</vt:lpwstr>
      </vt:variant>
      <vt:variant>
        <vt:i4>2031676</vt:i4>
      </vt:variant>
      <vt:variant>
        <vt:i4>272</vt:i4>
      </vt:variant>
      <vt:variant>
        <vt:i4>0</vt:i4>
      </vt:variant>
      <vt:variant>
        <vt:i4>5</vt:i4>
      </vt:variant>
      <vt:variant>
        <vt:lpwstr/>
      </vt:variant>
      <vt:variant>
        <vt:lpwstr>_Toc69645693</vt:lpwstr>
      </vt:variant>
      <vt:variant>
        <vt:i4>1966140</vt:i4>
      </vt:variant>
      <vt:variant>
        <vt:i4>266</vt:i4>
      </vt:variant>
      <vt:variant>
        <vt:i4>0</vt:i4>
      </vt:variant>
      <vt:variant>
        <vt:i4>5</vt:i4>
      </vt:variant>
      <vt:variant>
        <vt:lpwstr/>
      </vt:variant>
      <vt:variant>
        <vt:lpwstr>_Toc69645692</vt:lpwstr>
      </vt:variant>
      <vt:variant>
        <vt:i4>1900604</vt:i4>
      </vt:variant>
      <vt:variant>
        <vt:i4>260</vt:i4>
      </vt:variant>
      <vt:variant>
        <vt:i4>0</vt:i4>
      </vt:variant>
      <vt:variant>
        <vt:i4>5</vt:i4>
      </vt:variant>
      <vt:variant>
        <vt:lpwstr/>
      </vt:variant>
      <vt:variant>
        <vt:lpwstr>_Toc69645691</vt:lpwstr>
      </vt:variant>
      <vt:variant>
        <vt:i4>1835068</vt:i4>
      </vt:variant>
      <vt:variant>
        <vt:i4>254</vt:i4>
      </vt:variant>
      <vt:variant>
        <vt:i4>0</vt:i4>
      </vt:variant>
      <vt:variant>
        <vt:i4>5</vt:i4>
      </vt:variant>
      <vt:variant>
        <vt:lpwstr/>
      </vt:variant>
      <vt:variant>
        <vt:lpwstr>_Toc69645690</vt:lpwstr>
      </vt:variant>
      <vt:variant>
        <vt:i4>1376317</vt:i4>
      </vt:variant>
      <vt:variant>
        <vt:i4>248</vt:i4>
      </vt:variant>
      <vt:variant>
        <vt:i4>0</vt:i4>
      </vt:variant>
      <vt:variant>
        <vt:i4>5</vt:i4>
      </vt:variant>
      <vt:variant>
        <vt:lpwstr/>
      </vt:variant>
      <vt:variant>
        <vt:lpwstr>_Toc69645689</vt:lpwstr>
      </vt:variant>
      <vt:variant>
        <vt:i4>1310781</vt:i4>
      </vt:variant>
      <vt:variant>
        <vt:i4>242</vt:i4>
      </vt:variant>
      <vt:variant>
        <vt:i4>0</vt:i4>
      </vt:variant>
      <vt:variant>
        <vt:i4>5</vt:i4>
      </vt:variant>
      <vt:variant>
        <vt:lpwstr/>
      </vt:variant>
      <vt:variant>
        <vt:lpwstr>_Toc69645688</vt:lpwstr>
      </vt:variant>
      <vt:variant>
        <vt:i4>1769533</vt:i4>
      </vt:variant>
      <vt:variant>
        <vt:i4>236</vt:i4>
      </vt:variant>
      <vt:variant>
        <vt:i4>0</vt:i4>
      </vt:variant>
      <vt:variant>
        <vt:i4>5</vt:i4>
      </vt:variant>
      <vt:variant>
        <vt:lpwstr/>
      </vt:variant>
      <vt:variant>
        <vt:lpwstr>_Toc69645687</vt:lpwstr>
      </vt:variant>
      <vt:variant>
        <vt:i4>1703997</vt:i4>
      </vt:variant>
      <vt:variant>
        <vt:i4>230</vt:i4>
      </vt:variant>
      <vt:variant>
        <vt:i4>0</vt:i4>
      </vt:variant>
      <vt:variant>
        <vt:i4>5</vt:i4>
      </vt:variant>
      <vt:variant>
        <vt:lpwstr/>
      </vt:variant>
      <vt:variant>
        <vt:lpwstr>_Toc69645686</vt:lpwstr>
      </vt:variant>
      <vt:variant>
        <vt:i4>1638461</vt:i4>
      </vt:variant>
      <vt:variant>
        <vt:i4>224</vt:i4>
      </vt:variant>
      <vt:variant>
        <vt:i4>0</vt:i4>
      </vt:variant>
      <vt:variant>
        <vt:i4>5</vt:i4>
      </vt:variant>
      <vt:variant>
        <vt:lpwstr/>
      </vt:variant>
      <vt:variant>
        <vt:lpwstr>_Toc69645685</vt:lpwstr>
      </vt:variant>
      <vt:variant>
        <vt:i4>1572925</vt:i4>
      </vt:variant>
      <vt:variant>
        <vt:i4>218</vt:i4>
      </vt:variant>
      <vt:variant>
        <vt:i4>0</vt:i4>
      </vt:variant>
      <vt:variant>
        <vt:i4>5</vt:i4>
      </vt:variant>
      <vt:variant>
        <vt:lpwstr/>
      </vt:variant>
      <vt:variant>
        <vt:lpwstr>_Toc69645684</vt:lpwstr>
      </vt:variant>
      <vt:variant>
        <vt:i4>2031677</vt:i4>
      </vt:variant>
      <vt:variant>
        <vt:i4>212</vt:i4>
      </vt:variant>
      <vt:variant>
        <vt:i4>0</vt:i4>
      </vt:variant>
      <vt:variant>
        <vt:i4>5</vt:i4>
      </vt:variant>
      <vt:variant>
        <vt:lpwstr/>
      </vt:variant>
      <vt:variant>
        <vt:lpwstr>_Toc69645683</vt:lpwstr>
      </vt:variant>
      <vt:variant>
        <vt:i4>1966141</vt:i4>
      </vt:variant>
      <vt:variant>
        <vt:i4>206</vt:i4>
      </vt:variant>
      <vt:variant>
        <vt:i4>0</vt:i4>
      </vt:variant>
      <vt:variant>
        <vt:i4>5</vt:i4>
      </vt:variant>
      <vt:variant>
        <vt:lpwstr/>
      </vt:variant>
      <vt:variant>
        <vt:lpwstr>_Toc69645682</vt:lpwstr>
      </vt:variant>
      <vt:variant>
        <vt:i4>1900605</vt:i4>
      </vt:variant>
      <vt:variant>
        <vt:i4>200</vt:i4>
      </vt:variant>
      <vt:variant>
        <vt:i4>0</vt:i4>
      </vt:variant>
      <vt:variant>
        <vt:i4>5</vt:i4>
      </vt:variant>
      <vt:variant>
        <vt:lpwstr/>
      </vt:variant>
      <vt:variant>
        <vt:lpwstr>_Toc69645681</vt:lpwstr>
      </vt:variant>
      <vt:variant>
        <vt:i4>1835069</vt:i4>
      </vt:variant>
      <vt:variant>
        <vt:i4>194</vt:i4>
      </vt:variant>
      <vt:variant>
        <vt:i4>0</vt:i4>
      </vt:variant>
      <vt:variant>
        <vt:i4>5</vt:i4>
      </vt:variant>
      <vt:variant>
        <vt:lpwstr/>
      </vt:variant>
      <vt:variant>
        <vt:lpwstr>_Toc69645680</vt:lpwstr>
      </vt:variant>
      <vt:variant>
        <vt:i4>1376306</vt:i4>
      </vt:variant>
      <vt:variant>
        <vt:i4>188</vt:i4>
      </vt:variant>
      <vt:variant>
        <vt:i4>0</vt:i4>
      </vt:variant>
      <vt:variant>
        <vt:i4>5</vt:i4>
      </vt:variant>
      <vt:variant>
        <vt:lpwstr/>
      </vt:variant>
      <vt:variant>
        <vt:lpwstr>_Toc69645679</vt:lpwstr>
      </vt:variant>
      <vt:variant>
        <vt:i4>1310770</vt:i4>
      </vt:variant>
      <vt:variant>
        <vt:i4>182</vt:i4>
      </vt:variant>
      <vt:variant>
        <vt:i4>0</vt:i4>
      </vt:variant>
      <vt:variant>
        <vt:i4>5</vt:i4>
      </vt:variant>
      <vt:variant>
        <vt:lpwstr/>
      </vt:variant>
      <vt:variant>
        <vt:lpwstr>_Toc69645678</vt:lpwstr>
      </vt:variant>
      <vt:variant>
        <vt:i4>1769522</vt:i4>
      </vt:variant>
      <vt:variant>
        <vt:i4>176</vt:i4>
      </vt:variant>
      <vt:variant>
        <vt:i4>0</vt:i4>
      </vt:variant>
      <vt:variant>
        <vt:i4>5</vt:i4>
      </vt:variant>
      <vt:variant>
        <vt:lpwstr/>
      </vt:variant>
      <vt:variant>
        <vt:lpwstr>_Toc69645677</vt:lpwstr>
      </vt:variant>
      <vt:variant>
        <vt:i4>1703986</vt:i4>
      </vt:variant>
      <vt:variant>
        <vt:i4>170</vt:i4>
      </vt:variant>
      <vt:variant>
        <vt:i4>0</vt:i4>
      </vt:variant>
      <vt:variant>
        <vt:i4>5</vt:i4>
      </vt:variant>
      <vt:variant>
        <vt:lpwstr/>
      </vt:variant>
      <vt:variant>
        <vt:lpwstr>_Toc69645676</vt:lpwstr>
      </vt:variant>
      <vt:variant>
        <vt:i4>1638450</vt:i4>
      </vt:variant>
      <vt:variant>
        <vt:i4>164</vt:i4>
      </vt:variant>
      <vt:variant>
        <vt:i4>0</vt:i4>
      </vt:variant>
      <vt:variant>
        <vt:i4>5</vt:i4>
      </vt:variant>
      <vt:variant>
        <vt:lpwstr/>
      </vt:variant>
      <vt:variant>
        <vt:lpwstr>_Toc69645675</vt:lpwstr>
      </vt:variant>
      <vt:variant>
        <vt:i4>1572914</vt:i4>
      </vt:variant>
      <vt:variant>
        <vt:i4>158</vt:i4>
      </vt:variant>
      <vt:variant>
        <vt:i4>0</vt:i4>
      </vt:variant>
      <vt:variant>
        <vt:i4>5</vt:i4>
      </vt:variant>
      <vt:variant>
        <vt:lpwstr/>
      </vt:variant>
      <vt:variant>
        <vt:lpwstr>_Toc69645674</vt:lpwstr>
      </vt:variant>
      <vt:variant>
        <vt:i4>2031666</vt:i4>
      </vt:variant>
      <vt:variant>
        <vt:i4>152</vt:i4>
      </vt:variant>
      <vt:variant>
        <vt:i4>0</vt:i4>
      </vt:variant>
      <vt:variant>
        <vt:i4>5</vt:i4>
      </vt:variant>
      <vt:variant>
        <vt:lpwstr/>
      </vt:variant>
      <vt:variant>
        <vt:lpwstr>_Toc69645673</vt:lpwstr>
      </vt:variant>
      <vt:variant>
        <vt:i4>1966130</vt:i4>
      </vt:variant>
      <vt:variant>
        <vt:i4>146</vt:i4>
      </vt:variant>
      <vt:variant>
        <vt:i4>0</vt:i4>
      </vt:variant>
      <vt:variant>
        <vt:i4>5</vt:i4>
      </vt:variant>
      <vt:variant>
        <vt:lpwstr/>
      </vt:variant>
      <vt:variant>
        <vt:lpwstr>_Toc69645672</vt:lpwstr>
      </vt:variant>
      <vt:variant>
        <vt:i4>1900594</vt:i4>
      </vt:variant>
      <vt:variant>
        <vt:i4>140</vt:i4>
      </vt:variant>
      <vt:variant>
        <vt:i4>0</vt:i4>
      </vt:variant>
      <vt:variant>
        <vt:i4>5</vt:i4>
      </vt:variant>
      <vt:variant>
        <vt:lpwstr/>
      </vt:variant>
      <vt:variant>
        <vt:lpwstr>_Toc69645671</vt:lpwstr>
      </vt:variant>
      <vt:variant>
        <vt:i4>1835058</vt:i4>
      </vt:variant>
      <vt:variant>
        <vt:i4>134</vt:i4>
      </vt:variant>
      <vt:variant>
        <vt:i4>0</vt:i4>
      </vt:variant>
      <vt:variant>
        <vt:i4>5</vt:i4>
      </vt:variant>
      <vt:variant>
        <vt:lpwstr/>
      </vt:variant>
      <vt:variant>
        <vt:lpwstr>_Toc69645670</vt:lpwstr>
      </vt:variant>
      <vt:variant>
        <vt:i4>1376307</vt:i4>
      </vt:variant>
      <vt:variant>
        <vt:i4>128</vt:i4>
      </vt:variant>
      <vt:variant>
        <vt:i4>0</vt:i4>
      </vt:variant>
      <vt:variant>
        <vt:i4>5</vt:i4>
      </vt:variant>
      <vt:variant>
        <vt:lpwstr/>
      </vt:variant>
      <vt:variant>
        <vt:lpwstr>_Toc69645669</vt:lpwstr>
      </vt:variant>
      <vt:variant>
        <vt:i4>1310771</vt:i4>
      </vt:variant>
      <vt:variant>
        <vt:i4>122</vt:i4>
      </vt:variant>
      <vt:variant>
        <vt:i4>0</vt:i4>
      </vt:variant>
      <vt:variant>
        <vt:i4>5</vt:i4>
      </vt:variant>
      <vt:variant>
        <vt:lpwstr/>
      </vt:variant>
      <vt:variant>
        <vt:lpwstr>_Toc69645668</vt:lpwstr>
      </vt:variant>
      <vt:variant>
        <vt:i4>1769523</vt:i4>
      </vt:variant>
      <vt:variant>
        <vt:i4>116</vt:i4>
      </vt:variant>
      <vt:variant>
        <vt:i4>0</vt:i4>
      </vt:variant>
      <vt:variant>
        <vt:i4>5</vt:i4>
      </vt:variant>
      <vt:variant>
        <vt:lpwstr/>
      </vt:variant>
      <vt:variant>
        <vt:lpwstr>_Toc69645667</vt:lpwstr>
      </vt:variant>
      <vt:variant>
        <vt:i4>1703987</vt:i4>
      </vt:variant>
      <vt:variant>
        <vt:i4>110</vt:i4>
      </vt:variant>
      <vt:variant>
        <vt:i4>0</vt:i4>
      </vt:variant>
      <vt:variant>
        <vt:i4>5</vt:i4>
      </vt:variant>
      <vt:variant>
        <vt:lpwstr/>
      </vt:variant>
      <vt:variant>
        <vt:lpwstr>_Toc69645666</vt:lpwstr>
      </vt:variant>
      <vt:variant>
        <vt:i4>1638451</vt:i4>
      </vt:variant>
      <vt:variant>
        <vt:i4>104</vt:i4>
      </vt:variant>
      <vt:variant>
        <vt:i4>0</vt:i4>
      </vt:variant>
      <vt:variant>
        <vt:i4>5</vt:i4>
      </vt:variant>
      <vt:variant>
        <vt:lpwstr/>
      </vt:variant>
      <vt:variant>
        <vt:lpwstr>_Toc69645665</vt:lpwstr>
      </vt:variant>
      <vt:variant>
        <vt:i4>1572915</vt:i4>
      </vt:variant>
      <vt:variant>
        <vt:i4>98</vt:i4>
      </vt:variant>
      <vt:variant>
        <vt:i4>0</vt:i4>
      </vt:variant>
      <vt:variant>
        <vt:i4>5</vt:i4>
      </vt:variant>
      <vt:variant>
        <vt:lpwstr/>
      </vt:variant>
      <vt:variant>
        <vt:lpwstr>_Toc69645664</vt:lpwstr>
      </vt:variant>
      <vt:variant>
        <vt:i4>2031667</vt:i4>
      </vt:variant>
      <vt:variant>
        <vt:i4>92</vt:i4>
      </vt:variant>
      <vt:variant>
        <vt:i4>0</vt:i4>
      </vt:variant>
      <vt:variant>
        <vt:i4>5</vt:i4>
      </vt:variant>
      <vt:variant>
        <vt:lpwstr/>
      </vt:variant>
      <vt:variant>
        <vt:lpwstr>_Toc69645663</vt:lpwstr>
      </vt:variant>
      <vt:variant>
        <vt:i4>1966131</vt:i4>
      </vt:variant>
      <vt:variant>
        <vt:i4>86</vt:i4>
      </vt:variant>
      <vt:variant>
        <vt:i4>0</vt:i4>
      </vt:variant>
      <vt:variant>
        <vt:i4>5</vt:i4>
      </vt:variant>
      <vt:variant>
        <vt:lpwstr/>
      </vt:variant>
      <vt:variant>
        <vt:lpwstr>_Toc69645662</vt:lpwstr>
      </vt:variant>
      <vt:variant>
        <vt:i4>1900595</vt:i4>
      </vt:variant>
      <vt:variant>
        <vt:i4>80</vt:i4>
      </vt:variant>
      <vt:variant>
        <vt:i4>0</vt:i4>
      </vt:variant>
      <vt:variant>
        <vt:i4>5</vt:i4>
      </vt:variant>
      <vt:variant>
        <vt:lpwstr/>
      </vt:variant>
      <vt:variant>
        <vt:lpwstr>_Toc69645661</vt:lpwstr>
      </vt:variant>
      <vt:variant>
        <vt:i4>1835059</vt:i4>
      </vt:variant>
      <vt:variant>
        <vt:i4>74</vt:i4>
      </vt:variant>
      <vt:variant>
        <vt:i4>0</vt:i4>
      </vt:variant>
      <vt:variant>
        <vt:i4>5</vt:i4>
      </vt:variant>
      <vt:variant>
        <vt:lpwstr/>
      </vt:variant>
      <vt:variant>
        <vt:lpwstr>_Toc69645660</vt:lpwstr>
      </vt:variant>
      <vt:variant>
        <vt:i4>1376304</vt:i4>
      </vt:variant>
      <vt:variant>
        <vt:i4>68</vt:i4>
      </vt:variant>
      <vt:variant>
        <vt:i4>0</vt:i4>
      </vt:variant>
      <vt:variant>
        <vt:i4>5</vt:i4>
      </vt:variant>
      <vt:variant>
        <vt:lpwstr/>
      </vt:variant>
      <vt:variant>
        <vt:lpwstr>_Toc69645659</vt:lpwstr>
      </vt:variant>
      <vt:variant>
        <vt:i4>1310768</vt:i4>
      </vt:variant>
      <vt:variant>
        <vt:i4>62</vt:i4>
      </vt:variant>
      <vt:variant>
        <vt:i4>0</vt:i4>
      </vt:variant>
      <vt:variant>
        <vt:i4>5</vt:i4>
      </vt:variant>
      <vt:variant>
        <vt:lpwstr/>
      </vt:variant>
      <vt:variant>
        <vt:lpwstr>_Toc69645658</vt:lpwstr>
      </vt:variant>
      <vt:variant>
        <vt:i4>1769520</vt:i4>
      </vt:variant>
      <vt:variant>
        <vt:i4>56</vt:i4>
      </vt:variant>
      <vt:variant>
        <vt:i4>0</vt:i4>
      </vt:variant>
      <vt:variant>
        <vt:i4>5</vt:i4>
      </vt:variant>
      <vt:variant>
        <vt:lpwstr/>
      </vt:variant>
      <vt:variant>
        <vt:lpwstr>_Toc69645657</vt:lpwstr>
      </vt:variant>
      <vt:variant>
        <vt:i4>1703984</vt:i4>
      </vt:variant>
      <vt:variant>
        <vt:i4>50</vt:i4>
      </vt:variant>
      <vt:variant>
        <vt:i4>0</vt:i4>
      </vt:variant>
      <vt:variant>
        <vt:i4>5</vt:i4>
      </vt:variant>
      <vt:variant>
        <vt:lpwstr/>
      </vt:variant>
      <vt:variant>
        <vt:lpwstr>_Toc69645656</vt:lpwstr>
      </vt:variant>
      <vt:variant>
        <vt:i4>1638448</vt:i4>
      </vt:variant>
      <vt:variant>
        <vt:i4>44</vt:i4>
      </vt:variant>
      <vt:variant>
        <vt:i4>0</vt:i4>
      </vt:variant>
      <vt:variant>
        <vt:i4>5</vt:i4>
      </vt:variant>
      <vt:variant>
        <vt:lpwstr/>
      </vt:variant>
      <vt:variant>
        <vt:lpwstr>_Toc69645655</vt:lpwstr>
      </vt:variant>
      <vt:variant>
        <vt:i4>1572912</vt:i4>
      </vt:variant>
      <vt:variant>
        <vt:i4>38</vt:i4>
      </vt:variant>
      <vt:variant>
        <vt:i4>0</vt:i4>
      </vt:variant>
      <vt:variant>
        <vt:i4>5</vt:i4>
      </vt:variant>
      <vt:variant>
        <vt:lpwstr/>
      </vt:variant>
      <vt:variant>
        <vt:lpwstr>_Toc69645654</vt:lpwstr>
      </vt:variant>
      <vt:variant>
        <vt:i4>2031664</vt:i4>
      </vt:variant>
      <vt:variant>
        <vt:i4>32</vt:i4>
      </vt:variant>
      <vt:variant>
        <vt:i4>0</vt:i4>
      </vt:variant>
      <vt:variant>
        <vt:i4>5</vt:i4>
      </vt:variant>
      <vt:variant>
        <vt:lpwstr/>
      </vt:variant>
      <vt:variant>
        <vt:lpwstr>_Toc69645653</vt:lpwstr>
      </vt:variant>
      <vt:variant>
        <vt:i4>1966128</vt:i4>
      </vt:variant>
      <vt:variant>
        <vt:i4>26</vt:i4>
      </vt:variant>
      <vt:variant>
        <vt:i4>0</vt:i4>
      </vt:variant>
      <vt:variant>
        <vt:i4>5</vt:i4>
      </vt:variant>
      <vt:variant>
        <vt:lpwstr/>
      </vt:variant>
      <vt:variant>
        <vt:lpwstr>_Toc69645652</vt:lpwstr>
      </vt:variant>
      <vt:variant>
        <vt:i4>1900592</vt:i4>
      </vt:variant>
      <vt:variant>
        <vt:i4>20</vt:i4>
      </vt:variant>
      <vt:variant>
        <vt:i4>0</vt:i4>
      </vt:variant>
      <vt:variant>
        <vt:i4>5</vt:i4>
      </vt:variant>
      <vt:variant>
        <vt:lpwstr/>
      </vt:variant>
      <vt:variant>
        <vt:lpwstr>_Toc69645651</vt:lpwstr>
      </vt:variant>
      <vt:variant>
        <vt:i4>1835056</vt:i4>
      </vt:variant>
      <vt:variant>
        <vt:i4>14</vt:i4>
      </vt:variant>
      <vt:variant>
        <vt:i4>0</vt:i4>
      </vt:variant>
      <vt:variant>
        <vt:i4>5</vt:i4>
      </vt:variant>
      <vt:variant>
        <vt:lpwstr/>
      </vt:variant>
      <vt:variant>
        <vt:lpwstr>_Toc69645650</vt:lpwstr>
      </vt:variant>
      <vt:variant>
        <vt:i4>1376305</vt:i4>
      </vt:variant>
      <vt:variant>
        <vt:i4>8</vt:i4>
      </vt:variant>
      <vt:variant>
        <vt:i4>0</vt:i4>
      </vt:variant>
      <vt:variant>
        <vt:i4>5</vt:i4>
      </vt:variant>
      <vt:variant>
        <vt:lpwstr/>
      </vt:variant>
      <vt:variant>
        <vt:lpwstr>_Toc69645649</vt:lpwstr>
      </vt:variant>
      <vt:variant>
        <vt:i4>1310769</vt:i4>
      </vt:variant>
      <vt:variant>
        <vt:i4>2</vt:i4>
      </vt:variant>
      <vt:variant>
        <vt:i4>0</vt:i4>
      </vt:variant>
      <vt:variant>
        <vt:i4>5</vt:i4>
      </vt:variant>
      <vt:variant>
        <vt:lpwstr/>
      </vt:variant>
      <vt:variant>
        <vt:lpwstr>_Toc69645648</vt:lpwstr>
      </vt:variant>
      <vt:variant>
        <vt:i4>8060969</vt:i4>
      </vt:variant>
      <vt:variant>
        <vt:i4>60</vt:i4>
      </vt:variant>
      <vt:variant>
        <vt:i4>0</vt:i4>
      </vt:variant>
      <vt:variant>
        <vt:i4>5</vt:i4>
      </vt:variant>
      <vt:variant>
        <vt:lpwstr>https://zit.olsztyn.eu/zit/aktualnosci/article/rozwoj-drog-rowerowych-w-olsztynie-i-sasiednich-gminach-szersze-spojrzenie.html</vt:lpwstr>
      </vt:variant>
      <vt:variant>
        <vt:lpwstr/>
      </vt:variant>
      <vt:variant>
        <vt:i4>196653</vt:i4>
      </vt:variant>
      <vt:variant>
        <vt:i4>57</vt:i4>
      </vt:variant>
      <vt:variant>
        <vt:i4>0</vt:i4>
      </vt:variant>
      <vt:variant>
        <vt:i4>5</vt:i4>
      </vt:variant>
      <vt:variant>
        <vt:lpwstr>https://perspektywy.pl/portal/index.php?option=com_content&amp;view=article&amp;id=3363:top-6-zawodow-przyszlosci-prognoza-na-najblizsze-12-miesiecy&amp;catid=21&amp;Itemid=119</vt:lpwstr>
      </vt:variant>
      <vt:variant>
        <vt:lpwstr/>
      </vt:variant>
      <vt:variant>
        <vt:i4>6553635</vt:i4>
      </vt:variant>
      <vt:variant>
        <vt:i4>54</vt:i4>
      </vt:variant>
      <vt:variant>
        <vt:i4>0</vt:i4>
      </vt:variant>
      <vt:variant>
        <vt:i4>5</vt:i4>
      </vt:variant>
      <vt:variant>
        <vt:lpwstr>http://invest.warmia.mazury.pl/pl/dlaczego-warto-tu-inwestowac/warminsko-mazurskie-centrum-obslugi-inwestorow-i-eksporterow.html stan na 03.09.2020</vt:lpwstr>
      </vt:variant>
      <vt:variant>
        <vt:lpwstr/>
      </vt:variant>
      <vt:variant>
        <vt:i4>262164</vt:i4>
      </vt:variant>
      <vt:variant>
        <vt:i4>51</vt:i4>
      </vt:variant>
      <vt:variant>
        <vt:i4>0</vt:i4>
      </vt:variant>
      <vt:variant>
        <vt:i4>5</vt:i4>
      </vt:variant>
      <vt:variant>
        <vt:lpwstr>https://mycompanypolska.pl/artykul/2948/25-najlepszych-polskich-startupow</vt:lpwstr>
      </vt:variant>
      <vt:variant>
        <vt:lpwstr/>
      </vt:variant>
      <vt:variant>
        <vt:i4>2162739</vt:i4>
      </vt:variant>
      <vt:variant>
        <vt:i4>48</vt:i4>
      </vt:variant>
      <vt:variant>
        <vt:i4>0</vt:i4>
      </vt:variant>
      <vt:variant>
        <vt:i4>5</vt:i4>
      </vt:variant>
      <vt:variant>
        <vt:lpwstr>https://www.opnt.olsztyn.pl/startup-heroes/o-projekcie/</vt:lpwstr>
      </vt:variant>
      <vt:variant>
        <vt:lpwstr/>
      </vt:variant>
      <vt:variant>
        <vt:i4>4980802</vt:i4>
      </vt:variant>
      <vt:variant>
        <vt:i4>45</vt:i4>
      </vt:variant>
      <vt:variant>
        <vt:i4>0</vt:i4>
      </vt:variant>
      <vt:variant>
        <vt:i4>5</vt:i4>
      </vt:variant>
      <vt:variant>
        <vt:lpwstr>https://opnt.olsztyn.pl/</vt:lpwstr>
      </vt:variant>
      <vt:variant>
        <vt:lpwstr/>
      </vt:variant>
      <vt:variant>
        <vt:i4>65601</vt:i4>
      </vt:variant>
      <vt:variant>
        <vt:i4>42</vt:i4>
      </vt:variant>
      <vt:variant>
        <vt:i4>0</vt:i4>
      </vt:variant>
      <vt:variant>
        <vt:i4>5</vt:i4>
      </vt:variant>
      <vt:variant>
        <vt:lpwstr>http://ip.olsztyn.pl/o-nas-2/</vt:lpwstr>
      </vt:variant>
      <vt:variant>
        <vt:lpwstr/>
      </vt:variant>
      <vt:variant>
        <vt:i4>4980744</vt:i4>
      </vt:variant>
      <vt:variant>
        <vt:i4>39</vt:i4>
      </vt:variant>
      <vt:variant>
        <vt:i4>0</vt:i4>
      </vt:variant>
      <vt:variant>
        <vt:i4>5</vt:i4>
      </vt:variant>
      <vt:variant>
        <vt:lpwstr>https://www.infish.com.pl/content/historia-irs stan na 03.09.2020</vt:lpwstr>
      </vt:variant>
      <vt:variant>
        <vt:lpwstr/>
      </vt:variant>
      <vt:variant>
        <vt:i4>7077995</vt:i4>
      </vt:variant>
      <vt:variant>
        <vt:i4>36</vt:i4>
      </vt:variant>
      <vt:variant>
        <vt:i4>0</vt:i4>
      </vt:variant>
      <vt:variant>
        <vt:i4>5</vt:i4>
      </vt:variant>
      <vt:variant>
        <vt:lpwstr>http://pan.olsztyn.pl/</vt:lpwstr>
      </vt:variant>
      <vt:variant>
        <vt:lpwstr/>
      </vt:variant>
      <vt:variant>
        <vt:i4>6946873</vt:i4>
      </vt:variant>
      <vt:variant>
        <vt:i4>33</vt:i4>
      </vt:variant>
      <vt:variant>
        <vt:i4>0</vt:i4>
      </vt:variant>
      <vt:variant>
        <vt:i4>5</vt:i4>
      </vt:variant>
      <vt:variant>
        <vt:lpwstr>http://ranking.perspektywy.pl/2019/ranking-uczelni-akademickich</vt:lpwstr>
      </vt:variant>
      <vt:variant>
        <vt:lpwstr/>
      </vt:variant>
      <vt:variant>
        <vt:i4>6029397</vt:i4>
      </vt:variant>
      <vt:variant>
        <vt:i4>30</vt:i4>
      </vt:variant>
      <vt:variant>
        <vt:i4>0</vt:i4>
      </vt:variant>
      <vt:variant>
        <vt:i4>5</vt:i4>
      </vt:variant>
      <vt:variant>
        <vt:lpwstr>https://klastrypolskie.pl/czlonkowie/wschodni-okreg-spozywczo-przemyslowy,230.htm</vt:lpwstr>
      </vt:variant>
      <vt:variant>
        <vt:lpwstr/>
      </vt:variant>
      <vt:variant>
        <vt:i4>1572873</vt:i4>
      </vt:variant>
      <vt:variant>
        <vt:i4>27</vt:i4>
      </vt:variant>
      <vt:variant>
        <vt:i4>0</vt:i4>
      </vt:variant>
      <vt:variant>
        <vt:i4>5</vt:i4>
      </vt:variant>
      <vt:variant>
        <vt:lpwstr>http://www.klasterturystyczny.pl/czlonkowie-klastra/</vt:lpwstr>
      </vt:variant>
      <vt:variant>
        <vt:lpwstr/>
      </vt:variant>
      <vt:variant>
        <vt:i4>6488126</vt:i4>
      </vt:variant>
      <vt:variant>
        <vt:i4>24</vt:i4>
      </vt:variant>
      <vt:variant>
        <vt:i4>0</vt:i4>
      </vt:variant>
      <vt:variant>
        <vt:i4>5</vt:i4>
      </vt:variant>
      <vt:variant>
        <vt:lpwstr>https://klastrypolskie.pl/czlonkowie/klaster-marek-turystycznych-polski-wschodniej,200.htm</vt:lpwstr>
      </vt:variant>
      <vt:variant>
        <vt:lpwstr/>
      </vt:variant>
      <vt:variant>
        <vt:i4>3342376</vt:i4>
      </vt:variant>
      <vt:variant>
        <vt:i4>21</vt:i4>
      </vt:variant>
      <vt:variant>
        <vt:i4>0</vt:i4>
      </vt:variant>
      <vt:variant>
        <vt:i4>5</vt:i4>
      </vt:variant>
      <vt:variant>
        <vt:lpwstr>https://klastrypolskie.pl/czlonkowie/wschodni-klaster-budowlany,90.htm</vt:lpwstr>
      </vt:variant>
      <vt:variant>
        <vt:lpwstr/>
      </vt:variant>
      <vt:variant>
        <vt:i4>131163</vt:i4>
      </vt:variant>
      <vt:variant>
        <vt:i4>18</vt:i4>
      </vt:variant>
      <vt:variant>
        <vt:i4>0</vt:i4>
      </vt:variant>
      <vt:variant>
        <vt:i4>5</vt:i4>
      </vt:variant>
      <vt:variant>
        <vt:lpwstr>https://klastrypolskie.pl/czlonkowie.html stan na 10.06.2020</vt:lpwstr>
      </vt:variant>
      <vt:variant>
        <vt:lpwstr/>
      </vt:variant>
      <vt:variant>
        <vt:i4>5373997</vt:i4>
      </vt:variant>
      <vt:variant>
        <vt:i4>15</vt:i4>
      </vt:variant>
      <vt:variant>
        <vt:i4>0</vt:i4>
      </vt:variant>
      <vt:variant>
        <vt:i4>5</vt:i4>
      </vt:variant>
      <vt:variant>
        <vt:lpwstr>https://pl.wikipedia.org/wiki/Klaster_(gospodarka)</vt:lpwstr>
      </vt:variant>
      <vt:variant>
        <vt:lpwstr/>
      </vt:variant>
      <vt:variant>
        <vt:i4>1769549</vt:i4>
      </vt:variant>
      <vt:variant>
        <vt:i4>12</vt:i4>
      </vt:variant>
      <vt:variant>
        <vt:i4>0</vt:i4>
      </vt:variant>
      <vt:variant>
        <vt:i4>5</vt:i4>
      </vt:variant>
      <vt:variant>
        <vt:lpwstr>http://www.wmsse.com.pl/</vt:lpwstr>
      </vt:variant>
      <vt:variant>
        <vt:lpwstr/>
      </vt:variant>
      <vt:variant>
        <vt:i4>8061050</vt:i4>
      </vt:variant>
      <vt:variant>
        <vt:i4>9</vt:i4>
      </vt:variant>
      <vt:variant>
        <vt:i4>0</vt:i4>
      </vt:variant>
      <vt:variant>
        <vt:i4>5</vt:i4>
      </vt:variant>
      <vt:variant>
        <vt:lpwstr>http://www.panattonieurope.com/pl/kraj/polska/portfolio-projektow/magazyn-do-wynajecia/warmian-masurian/panattoni-park-olsztyn/</vt:lpwstr>
      </vt:variant>
      <vt:variant>
        <vt:lpwstr/>
      </vt:variant>
      <vt:variant>
        <vt:i4>5111878</vt:i4>
      </vt:variant>
      <vt:variant>
        <vt:i4>6</vt:i4>
      </vt:variant>
      <vt:variant>
        <vt:i4>0</vt:i4>
      </vt:variant>
      <vt:variant>
        <vt:i4>5</vt:i4>
      </vt:variant>
      <vt:variant>
        <vt:lpwstr>https://invest.olsztyn.eu/pl/</vt:lpwstr>
      </vt:variant>
      <vt:variant>
        <vt:lpwstr/>
      </vt:variant>
      <vt:variant>
        <vt:i4>2293818</vt:i4>
      </vt:variant>
      <vt:variant>
        <vt:i4>3</vt:i4>
      </vt:variant>
      <vt:variant>
        <vt:i4>0</vt:i4>
      </vt:variant>
      <vt:variant>
        <vt:i4>5</vt:i4>
      </vt:variant>
      <vt:variant>
        <vt:lpwstr>https://www.forbes.pl/diamenty/2020/laureaci-diamentow-forbesa-2020-woj-warminsko-mazurskie/phyy4es</vt:lpwstr>
      </vt:variant>
      <vt:variant>
        <vt:lpwstr/>
      </vt:variant>
      <vt:variant>
        <vt:i4>4980817</vt:i4>
      </vt:variant>
      <vt:variant>
        <vt:i4>0</vt:i4>
      </vt:variant>
      <vt:variant>
        <vt:i4>0</vt:i4>
      </vt:variant>
      <vt:variant>
        <vt:i4>5</vt:i4>
      </vt:variant>
      <vt:variant>
        <vt:lpwstr>https://spis.ngo.pl/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meissner.izabela</dc:creator>
  <cp:keywords/>
  <dc:description/>
  <cp:lastModifiedBy>meissner.izabela</cp:lastModifiedBy>
  <cp:revision>248</cp:revision>
  <cp:lastPrinted>2021-06-02T12:09:00Z</cp:lastPrinted>
  <dcterms:created xsi:type="dcterms:W3CDTF">2021-04-29T12:10:00Z</dcterms:created>
  <dcterms:modified xsi:type="dcterms:W3CDTF">2021-06-02T12:46:00Z</dcterms:modified>
</cp:coreProperties>
</file>